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BFF21" w14:textId="77777777" w:rsidR="008356A0" w:rsidRPr="008356A0" w:rsidRDefault="00EC199C" w:rsidP="007A5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Cat. </w:t>
      </w:r>
      <w:r w:rsidR="00525D60">
        <w:rPr>
          <w:sz w:val="24"/>
          <w:szCs w:val="24"/>
        </w:rPr>
        <w:t>N</w:t>
      </w:r>
      <w:r>
        <w:rPr>
          <w:sz w:val="24"/>
          <w:szCs w:val="24"/>
        </w:rPr>
        <w:t>o. 6</w:t>
      </w:r>
      <w:r w:rsidR="001E7D61">
        <w:rPr>
          <w:sz w:val="24"/>
          <w:szCs w:val="24"/>
        </w:rPr>
        <w:t>, Gillian Wilson</w:t>
      </w:r>
    </w:p>
    <w:p w14:paraId="45079198" w14:textId="77777777" w:rsidR="008356A0" w:rsidRDefault="008356A0" w:rsidP="007A5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i/>
          <w:sz w:val="24"/>
          <w:szCs w:val="24"/>
        </w:rPr>
      </w:pPr>
    </w:p>
    <w:p w14:paraId="4E6950C1" w14:textId="77777777" w:rsidR="00BC0960" w:rsidRPr="00BD1407" w:rsidRDefault="00B76681" w:rsidP="00801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iCs/>
          <w:sz w:val="24"/>
          <w:szCs w:val="24"/>
        </w:rPr>
      </w:pPr>
      <w:r>
        <w:rPr>
          <w:iCs/>
          <w:sz w:val="24"/>
          <w:szCs w:val="24"/>
        </w:rPr>
        <w:t xml:space="preserve">title: </w:t>
      </w:r>
      <w:r w:rsidR="002F11C7" w:rsidRPr="00BD1407">
        <w:rPr>
          <w:iCs/>
          <w:sz w:val="24"/>
          <w:szCs w:val="24"/>
        </w:rPr>
        <w:t>Commode</w:t>
      </w:r>
    </w:p>
    <w:p w14:paraId="394BE277" w14:textId="151BA9D6" w:rsidR="002F11C7" w:rsidRDefault="00B76681" w:rsidP="00B76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place_date: </w:t>
      </w:r>
      <w:r w:rsidR="002F11C7">
        <w:rPr>
          <w:sz w:val="24"/>
          <w:szCs w:val="24"/>
        </w:rPr>
        <w:t xml:space="preserve">French (Paris), </w:t>
      </w:r>
      <w:r w:rsidR="00525D60">
        <w:rPr>
          <w:sz w:val="24"/>
          <w:szCs w:val="24"/>
        </w:rPr>
        <w:t>ca.</w:t>
      </w:r>
      <w:r w:rsidR="002F11C7">
        <w:rPr>
          <w:sz w:val="24"/>
          <w:szCs w:val="24"/>
        </w:rPr>
        <w:t xml:space="preserve"> 1740</w:t>
      </w:r>
    </w:p>
    <w:p w14:paraId="2F3BCDB7" w14:textId="614F3B3A" w:rsidR="00801CB4" w:rsidRDefault="00B76681" w:rsidP="00B76681">
      <w:pPr>
        <w:widowControl w:val="0"/>
        <w:suppressAutoHyphens w:val="0"/>
        <w:autoSpaceDE w:val="0"/>
        <w:autoSpaceDN w:val="0"/>
        <w:adjustRightInd w:val="0"/>
        <w:spacing w:after="0" w:line="480" w:lineRule="auto"/>
        <w:rPr>
          <w:rFonts w:ascii="Times" w:hAnsi="Times" w:cs="Times"/>
          <w:sz w:val="24"/>
          <w:szCs w:val="24"/>
        </w:rPr>
      </w:pPr>
      <w:r>
        <w:rPr>
          <w:sz w:val="24"/>
          <w:szCs w:val="24"/>
        </w:rPr>
        <w:t xml:space="preserve">attribution: </w:t>
      </w:r>
      <w:r w:rsidR="00801CB4">
        <w:rPr>
          <w:sz w:val="24"/>
          <w:szCs w:val="24"/>
        </w:rPr>
        <w:t xml:space="preserve">By </w:t>
      </w:r>
      <w:r w:rsidR="002F11C7">
        <w:rPr>
          <w:sz w:val="24"/>
          <w:szCs w:val="24"/>
        </w:rPr>
        <w:t xml:space="preserve">Bernard </w:t>
      </w:r>
      <w:r w:rsidR="006F5D48">
        <w:rPr>
          <w:sz w:val="24"/>
          <w:szCs w:val="24"/>
        </w:rPr>
        <w:t xml:space="preserve">II </w:t>
      </w:r>
      <w:r w:rsidR="002F11C7">
        <w:rPr>
          <w:sz w:val="24"/>
          <w:szCs w:val="24"/>
        </w:rPr>
        <w:t>van Risenburgh</w:t>
      </w:r>
      <w:r w:rsidR="008356A0">
        <w:rPr>
          <w:sz w:val="24"/>
          <w:szCs w:val="24"/>
        </w:rPr>
        <w:t xml:space="preserve"> (French, after 1696</w:t>
      </w:r>
      <w:r>
        <w:rPr>
          <w:sz w:val="24"/>
          <w:szCs w:val="24"/>
        </w:rPr>
        <w:t>–ca.</w:t>
      </w:r>
      <w:r w:rsidR="008356A0">
        <w:rPr>
          <w:sz w:val="24"/>
          <w:szCs w:val="24"/>
        </w:rPr>
        <w:t xml:space="preserve"> 1766, master before 1730)</w:t>
      </w:r>
      <w:r w:rsidR="00801CB4">
        <w:rPr>
          <w:rFonts w:ascii="Times" w:hAnsi="Times" w:cs="Times"/>
          <w:sz w:val="24"/>
          <w:szCs w:val="24"/>
        </w:rPr>
        <w:t xml:space="preserve"> </w:t>
      </w:r>
    </w:p>
    <w:p w14:paraId="244FC132" w14:textId="6E87ECB8" w:rsidR="002F11C7" w:rsidRPr="007A5D32" w:rsidRDefault="00B76681" w:rsidP="00B76681">
      <w:pPr>
        <w:widowControl w:val="0"/>
        <w:suppressAutoHyphens w:val="0"/>
        <w:autoSpaceDE w:val="0"/>
        <w:autoSpaceDN w:val="0"/>
        <w:adjustRightInd w:val="0"/>
        <w:spacing w:after="0" w:line="480" w:lineRule="auto"/>
        <w:rPr>
          <w:rFonts w:ascii="Times" w:hAnsi="Times" w:cs="Times"/>
          <w:sz w:val="24"/>
          <w:szCs w:val="24"/>
        </w:rPr>
      </w:pPr>
      <w:r>
        <w:rPr>
          <w:sz w:val="24"/>
          <w:szCs w:val="24"/>
        </w:rPr>
        <w:t xml:space="preserve">materials: </w:t>
      </w:r>
      <w:r w:rsidR="00C1737A">
        <w:rPr>
          <w:sz w:val="24"/>
          <w:szCs w:val="24"/>
        </w:rPr>
        <w:t>White o</w:t>
      </w:r>
      <w:r w:rsidR="002F11C7">
        <w:rPr>
          <w:sz w:val="24"/>
          <w:szCs w:val="24"/>
        </w:rPr>
        <w:t>ak</w:t>
      </w:r>
      <w:r w:rsidR="00801CB4">
        <w:rPr>
          <w:sz w:val="24"/>
          <w:szCs w:val="24"/>
        </w:rPr>
        <w:t>,</w:t>
      </w:r>
      <w:r w:rsidR="002F11C7">
        <w:rPr>
          <w:sz w:val="24"/>
          <w:szCs w:val="24"/>
        </w:rPr>
        <w:t xml:space="preserve"> set with panels of Chinese</w:t>
      </w:r>
      <w:r w:rsidR="00E150D1">
        <w:rPr>
          <w:sz w:val="24"/>
          <w:szCs w:val="24"/>
        </w:rPr>
        <w:t xml:space="preserve"> red</w:t>
      </w:r>
      <w:r w:rsidR="002F11C7">
        <w:rPr>
          <w:sz w:val="24"/>
          <w:szCs w:val="24"/>
        </w:rPr>
        <w:t xml:space="preserve"> lacquer </w:t>
      </w:r>
      <w:r w:rsidR="00801CB4">
        <w:rPr>
          <w:sz w:val="24"/>
          <w:szCs w:val="24"/>
        </w:rPr>
        <w:t xml:space="preserve">on a coniferous substrate, </w:t>
      </w:r>
      <w:r w:rsidR="002F11C7">
        <w:rPr>
          <w:sz w:val="24"/>
          <w:szCs w:val="24"/>
        </w:rPr>
        <w:t xml:space="preserve">and </w:t>
      </w:r>
      <w:r w:rsidR="00801CB4">
        <w:rPr>
          <w:sz w:val="24"/>
          <w:szCs w:val="24"/>
        </w:rPr>
        <w:t>sycamore maple</w:t>
      </w:r>
      <w:r w:rsidR="00E33356">
        <w:rPr>
          <w:sz w:val="24"/>
          <w:szCs w:val="24"/>
        </w:rPr>
        <w:t>*</w:t>
      </w:r>
      <w:r w:rsidR="00801CB4">
        <w:rPr>
          <w:sz w:val="24"/>
          <w:szCs w:val="24"/>
        </w:rPr>
        <w:t xml:space="preserve"> </w:t>
      </w:r>
      <w:r w:rsidR="002F11C7">
        <w:rPr>
          <w:sz w:val="24"/>
          <w:szCs w:val="24"/>
        </w:rPr>
        <w:t>painted with</w:t>
      </w:r>
      <w:r w:rsidR="002F11C7">
        <w:rPr>
          <w:i/>
          <w:iCs/>
          <w:sz w:val="24"/>
          <w:szCs w:val="24"/>
        </w:rPr>
        <w:t xml:space="preserve"> </w:t>
      </w:r>
      <w:r w:rsidR="00D06E30" w:rsidRPr="00D06E30">
        <w:rPr>
          <w:iCs/>
          <w:sz w:val="24"/>
          <w:szCs w:val="24"/>
        </w:rPr>
        <w:t xml:space="preserve">European </w:t>
      </w:r>
      <w:r w:rsidR="00CC0CB3" w:rsidRPr="00D06E30">
        <w:rPr>
          <w:iCs/>
          <w:sz w:val="24"/>
          <w:szCs w:val="24"/>
        </w:rPr>
        <w:t>lacquer</w:t>
      </w:r>
      <w:r w:rsidR="00801CB4">
        <w:rPr>
          <w:sz w:val="24"/>
          <w:szCs w:val="24"/>
        </w:rPr>
        <w:t>; gilt</w:t>
      </w:r>
      <w:r>
        <w:rPr>
          <w:sz w:val="24"/>
          <w:szCs w:val="24"/>
        </w:rPr>
        <w:t xml:space="preserve"> </w:t>
      </w:r>
      <w:r w:rsidR="00801CB4">
        <w:rPr>
          <w:sz w:val="24"/>
          <w:szCs w:val="24"/>
        </w:rPr>
        <w:t xml:space="preserve">bronze mounts; </w:t>
      </w:r>
      <w:r w:rsidR="00801CB4" w:rsidRPr="00790B90">
        <w:rPr>
          <w:sz w:val="24"/>
          <w:szCs w:val="24"/>
        </w:rPr>
        <w:t>brass and iron hardware and lock</w:t>
      </w:r>
      <w:r w:rsidR="00801CB4">
        <w:rPr>
          <w:sz w:val="24"/>
          <w:szCs w:val="24"/>
        </w:rPr>
        <w:t xml:space="preserve">; </w:t>
      </w:r>
      <w:r w:rsidR="002F11C7">
        <w:rPr>
          <w:i/>
          <w:iCs/>
          <w:sz w:val="24"/>
          <w:szCs w:val="24"/>
        </w:rPr>
        <w:t>brèche d</w:t>
      </w:r>
      <w:r>
        <w:rPr>
          <w:i/>
          <w:iCs/>
          <w:sz w:val="24"/>
          <w:szCs w:val="24"/>
        </w:rPr>
        <w:t>’</w:t>
      </w:r>
      <w:r w:rsidR="002F11C7">
        <w:rPr>
          <w:i/>
          <w:iCs/>
          <w:sz w:val="24"/>
          <w:szCs w:val="24"/>
        </w:rPr>
        <w:t>Alep</w:t>
      </w:r>
      <w:r w:rsidR="002F11C7">
        <w:rPr>
          <w:sz w:val="24"/>
          <w:szCs w:val="24"/>
        </w:rPr>
        <w:t xml:space="preserve"> top</w:t>
      </w:r>
    </w:p>
    <w:p w14:paraId="22B35B3B" w14:textId="3A67D977" w:rsidR="002F11C7" w:rsidRDefault="00B76681" w:rsidP="00B76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dimensions: </w:t>
      </w:r>
      <w:r w:rsidR="002F11C7">
        <w:rPr>
          <w:sz w:val="24"/>
          <w:szCs w:val="24"/>
        </w:rPr>
        <w:t>H: 2 ft. 9 in., W: 3 ft. 9 in., D: 1 ft. 9</w:t>
      </w:r>
      <w:r w:rsidR="007A1DD7">
        <w:rPr>
          <w:sz w:val="24"/>
          <w:szCs w:val="24"/>
        </w:rPr>
        <w:t xml:space="preserve"> </w:t>
      </w:r>
      <w:r w:rsidR="002F11C7">
        <w:rPr>
          <w:sz w:val="24"/>
          <w:szCs w:val="24"/>
        </w:rPr>
        <w:t>1/2 in. (83.8 x 114.3 x 54.9</w:t>
      </w:r>
      <w:r w:rsidR="00801CB4">
        <w:rPr>
          <w:sz w:val="24"/>
          <w:szCs w:val="24"/>
        </w:rPr>
        <w:t xml:space="preserve"> cm</w:t>
      </w:r>
      <w:r w:rsidR="002F11C7">
        <w:rPr>
          <w:sz w:val="24"/>
          <w:szCs w:val="24"/>
        </w:rPr>
        <w:t>)</w:t>
      </w:r>
    </w:p>
    <w:p w14:paraId="55BFA586" w14:textId="77777777" w:rsidR="002F11C7" w:rsidRDefault="00B76681" w:rsidP="00B766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accession_number: </w:t>
      </w:r>
      <w:r w:rsidR="002F11C7">
        <w:rPr>
          <w:sz w:val="24"/>
          <w:szCs w:val="24"/>
        </w:rPr>
        <w:t>72.DA.46</w:t>
      </w:r>
    </w:p>
    <w:p w14:paraId="343DDD46" w14:textId="77777777"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445E86DE" w14:textId="77777777" w:rsidR="002F11C7" w:rsidRDefault="002F11C7" w:rsidP="00B76681">
      <w:pPr>
        <w:pStyle w:val="Heading2"/>
        <w:rPr>
          <w:b/>
          <w:bCs/>
          <w:i/>
          <w:iCs/>
          <w:color w:val="auto"/>
        </w:rPr>
      </w:pPr>
      <w:r w:rsidRPr="00B76681">
        <w:rPr>
          <w:b/>
          <w:bCs/>
          <w:i/>
          <w:iCs/>
          <w:color w:val="auto"/>
        </w:rPr>
        <w:t>Description</w:t>
      </w:r>
    </w:p>
    <w:p w14:paraId="7968D494" w14:textId="77777777" w:rsidR="00B76681" w:rsidRPr="00B76681" w:rsidRDefault="00B76681" w:rsidP="00B76681"/>
    <w:p w14:paraId="45B01B1D" w14:textId="6F91472D"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The rectangular </w:t>
      </w:r>
      <w:r w:rsidRPr="00BD1407">
        <w:rPr>
          <w:iCs/>
          <w:sz w:val="24"/>
          <w:szCs w:val="24"/>
        </w:rPr>
        <w:t>commode</w:t>
      </w:r>
      <w:r w:rsidR="00801CB4">
        <w:rPr>
          <w:sz w:val="24"/>
          <w:szCs w:val="24"/>
        </w:rPr>
        <w:t>, decorated with gilt</w:t>
      </w:r>
      <w:r w:rsidR="00B76681">
        <w:rPr>
          <w:sz w:val="24"/>
          <w:szCs w:val="24"/>
        </w:rPr>
        <w:t xml:space="preserve"> </w:t>
      </w:r>
      <w:r>
        <w:rPr>
          <w:sz w:val="24"/>
          <w:szCs w:val="24"/>
        </w:rPr>
        <w:t>bronze mounts</w:t>
      </w:r>
      <w:r w:rsidR="00B76681">
        <w:rPr>
          <w:sz w:val="24"/>
          <w:szCs w:val="24"/>
        </w:rPr>
        <w:t>,</w:t>
      </w:r>
      <w:r>
        <w:rPr>
          <w:sz w:val="24"/>
          <w:szCs w:val="24"/>
        </w:rPr>
        <w:t xml:space="preserve"> has splayed convex sides, a convex front</w:t>
      </w:r>
      <w:r w:rsidR="00B76681">
        <w:rPr>
          <w:sz w:val="24"/>
          <w:szCs w:val="24"/>
        </w:rPr>
        <w:t>,</w:t>
      </w:r>
      <w:r>
        <w:rPr>
          <w:sz w:val="24"/>
          <w:szCs w:val="24"/>
        </w:rPr>
        <w:t xml:space="preserve"> and a serpentine lower profile. It is supported on four cabriole legs of five-sided section. It contains two drawers </w:t>
      </w:r>
      <w:r w:rsidR="00C173C8">
        <w:rPr>
          <w:sz w:val="24"/>
          <w:szCs w:val="24"/>
        </w:rPr>
        <w:t xml:space="preserve">that </w:t>
      </w:r>
      <w:r>
        <w:rPr>
          <w:sz w:val="24"/>
          <w:szCs w:val="24"/>
        </w:rPr>
        <w:t xml:space="preserve">possess keyholes but no mechanics or lock boxes. There is no visible horizontal division between the drawer fronts, the lower of which carries the apron. The top of </w:t>
      </w:r>
      <w:r>
        <w:rPr>
          <w:i/>
          <w:iCs/>
          <w:sz w:val="24"/>
          <w:szCs w:val="24"/>
        </w:rPr>
        <w:t xml:space="preserve">brèche d’Alep </w:t>
      </w:r>
      <w:r w:rsidRPr="006F5D48">
        <w:rPr>
          <w:iCs/>
          <w:sz w:val="24"/>
          <w:szCs w:val="24"/>
        </w:rPr>
        <w:t>is</w:t>
      </w:r>
      <w:r>
        <w:rPr>
          <w:sz w:val="24"/>
          <w:szCs w:val="24"/>
        </w:rPr>
        <w:t xml:space="preserve"> shaped to conform to the top of the</w:t>
      </w:r>
      <w:r w:rsidRPr="00B76681">
        <w:rPr>
          <w:iCs/>
          <w:sz w:val="24"/>
          <w:szCs w:val="24"/>
        </w:rPr>
        <w:t xml:space="preserve"> </w:t>
      </w:r>
      <w:r w:rsidRPr="00BD1407">
        <w:rPr>
          <w:iCs/>
          <w:sz w:val="24"/>
          <w:szCs w:val="24"/>
        </w:rPr>
        <w:t>commode</w:t>
      </w:r>
      <w:r>
        <w:rPr>
          <w:sz w:val="24"/>
          <w:szCs w:val="24"/>
        </w:rPr>
        <w:t>, and it has a molded edge.</w:t>
      </w:r>
    </w:p>
    <w:p w14:paraId="100D105D" w14:textId="77777777"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Each front corner is set with a pierced corner mount that consists of two parts. The upper section is composed of a pierced cartouche, the frame of which is stippled and set with C-scrolls. Above is a central rosette flanked by flame motifs, and below the scrolls are set with guilloche stud</w:t>
      </w:r>
      <w:r w:rsidR="008D612A">
        <w:rPr>
          <w:sz w:val="24"/>
          <w:szCs w:val="24"/>
        </w:rPr>
        <w:t>d</w:t>
      </w:r>
      <w:r>
        <w:rPr>
          <w:sz w:val="24"/>
          <w:szCs w:val="24"/>
        </w:rPr>
        <w:t xml:space="preserve">ed with cabochons. These lower scrolls flank a convex shell-like motif that terminates in a leafy pendant. This element is set over the shoulders of the lower section of the mount, which is </w:t>
      </w:r>
      <w:r>
        <w:rPr>
          <w:sz w:val="24"/>
          <w:szCs w:val="24"/>
        </w:rPr>
        <w:lastRenderedPageBreak/>
        <w:t>also pierced. Its stippled frame is set with flame and leaf motifs, the latter clasping the winged extensions and forming a terminating pendant. A plain ribbed molding extends down the o</w:t>
      </w:r>
      <w:r w:rsidR="006F5D48">
        <w:rPr>
          <w:sz w:val="24"/>
          <w:szCs w:val="24"/>
        </w:rPr>
        <w:t>uter edge of the leg to the foot.</w:t>
      </w:r>
    </w:p>
    <w:p w14:paraId="603977AE" w14:textId="77777777"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The two drawers are framed by a complex mount cast</w:t>
      </w:r>
      <w:r w:rsidR="006F5D48">
        <w:rPr>
          <w:sz w:val="24"/>
          <w:szCs w:val="24"/>
        </w:rPr>
        <w:t xml:space="preserve"> in a number of sections. Above</w:t>
      </w:r>
      <w:r w:rsidR="00B76681">
        <w:rPr>
          <w:sz w:val="24"/>
          <w:szCs w:val="24"/>
        </w:rPr>
        <w:t>,</w:t>
      </w:r>
      <w:r>
        <w:rPr>
          <w:sz w:val="24"/>
          <w:szCs w:val="24"/>
        </w:rPr>
        <w:t xml:space="preserve"> a simple undulating strip mount is set with a twisting leafy vine that carries berries. It is set at the center with a pierced escutcheon composed of three leaf-bordered C-scrolls enclosing an arrangement of five feathers.</w:t>
      </w:r>
      <w:r w:rsidR="001256BA">
        <w:rPr>
          <w:sz w:val="24"/>
          <w:szCs w:val="24"/>
        </w:rPr>
        <w:t xml:space="preserve"> </w:t>
      </w:r>
      <w:r>
        <w:rPr>
          <w:sz w:val="24"/>
          <w:szCs w:val="24"/>
        </w:rPr>
        <w:t xml:space="preserve">These rise from a pierced and ribbed cabochon, supported by apposed C-scrolls </w:t>
      </w:r>
      <w:r w:rsidR="006C0151">
        <w:rPr>
          <w:sz w:val="24"/>
          <w:szCs w:val="24"/>
        </w:rPr>
        <w:t xml:space="preserve">that </w:t>
      </w:r>
      <w:r>
        <w:rPr>
          <w:sz w:val="24"/>
          <w:szCs w:val="24"/>
        </w:rPr>
        <w:t xml:space="preserve">flank the keyhole. The escutcheon terminates below in a pendant of three leaves and a bud. </w:t>
      </w:r>
    </w:p>
    <w:p w14:paraId="17B13B62" w14:textId="712A600B"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upper corners of the framing mount are occupied by two rising and joined C-scrolls, which are bordered on their outer edges with flame motifs and by smaller C-scrolls on their inner edges. At the junction of the scrolls a double cup of leaves containing berries rises from a small cabochon, while a pendant of three leaves and a bud hang below. Each side of the framing mount consists of a simple undulating strip mount set with a leafy vine </w:t>
      </w:r>
      <w:r w:rsidR="008D612A">
        <w:rPr>
          <w:sz w:val="24"/>
          <w:szCs w:val="24"/>
        </w:rPr>
        <w:t xml:space="preserve">with </w:t>
      </w:r>
      <w:r>
        <w:rPr>
          <w:sz w:val="24"/>
          <w:szCs w:val="24"/>
        </w:rPr>
        <w:t xml:space="preserve">berries. This rises from a similarly entwined short section of pierced guilloche </w:t>
      </w:r>
      <w:r w:rsidR="00C173C8">
        <w:rPr>
          <w:sz w:val="24"/>
          <w:szCs w:val="24"/>
        </w:rPr>
        <w:t xml:space="preserve">that </w:t>
      </w:r>
      <w:r>
        <w:rPr>
          <w:sz w:val="24"/>
          <w:szCs w:val="24"/>
        </w:rPr>
        <w:t xml:space="preserve">emerges from a curved composition of leaves. This forms the lower corner of the frame and is set on the outside with a short leafy branch with berries that curves down toward the juncture of the legs and the body of the </w:t>
      </w:r>
      <w:r w:rsidRPr="00BD1407">
        <w:rPr>
          <w:iCs/>
          <w:sz w:val="24"/>
          <w:szCs w:val="24"/>
        </w:rPr>
        <w:t>commode</w:t>
      </w:r>
      <w:r>
        <w:rPr>
          <w:sz w:val="24"/>
          <w:szCs w:val="24"/>
        </w:rPr>
        <w:t>.</w:t>
      </w:r>
    </w:p>
    <w:p w14:paraId="053FEB08" w14:textId="5E640D61"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lower part of the framing mount is likewise composed of a simple flat molding entwined with a leafy vine </w:t>
      </w:r>
      <w:r w:rsidR="00C173C8">
        <w:rPr>
          <w:sz w:val="24"/>
          <w:szCs w:val="24"/>
        </w:rPr>
        <w:t xml:space="preserve">that </w:t>
      </w:r>
      <w:r>
        <w:rPr>
          <w:sz w:val="24"/>
          <w:szCs w:val="24"/>
        </w:rPr>
        <w:t xml:space="preserve">emerges from a scroll formed by the aforementioned cluster of leaves. These moldings are attached to two C-scrolls set above the central apron mount. The latter is centered by a </w:t>
      </w:r>
      <w:r w:rsidR="00B76681">
        <w:rPr>
          <w:sz w:val="24"/>
          <w:szCs w:val="24"/>
        </w:rPr>
        <w:t>trilobed</w:t>
      </w:r>
      <w:r>
        <w:rPr>
          <w:sz w:val="24"/>
          <w:szCs w:val="24"/>
        </w:rPr>
        <w:t xml:space="preserve"> shell-like form, set with alternating large and small oval cabochons. To either side extend stippled strips </w:t>
      </w:r>
      <w:r w:rsidR="00C173C8">
        <w:rPr>
          <w:sz w:val="24"/>
          <w:szCs w:val="24"/>
        </w:rPr>
        <w:t xml:space="preserve">that </w:t>
      </w:r>
      <w:r>
        <w:rPr>
          <w:sz w:val="24"/>
          <w:szCs w:val="24"/>
        </w:rPr>
        <w:t xml:space="preserve">are curved to follow the profile of the apron. </w:t>
      </w:r>
      <w:r>
        <w:rPr>
          <w:sz w:val="24"/>
          <w:szCs w:val="24"/>
        </w:rPr>
        <w:lastRenderedPageBreak/>
        <w:t xml:space="preserve">They have raised borders and are set with a </w:t>
      </w:r>
      <w:r w:rsidR="00B76681">
        <w:rPr>
          <w:sz w:val="24"/>
          <w:szCs w:val="24"/>
        </w:rPr>
        <w:t>flamelike</w:t>
      </w:r>
      <w:r>
        <w:rPr>
          <w:sz w:val="24"/>
          <w:szCs w:val="24"/>
        </w:rPr>
        <w:t xml:space="preserve"> motif. Each is clasped below by a short leafy branch that emerges from a </w:t>
      </w:r>
      <w:r w:rsidRPr="006F4F32">
        <w:rPr>
          <w:sz w:val="24"/>
          <w:szCs w:val="24"/>
        </w:rPr>
        <w:t>corolla</w:t>
      </w:r>
      <w:r>
        <w:rPr>
          <w:sz w:val="24"/>
          <w:szCs w:val="24"/>
        </w:rPr>
        <w:t xml:space="preserve"> and terminates in a scroll of leaves.</w:t>
      </w:r>
    </w:p>
    <w:p w14:paraId="00284FE0" w14:textId="07D2DD3F"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w:t>
      </w:r>
      <w:r w:rsidR="008D5A54">
        <w:rPr>
          <w:sz w:val="24"/>
          <w:szCs w:val="24"/>
        </w:rPr>
        <w:t>keyhole escutche</w:t>
      </w:r>
      <w:r w:rsidR="008D5A54" w:rsidRPr="008D5A54">
        <w:rPr>
          <w:sz w:val="24"/>
          <w:szCs w:val="24"/>
        </w:rPr>
        <w:t>on</w:t>
      </w:r>
      <w:r w:rsidR="00801CB4">
        <w:rPr>
          <w:sz w:val="24"/>
          <w:szCs w:val="24"/>
        </w:rPr>
        <w:t xml:space="preserve"> </w:t>
      </w:r>
      <w:r>
        <w:rPr>
          <w:sz w:val="24"/>
          <w:szCs w:val="24"/>
        </w:rPr>
        <w:t>on the lower drawer front</w:t>
      </w:r>
      <w:r w:rsidR="008D5A54">
        <w:rPr>
          <w:sz w:val="24"/>
          <w:szCs w:val="24"/>
        </w:rPr>
        <w:t>, a nineteenth</w:t>
      </w:r>
      <w:r w:rsidR="00B76681">
        <w:rPr>
          <w:sz w:val="24"/>
          <w:szCs w:val="24"/>
        </w:rPr>
        <w:t>-</w:t>
      </w:r>
      <w:r w:rsidR="008D5A54">
        <w:rPr>
          <w:sz w:val="24"/>
          <w:szCs w:val="24"/>
        </w:rPr>
        <w:t xml:space="preserve"> or twentieth</w:t>
      </w:r>
      <w:r w:rsidR="00B76681">
        <w:rPr>
          <w:sz w:val="24"/>
          <w:szCs w:val="24"/>
        </w:rPr>
        <w:t>-</w:t>
      </w:r>
      <w:r w:rsidR="008D5A54">
        <w:rPr>
          <w:sz w:val="24"/>
          <w:szCs w:val="24"/>
        </w:rPr>
        <w:t xml:space="preserve">century replacement (See </w:t>
      </w:r>
      <w:r w:rsidR="00B76681">
        <w:rPr>
          <w:sz w:val="24"/>
          <w:szCs w:val="24"/>
        </w:rPr>
        <w:t>“</w:t>
      </w:r>
      <w:r w:rsidR="008D5A54">
        <w:rPr>
          <w:sz w:val="24"/>
          <w:szCs w:val="24"/>
        </w:rPr>
        <w:t xml:space="preserve">Technical </w:t>
      </w:r>
      <w:r w:rsidR="00B76681">
        <w:rPr>
          <w:sz w:val="24"/>
          <w:szCs w:val="24"/>
        </w:rPr>
        <w:t>Description”</w:t>
      </w:r>
      <w:r w:rsidR="00BD1407">
        <w:rPr>
          <w:sz w:val="24"/>
          <w:szCs w:val="24"/>
        </w:rPr>
        <w:t xml:space="preserve"> below</w:t>
      </w:r>
      <w:r w:rsidR="008D5A54">
        <w:rPr>
          <w:sz w:val="24"/>
          <w:szCs w:val="24"/>
        </w:rPr>
        <w:t>),</w:t>
      </w:r>
      <w:r>
        <w:rPr>
          <w:sz w:val="24"/>
          <w:szCs w:val="24"/>
        </w:rPr>
        <w:t xml:space="preserve"> consists of five feathers supported by two C-scrolls and is of the same form as these elements forming the escutcheon above, centering the upper frame. The framing mounts of the sides of the </w:t>
      </w:r>
      <w:r w:rsidRPr="00BD1407">
        <w:rPr>
          <w:iCs/>
          <w:sz w:val="24"/>
          <w:szCs w:val="24"/>
        </w:rPr>
        <w:t>commode</w:t>
      </w:r>
      <w:r w:rsidRPr="00B76681">
        <w:rPr>
          <w:iCs/>
          <w:sz w:val="24"/>
          <w:szCs w:val="24"/>
        </w:rPr>
        <w:t xml:space="preserve"> </w:t>
      </w:r>
      <w:r>
        <w:rPr>
          <w:sz w:val="24"/>
          <w:szCs w:val="24"/>
        </w:rPr>
        <w:t>are of the same model as that on the front of the piece, with the central section (containing the keyhole escutcheon and the apron mount) removed and the simple flat strip mounts joined.</w:t>
      </w:r>
      <w:r w:rsidR="00B27A0F">
        <w:rPr>
          <w:sz w:val="24"/>
          <w:szCs w:val="24"/>
        </w:rPr>
        <w:t xml:space="preserve"> </w:t>
      </w:r>
      <w:r>
        <w:rPr>
          <w:sz w:val="24"/>
          <w:szCs w:val="24"/>
        </w:rPr>
        <w:t>The feet are mounted with</w:t>
      </w:r>
      <w:r w:rsidR="006F5D48">
        <w:rPr>
          <w:color w:val="FF0000"/>
          <w:sz w:val="24"/>
          <w:szCs w:val="24"/>
        </w:rPr>
        <w:t xml:space="preserve"> </w:t>
      </w:r>
      <w:r w:rsidR="00B27A0F">
        <w:rPr>
          <w:sz w:val="24"/>
          <w:szCs w:val="24"/>
        </w:rPr>
        <w:t>gilt</w:t>
      </w:r>
      <w:r w:rsidR="00B76681">
        <w:rPr>
          <w:sz w:val="24"/>
          <w:szCs w:val="24"/>
        </w:rPr>
        <w:t xml:space="preserve"> </w:t>
      </w:r>
      <w:r w:rsidR="00B27A0F">
        <w:rPr>
          <w:sz w:val="24"/>
          <w:szCs w:val="24"/>
        </w:rPr>
        <w:t xml:space="preserve">bronze </w:t>
      </w:r>
      <w:bookmarkStart w:id="0" w:name="_Hlk37753315"/>
      <w:r w:rsidR="00B27A0F" w:rsidRPr="00446AF2">
        <w:rPr>
          <w:i/>
          <w:sz w:val="24"/>
          <w:szCs w:val="24"/>
        </w:rPr>
        <w:t>sabots</w:t>
      </w:r>
      <w:r w:rsidR="00B27A0F">
        <w:rPr>
          <w:sz w:val="24"/>
          <w:szCs w:val="24"/>
        </w:rPr>
        <w:t xml:space="preserve"> </w:t>
      </w:r>
      <w:bookmarkEnd w:id="0"/>
      <w:r w:rsidR="00B27A0F">
        <w:rPr>
          <w:sz w:val="24"/>
          <w:szCs w:val="24"/>
        </w:rPr>
        <w:t xml:space="preserve">that adopt many of the same design features of the commode’s other mounts. Each features five </w:t>
      </w:r>
      <w:r w:rsidR="00B27A0F" w:rsidRPr="007A5D32">
        <w:rPr>
          <w:sz w:val="24"/>
          <w:szCs w:val="24"/>
        </w:rPr>
        <w:t>feathers bounded by C-scrolls.</w:t>
      </w:r>
    </w:p>
    <w:p w14:paraId="258D002B" w14:textId="5DFE0722"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The fronts of the drawers are set with a large panel of Chinese</w:t>
      </w:r>
      <w:r w:rsidR="00E150D1">
        <w:rPr>
          <w:sz w:val="24"/>
          <w:szCs w:val="24"/>
        </w:rPr>
        <w:t xml:space="preserve"> red</w:t>
      </w:r>
      <w:r>
        <w:rPr>
          <w:sz w:val="24"/>
          <w:szCs w:val="24"/>
        </w:rPr>
        <w:t xml:space="preserve"> lacquer</w:t>
      </w:r>
      <w:r w:rsidR="00801CB4">
        <w:rPr>
          <w:sz w:val="24"/>
          <w:szCs w:val="24"/>
        </w:rPr>
        <w:t xml:space="preserve"> with</w:t>
      </w:r>
      <w:r>
        <w:rPr>
          <w:sz w:val="24"/>
          <w:szCs w:val="24"/>
        </w:rPr>
        <w:t xml:space="preserve"> </w:t>
      </w:r>
      <w:r w:rsidR="00801CB4">
        <w:rPr>
          <w:sz w:val="24"/>
          <w:szCs w:val="24"/>
        </w:rPr>
        <w:t xml:space="preserve">illustrations in </w:t>
      </w:r>
      <w:r>
        <w:rPr>
          <w:sz w:val="24"/>
          <w:szCs w:val="24"/>
        </w:rPr>
        <w:t xml:space="preserve">gold, brown, and black. The scene of an emperor and his court is visually </w:t>
      </w:r>
      <w:r w:rsidR="00801CB4">
        <w:rPr>
          <w:sz w:val="24"/>
          <w:szCs w:val="24"/>
        </w:rPr>
        <w:t>c</w:t>
      </w:r>
      <w:r>
        <w:rPr>
          <w:sz w:val="24"/>
          <w:szCs w:val="24"/>
        </w:rPr>
        <w:t>entered by a short staircase painted above the apron.</w:t>
      </w:r>
      <w:r>
        <w:rPr>
          <w:color w:val="FF0000"/>
          <w:sz w:val="24"/>
          <w:szCs w:val="24"/>
        </w:rPr>
        <w:t xml:space="preserve"> </w:t>
      </w:r>
      <w:r>
        <w:rPr>
          <w:sz w:val="24"/>
          <w:szCs w:val="24"/>
        </w:rPr>
        <w:t>It leads to an open terrace surrounded by a low framed and paneled wall. A large central screen is painted with mountains, groups of trees</w:t>
      </w:r>
      <w:r w:rsidR="00B273C2">
        <w:rPr>
          <w:sz w:val="24"/>
          <w:szCs w:val="24"/>
        </w:rPr>
        <w:t>,</w:t>
      </w:r>
      <w:r>
        <w:rPr>
          <w:sz w:val="24"/>
          <w:szCs w:val="24"/>
        </w:rPr>
        <w:t xml:space="preserve"> and swirling clouds above. In front of the screen is a group of five figures</w:t>
      </w:r>
      <w:r w:rsidR="00B273C2">
        <w:rPr>
          <w:sz w:val="24"/>
          <w:szCs w:val="24"/>
        </w:rPr>
        <w:t>:</w:t>
      </w:r>
      <w:r>
        <w:rPr>
          <w:sz w:val="24"/>
          <w:szCs w:val="24"/>
        </w:rPr>
        <w:t xml:space="preserve"> the central seated and bearded emperor, flanked by two female and two male courtiers. To the left a group of seven courtiers stand in a loose arrangement, looking in various directions. On the right a group of five courtiers stand</w:t>
      </w:r>
      <w:r w:rsidR="00B273C2">
        <w:rPr>
          <w:sz w:val="24"/>
          <w:szCs w:val="24"/>
        </w:rPr>
        <w:t>s</w:t>
      </w:r>
      <w:r>
        <w:rPr>
          <w:sz w:val="24"/>
          <w:szCs w:val="24"/>
        </w:rPr>
        <w:t xml:space="preserve"> similarly posed. One man stands on the carpet, with his back toward the viewer</w:t>
      </w:r>
      <w:r w:rsidR="00B273C2">
        <w:rPr>
          <w:sz w:val="24"/>
          <w:szCs w:val="24"/>
        </w:rPr>
        <w:t>;</w:t>
      </w:r>
      <w:r>
        <w:rPr>
          <w:sz w:val="24"/>
          <w:szCs w:val="24"/>
        </w:rPr>
        <w:t xml:space="preserve"> another, near the top of the flight of steps</w:t>
      </w:r>
      <w:r w:rsidR="00B273C2">
        <w:rPr>
          <w:sz w:val="24"/>
          <w:szCs w:val="24"/>
        </w:rPr>
        <w:t>,</w:t>
      </w:r>
      <w:r>
        <w:rPr>
          <w:sz w:val="24"/>
          <w:szCs w:val="24"/>
        </w:rPr>
        <w:t xml:space="preserve"> is also turned to face the seated emperor. Short leafy plants rise here and there, both inside and outside the walled area, while a crane carrying a ribbon-tied double scroll in its beak flies from the left toward the central group.</w:t>
      </w:r>
      <w:r>
        <w:rPr>
          <w:color w:val="FF0000"/>
          <w:sz w:val="24"/>
          <w:szCs w:val="24"/>
        </w:rPr>
        <w:t xml:space="preserve"> </w:t>
      </w:r>
    </w:p>
    <w:p w14:paraId="2D4C4984" w14:textId="60371BC1"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 xml:space="preserve">The left side </w:t>
      </w:r>
      <w:r w:rsidR="00402A84">
        <w:rPr>
          <w:sz w:val="24"/>
          <w:szCs w:val="24"/>
        </w:rPr>
        <w:t xml:space="preserve"> </w:t>
      </w:r>
      <w:r>
        <w:rPr>
          <w:sz w:val="24"/>
          <w:szCs w:val="24"/>
        </w:rPr>
        <w:t xml:space="preserve">of the </w:t>
      </w:r>
      <w:r w:rsidRPr="00BD1407">
        <w:rPr>
          <w:iCs/>
          <w:sz w:val="24"/>
          <w:szCs w:val="24"/>
        </w:rPr>
        <w:t>commode</w:t>
      </w:r>
      <w:r w:rsidRPr="00B273C2">
        <w:rPr>
          <w:iCs/>
          <w:sz w:val="24"/>
          <w:szCs w:val="24"/>
        </w:rPr>
        <w:t xml:space="preserve"> </w:t>
      </w:r>
      <w:r>
        <w:rPr>
          <w:sz w:val="24"/>
          <w:szCs w:val="24"/>
        </w:rPr>
        <w:t xml:space="preserve">is set with a panel of Chinese </w:t>
      </w:r>
      <w:r w:rsidR="00E150D1">
        <w:rPr>
          <w:sz w:val="24"/>
          <w:szCs w:val="24"/>
        </w:rPr>
        <w:t xml:space="preserve">red </w:t>
      </w:r>
      <w:r>
        <w:rPr>
          <w:sz w:val="24"/>
          <w:szCs w:val="24"/>
        </w:rPr>
        <w:t>lacquer,</w:t>
      </w:r>
      <w:r w:rsidR="00801CB4">
        <w:rPr>
          <w:sz w:val="24"/>
          <w:szCs w:val="24"/>
        </w:rPr>
        <w:t xml:space="preserve"> depicting in gold and brown a low-lying building set on a rocky shore</w:t>
      </w:r>
      <w:r>
        <w:rPr>
          <w:sz w:val="24"/>
          <w:szCs w:val="24"/>
        </w:rPr>
        <w:t xml:space="preserve">. Waves and promontories are painted in the </w:t>
      </w:r>
      <w:r>
        <w:rPr>
          <w:sz w:val="24"/>
          <w:szCs w:val="24"/>
        </w:rPr>
        <w:lastRenderedPageBreak/>
        <w:t xml:space="preserve">foreground. Behind the building are trees of several species and bushes. Three birds fly in the sky. The right side of the </w:t>
      </w:r>
      <w:r w:rsidRPr="00BD1407">
        <w:rPr>
          <w:iCs/>
          <w:sz w:val="24"/>
          <w:szCs w:val="24"/>
        </w:rPr>
        <w:t>commode</w:t>
      </w:r>
      <w:r w:rsidRPr="00C20C98">
        <w:rPr>
          <w:iCs/>
          <w:sz w:val="24"/>
          <w:szCs w:val="24"/>
        </w:rPr>
        <w:t xml:space="preserve"> </w:t>
      </w:r>
      <w:r>
        <w:rPr>
          <w:sz w:val="24"/>
          <w:szCs w:val="24"/>
        </w:rPr>
        <w:t>is also set with a panel of Chinese</w:t>
      </w:r>
      <w:r w:rsidR="00E150D1">
        <w:rPr>
          <w:sz w:val="24"/>
          <w:szCs w:val="24"/>
        </w:rPr>
        <w:t xml:space="preserve"> red</w:t>
      </w:r>
      <w:r>
        <w:rPr>
          <w:sz w:val="24"/>
          <w:szCs w:val="24"/>
        </w:rPr>
        <w:t xml:space="preserve"> lacquer painted gold and brown</w:t>
      </w:r>
      <w:r w:rsidR="00D62BE6">
        <w:rPr>
          <w:sz w:val="24"/>
          <w:szCs w:val="24"/>
        </w:rPr>
        <w:t xml:space="preserve"> (</w:t>
      </w:r>
      <w:hyperlink w:anchor="fig-6-1" w:history="1">
        <w:r w:rsidR="00D62BE6" w:rsidRPr="00B273C2">
          <w:rPr>
            <w:rStyle w:val="Hyperlink"/>
            <w:sz w:val="24"/>
            <w:szCs w:val="24"/>
          </w:rPr>
          <w:t>fig. 6-1</w:t>
        </w:r>
      </w:hyperlink>
      <w:r w:rsidR="00D62BE6">
        <w:rPr>
          <w:sz w:val="24"/>
          <w:szCs w:val="24"/>
        </w:rPr>
        <w:t>)</w:t>
      </w:r>
      <w:r>
        <w:rPr>
          <w:sz w:val="24"/>
          <w:szCs w:val="24"/>
        </w:rPr>
        <w:t>. At its center is a house on stilts over water with a bridge extending from it. In the foreground are waves, promontories</w:t>
      </w:r>
      <w:r w:rsidR="00E86A8F">
        <w:rPr>
          <w:sz w:val="24"/>
          <w:szCs w:val="24"/>
        </w:rPr>
        <w:t>,</w:t>
      </w:r>
      <w:r>
        <w:rPr>
          <w:sz w:val="24"/>
          <w:szCs w:val="24"/>
        </w:rPr>
        <w:t xml:space="preserve"> and small plants. A tree rises behind the house, and a branch of a fir tree extends into the scene from the left. Two birds fly in the sky, which also contains clouds. The remaining surfaces of the </w:t>
      </w:r>
      <w:r w:rsidRPr="00BD1407">
        <w:rPr>
          <w:iCs/>
          <w:sz w:val="24"/>
          <w:szCs w:val="24"/>
        </w:rPr>
        <w:t>commode</w:t>
      </w:r>
      <w:r>
        <w:rPr>
          <w:sz w:val="24"/>
          <w:szCs w:val="24"/>
        </w:rPr>
        <w:t xml:space="preserve"> </w:t>
      </w:r>
      <w:r w:rsidR="00801CB4">
        <w:rPr>
          <w:sz w:val="24"/>
          <w:szCs w:val="24"/>
        </w:rPr>
        <w:t>have</w:t>
      </w:r>
      <w:r>
        <w:rPr>
          <w:sz w:val="24"/>
          <w:szCs w:val="24"/>
        </w:rPr>
        <w:t xml:space="preserve"> European red </w:t>
      </w:r>
      <w:r w:rsidR="00D06E30" w:rsidRPr="00D06E30">
        <w:rPr>
          <w:sz w:val="24"/>
          <w:szCs w:val="24"/>
        </w:rPr>
        <w:t>lacquer</w:t>
      </w:r>
      <w:r>
        <w:rPr>
          <w:sz w:val="24"/>
          <w:szCs w:val="24"/>
        </w:rPr>
        <w:t xml:space="preserve"> </w:t>
      </w:r>
      <w:r w:rsidR="00801CB4">
        <w:rPr>
          <w:sz w:val="24"/>
          <w:szCs w:val="24"/>
        </w:rPr>
        <w:t>applied in</w:t>
      </w:r>
      <w:r>
        <w:rPr>
          <w:sz w:val="24"/>
          <w:szCs w:val="24"/>
        </w:rPr>
        <w:t xml:space="preserve"> a hue that matches the ground of the Chinese lacquer.</w:t>
      </w:r>
    </w:p>
    <w:p w14:paraId="62AD1149" w14:textId="77777777"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247D1089" w14:textId="5357691E" w:rsidR="002F11C7" w:rsidRDefault="002F11C7" w:rsidP="0003757F">
      <w:pPr>
        <w:pStyle w:val="Heading2"/>
        <w:rPr>
          <w:b/>
          <w:bCs/>
          <w:i/>
          <w:iCs/>
          <w:color w:val="auto"/>
        </w:rPr>
      </w:pPr>
      <w:r w:rsidRPr="0003757F">
        <w:rPr>
          <w:b/>
          <w:bCs/>
          <w:i/>
          <w:iCs/>
          <w:color w:val="auto"/>
        </w:rPr>
        <w:t>Marks</w:t>
      </w:r>
    </w:p>
    <w:p w14:paraId="5B688A53" w14:textId="77777777" w:rsidR="0003757F" w:rsidRPr="0003757F" w:rsidRDefault="0003757F" w:rsidP="0003757F"/>
    <w:p w14:paraId="6CF02AA3" w14:textId="3D30AA15" w:rsidR="002F11C7" w:rsidRPr="00E86A8F"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color w:val="FF0000"/>
          <w:sz w:val="24"/>
          <w:szCs w:val="24"/>
        </w:rPr>
      </w:pPr>
      <w:r>
        <w:rPr>
          <w:sz w:val="24"/>
          <w:szCs w:val="24"/>
        </w:rPr>
        <w:t xml:space="preserve">The </w:t>
      </w:r>
      <w:r w:rsidRPr="00BD1407">
        <w:rPr>
          <w:iCs/>
          <w:sz w:val="24"/>
          <w:szCs w:val="24"/>
        </w:rPr>
        <w:t>commode</w:t>
      </w:r>
      <w:r>
        <w:rPr>
          <w:sz w:val="24"/>
          <w:szCs w:val="24"/>
        </w:rPr>
        <w:t xml:space="preserve"> is stamped </w:t>
      </w:r>
      <w:r w:rsidR="00C20C98">
        <w:rPr>
          <w:sz w:val="24"/>
          <w:szCs w:val="24"/>
        </w:rPr>
        <w:t>“</w:t>
      </w:r>
      <w:r>
        <w:rPr>
          <w:sz w:val="24"/>
          <w:szCs w:val="24"/>
        </w:rPr>
        <w:t>B.V.R.B.</w:t>
      </w:r>
      <w:r w:rsidR="00C20C98">
        <w:rPr>
          <w:sz w:val="24"/>
          <w:szCs w:val="24"/>
        </w:rPr>
        <w:t>”</w:t>
      </w:r>
      <w:r>
        <w:rPr>
          <w:sz w:val="24"/>
          <w:szCs w:val="24"/>
        </w:rPr>
        <w:t xml:space="preserve"> on the </w:t>
      </w:r>
      <w:r w:rsidR="00B717D5">
        <w:rPr>
          <w:sz w:val="24"/>
          <w:szCs w:val="24"/>
        </w:rPr>
        <w:t xml:space="preserve">top of both the </w:t>
      </w:r>
      <w:r>
        <w:rPr>
          <w:sz w:val="24"/>
          <w:szCs w:val="24"/>
        </w:rPr>
        <w:t>left and right</w:t>
      </w:r>
      <w:r w:rsidR="00B717D5">
        <w:rPr>
          <w:sz w:val="24"/>
          <w:szCs w:val="24"/>
        </w:rPr>
        <w:t xml:space="preserve"> rear leg stiles</w:t>
      </w:r>
      <w:r>
        <w:rPr>
          <w:sz w:val="24"/>
          <w:szCs w:val="24"/>
        </w:rPr>
        <w:t xml:space="preserve">, and each of these stamps in flanked on either side by a </w:t>
      </w:r>
      <w:r w:rsidR="00C20C98">
        <w:rPr>
          <w:sz w:val="24"/>
          <w:szCs w:val="24"/>
        </w:rPr>
        <w:t>“</w:t>
      </w:r>
      <w:r>
        <w:rPr>
          <w:sz w:val="24"/>
          <w:szCs w:val="24"/>
        </w:rPr>
        <w:t>JME</w:t>
      </w:r>
      <w:r w:rsidR="00C20C98">
        <w:rPr>
          <w:sz w:val="24"/>
          <w:szCs w:val="24"/>
        </w:rPr>
        <w:t>”</w:t>
      </w:r>
      <w:r>
        <w:rPr>
          <w:sz w:val="24"/>
          <w:szCs w:val="24"/>
        </w:rPr>
        <w:t xml:space="preserve"> mark</w:t>
      </w:r>
      <w:r w:rsidR="009867D7">
        <w:rPr>
          <w:sz w:val="24"/>
          <w:szCs w:val="24"/>
        </w:rPr>
        <w:t>,</w:t>
      </w:r>
      <w:r w:rsidR="00801CB4">
        <w:rPr>
          <w:sz w:val="24"/>
          <w:szCs w:val="24"/>
        </w:rPr>
        <w:t xml:space="preserve"> for </w:t>
      </w:r>
      <w:r w:rsidR="00801CB4" w:rsidRPr="00BD1407">
        <w:rPr>
          <w:i/>
          <w:iCs/>
          <w:sz w:val="24"/>
          <w:szCs w:val="24"/>
        </w:rPr>
        <w:t>jurande des m</w:t>
      </w:r>
      <w:r w:rsidR="00A4232A" w:rsidRPr="00BD1407">
        <w:rPr>
          <w:i/>
          <w:iCs/>
          <w:sz w:val="24"/>
          <w:szCs w:val="24"/>
        </w:rPr>
        <w:t>e</w:t>
      </w:r>
      <w:r w:rsidR="00801CB4" w:rsidRPr="00BD1407">
        <w:rPr>
          <w:i/>
          <w:iCs/>
          <w:sz w:val="24"/>
          <w:szCs w:val="24"/>
        </w:rPr>
        <w:t>n</w:t>
      </w:r>
      <w:r w:rsidR="00A4232A" w:rsidRPr="00BD1407">
        <w:rPr>
          <w:i/>
          <w:iCs/>
          <w:sz w:val="24"/>
          <w:szCs w:val="24"/>
        </w:rPr>
        <w:t>u</w:t>
      </w:r>
      <w:r w:rsidR="00801CB4" w:rsidRPr="00BD1407">
        <w:rPr>
          <w:i/>
          <w:iCs/>
          <w:sz w:val="24"/>
          <w:szCs w:val="24"/>
        </w:rPr>
        <w:t>isiers-ébénistes</w:t>
      </w:r>
      <w:r w:rsidR="00801CB4">
        <w:rPr>
          <w:sz w:val="24"/>
          <w:szCs w:val="24"/>
        </w:rPr>
        <w:t xml:space="preserve"> </w:t>
      </w:r>
      <w:r w:rsidR="007A5D32">
        <w:rPr>
          <w:sz w:val="24"/>
          <w:szCs w:val="24"/>
        </w:rPr>
        <w:t>(</w:t>
      </w:r>
      <w:hyperlink w:anchor="fig-6-2" w:history="1">
        <w:r w:rsidR="00C20C98" w:rsidRPr="00C20C98">
          <w:rPr>
            <w:rStyle w:val="Hyperlink"/>
            <w:sz w:val="24"/>
            <w:szCs w:val="24"/>
          </w:rPr>
          <w:t>f</w:t>
        </w:r>
        <w:r w:rsidR="001E7D61" w:rsidRPr="00C20C98">
          <w:rPr>
            <w:rStyle w:val="Hyperlink"/>
            <w:sz w:val="24"/>
            <w:szCs w:val="24"/>
          </w:rPr>
          <w:t xml:space="preserve">ig. </w:t>
        </w:r>
        <w:r w:rsidR="00EC199C" w:rsidRPr="00C20C98">
          <w:rPr>
            <w:rStyle w:val="Hyperlink"/>
            <w:sz w:val="24"/>
            <w:szCs w:val="24"/>
          </w:rPr>
          <w:t>6</w:t>
        </w:r>
        <w:r w:rsidR="00402A84" w:rsidRPr="00C20C98">
          <w:rPr>
            <w:rStyle w:val="Hyperlink"/>
            <w:sz w:val="24"/>
            <w:szCs w:val="24"/>
          </w:rPr>
          <w:t>-2</w:t>
        </w:r>
      </w:hyperlink>
      <w:r w:rsidR="007A5D32">
        <w:rPr>
          <w:sz w:val="24"/>
          <w:szCs w:val="24"/>
        </w:rPr>
        <w:t>)</w:t>
      </w:r>
      <w:r>
        <w:rPr>
          <w:sz w:val="24"/>
          <w:szCs w:val="24"/>
        </w:rPr>
        <w:t>.</w:t>
      </w:r>
      <w:r w:rsidR="00616327">
        <w:rPr>
          <w:sz w:val="24"/>
          <w:szCs w:val="24"/>
        </w:rPr>
        <w:t xml:space="preserve"> </w:t>
      </w:r>
    </w:p>
    <w:p w14:paraId="54A0AB5F" w14:textId="77777777"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32DB349A" w14:textId="77777777"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Commentary</w:t>
      </w:r>
    </w:p>
    <w:p w14:paraId="1E7DD0AA" w14:textId="60ECD984" w:rsidR="00790B90"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The </w:t>
      </w:r>
      <w:r>
        <w:rPr>
          <w:i/>
          <w:sz w:val="24"/>
          <w:szCs w:val="24"/>
        </w:rPr>
        <w:t>commode</w:t>
      </w:r>
      <w:r>
        <w:rPr>
          <w:sz w:val="24"/>
          <w:szCs w:val="24"/>
        </w:rPr>
        <w:t xml:space="preserve"> is stamped </w:t>
      </w:r>
      <w:r w:rsidR="00C20C98">
        <w:rPr>
          <w:sz w:val="24"/>
          <w:szCs w:val="24"/>
        </w:rPr>
        <w:t>“</w:t>
      </w:r>
      <w:r>
        <w:rPr>
          <w:sz w:val="24"/>
          <w:szCs w:val="24"/>
        </w:rPr>
        <w:t>B.V.R.B</w:t>
      </w:r>
      <w:r w:rsidR="00C20C98">
        <w:rPr>
          <w:sz w:val="24"/>
          <w:szCs w:val="24"/>
        </w:rPr>
        <w:t>.</w:t>
      </w:r>
      <w:r w:rsidR="00BD1407">
        <w:rPr>
          <w:sz w:val="24"/>
          <w:szCs w:val="24"/>
        </w:rPr>
        <w:t>,</w:t>
      </w:r>
      <w:r w:rsidR="00C20C98">
        <w:rPr>
          <w:sz w:val="24"/>
          <w:szCs w:val="24"/>
        </w:rPr>
        <w:t>”</w:t>
      </w:r>
      <w:r>
        <w:rPr>
          <w:sz w:val="24"/>
          <w:szCs w:val="24"/>
        </w:rPr>
        <w:t xml:space="preserve"> for Bernard </w:t>
      </w:r>
      <w:r w:rsidR="00E86A8F">
        <w:rPr>
          <w:sz w:val="24"/>
          <w:szCs w:val="24"/>
        </w:rPr>
        <w:t xml:space="preserve">II </w:t>
      </w:r>
      <w:r>
        <w:rPr>
          <w:sz w:val="24"/>
          <w:szCs w:val="24"/>
        </w:rPr>
        <w:t>van Risenburgh.</w:t>
      </w:r>
      <w:r w:rsidR="00790B90">
        <w:rPr>
          <w:rStyle w:val="FootnoteCharacters"/>
          <w:sz w:val="24"/>
          <w:szCs w:val="24"/>
        </w:rPr>
        <w:endnoteReference w:id="1"/>
      </w:r>
      <w:r w:rsidR="00790B90">
        <w:rPr>
          <w:sz w:val="24"/>
          <w:szCs w:val="24"/>
        </w:rPr>
        <w:t xml:space="preserve"> A number of </w:t>
      </w:r>
      <w:r w:rsidR="00790B90" w:rsidRPr="00BD1407">
        <w:rPr>
          <w:iCs/>
          <w:sz w:val="24"/>
          <w:szCs w:val="24"/>
        </w:rPr>
        <w:t>commodes</w:t>
      </w:r>
      <w:r w:rsidR="00790B90">
        <w:rPr>
          <w:sz w:val="24"/>
          <w:szCs w:val="24"/>
        </w:rPr>
        <w:t xml:space="preserve"> of this design and size, with gilt</w:t>
      </w:r>
      <w:r w:rsidR="00C20C98">
        <w:rPr>
          <w:sz w:val="24"/>
          <w:szCs w:val="24"/>
        </w:rPr>
        <w:t xml:space="preserve"> </w:t>
      </w:r>
      <w:r w:rsidR="00790B90">
        <w:rPr>
          <w:sz w:val="24"/>
          <w:szCs w:val="24"/>
        </w:rPr>
        <w:t xml:space="preserve">bronze mounts of the same model, exist. Unless noted </w:t>
      </w:r>
      <w:r w:rsidR="00C20C98">
        <w:rPr>
          <w:sz w:val="24"/>
          <w:szCs w:val="24"/>
        </w:rPr>
        <w:t xml:space="preserve">otherwise, </w:t>
      </w:r>
      <w:r w:rsidR="00790B90">
        <w:rPr>
          <w:sz w:val="24"/>
          <w:szCs w:val="24"/>
        </w:rPr>
        <w:t xml:space="preserve">they all bear </w:t>
      </w:r>
      <w:r w:rsidR="00C20C98">
        <w:rPr>
          <w:sz w:val="24"/>
          <w:szCs w:val="24"/>
        </w:rPr>
        <w:t>V</w:t>
      </w:r>
      <w:r w:rsidR="00790B90">
        <w:rPr>
          <w:sz w:val="24"/>
          <w:szCs w:val="24"/>
        </w:rPr>
        <w:t>an Risenburgh’s stamp.</w:t>
      </w:r>
    </w:p>
    <w:p w14:paraId="5BBABFA1" w14:textId="399EB4AC"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a) Musée des Beaux-Arts de Caen. A</w:t>
      </w:r>
      <w:r w:rsidRPr="00C20C98">
        <w:rPr>
          <w:iCs/>
          <w:sz w:val="24"/>
          <w:szCs w:val="24"/>
        </w:rPr>
        <w:t xml:space="preserve"> </w:t>
      </w:r>
      <w:r w:rsidRPr="00BD1407">
        <w:rPr>
          <w:iCs/>
          <w:sz w:val="24"/>
          <w:szCs w:val="24"/>
        </w:rPr>
        <w:t>commode</w:t>
      </w:r>
      <w:r>
        <w:rPr>
          <w:sz w:val="24"/>
          <w:szCs w:val="24"/>
        </w:rPr>
        <w:t xml:space="preserve"> of the same model and mounts, with the exception of the keyhole escutcheon on the lower drawer. It is veneered with panels of Chinese black and gold painted lacquer showing pagodas, trees, and bridges (</w:t>
      </w:r>
      <w:hyperlink w:anchor="fig-6-3" w:history="1">
        <w:r w:rsidR="00C20C98" w:rsidRPr="00DA1136">
          <w:rPr>
            <w:rStyle w:val="Hyperlink"/>
            <w:sz w:val="24"/>
            <w:szCs w:val="24"/>
          </w:rPr>
          <w:t>f</w:t>
        </w:r>
        <w:r w:rsidRPr="00DA1136">
          <w:rPr>
            <w:rStyle w:val="Hyperlink"/>
            <w:sz w:val="24"/>
            <w:szCs w:val="24"/>
          </w:rPr>
          <w:t xml:space="preserve">ig. </w:t>
        </w:r>
        <w:r w:rsidR="00EC199C" w:rsidRPr="00DA1136">
          <w:rPr>
            <w:rStyle w:val="Hyperlink"/>
            <w:sz w:val="24"/>
            <w:szCs w:val="24"/>
          </w:rPr>
          <w:t>6</w:t>
        </w:r>
        <w:r w:rsidR="00402A84" w:rsidRPr="00DA1136">
          <w:rPr>
            <w:rStyle w:val="Hyperlink"/>
            <w:sz w:val="24"/>
            <w:szCs w:val="24"/>
          </w:rPr>
          <w:t>-3</w:t>
        </w:r>
      </w:hyperlink>
      <w:r>
        <w:rPr>
          <w:sz w:val="24"/>
          <w:szCs w:val="24"/>
        </w:rPr>
        <w:t>).</w:t>
      </w:r>
      <w:r w:rsidRPr="00E86A8F">
        <w:rPr>
          <w:rStyle w:val="EndnoteReference"/>
          <w:sz w:val="24"/>
          <w:szCs w:val="24"/>
        </w:rPr>
        <w:endnoteReference w:id="2"/>
      </w:r>
      <w:r>
        <w:rPr>
          <w:color w:val="FF0000"/>
          <w:sz w:val="24"/>
          <w:szCs w:val="24"/>
        </w:rPr>
        <w:t xml:space="preserve"> </w:t>
      </w:r>
    </w:p>
    <w:p w14:paraId="26567455" w14:textId="67FEFA38"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 xml:space="preserve">b) Victoria and Albert Museum, London. A </w:t>
      </w:r>
      <w:r w:rsidRPr="00BD1407">
        <w:rPr>
          <w:iCs/>
          <w:sz w:val="24"/>
          <w:szCs w:val="24"/>
        </w:rPr>
        <w:t>commode</w:t>
      </w:r>
      <w:r w:rsidRPr="009867D7">
        <w:rPr>
          <w:iCs/>
          <w:sz w:val="24"/>
          <w:szCs w:val="24"/>
        </w:rPr>
        <w:t xml:space="preserve"> </w:t>
      </w:r>
      <w:r>
        <w:rPr>
          <w:sz w:val="24"/>
          <w:szCs w:val="24"/>
        </w:rPr>
        <w:t>of the same model and mounts</w:t>
      </w:r>
      <w:r w:rsidR="009867D7">
        <w:rPr>
          <w:sz w:val="24"/>
          <w:szCs w:val="24"/>
        </w:rPr>
        <w:t>,</w:t>
      </w:r>
      <w:r>
        <w:rPr>
          <w:sz w:val="24"/>
          <w:szCs w:val="24"/>
        </w:rPr>
        <w:t xml:space="preserve"> with the exception of the lower keyhole escutcheon</w:t>
      </w:r>
      <w:r w:rsidR="009867D7">
        <w:rPr>
          <w:sz w:val="24"/>
          <w:szCs w:val="24"/>
        </w:rPr>
        <w:t>, which</w:t>
      </w:r>
      <w:r>
        <w:rPr>
          <w:sz w:val="24"/>
          <w:szCs w:val="24"/>
        </w:rPr>
        <w:t xml:space="preserve"> resembles that on the Caen </w:t>
      </w:r>
      <w:r w:rsidRPr="00BD1407">
        <w:rPr>
          <w:iCs/>
          <w:sz w:val="24"/>
          <w:szCs w:val="24"/>
        </w:rPr>
        <w:t>commode</w:t>
      </w:r>
      <w:r>
        <w:rPr>
          <w:sz w:val="24"/>
          <w:szCs w:val="24"/>
        </w:rPr>
        <w:t xml:space="preserve">. An added arrangement of gilt bronze is found above the center of the lower </w:t>
      </w:r>
      <w:r>
        <w:rPr>
          <w:sz w:val="24"/>
          <w:szCs w:val="24"/>
        </w:rPr>
        <w:lastRenderedPageBreak/>
        <w:t>part of the framing mount. It is veneered with panels of black and gold Japanese lacquer, painted with mountains, landscapes, trees, pagodas</w:t>
      </w:r>
      <w:r w:rsidR="009867D7">
        <w:rPr>
          <w:sz w:val="24"/>
          <w:szCs w:val="24"/>
        </w:rPr>
        <w:t>,</w:t>
      </w:r>
      <w:r>
        <w:rPr>
          <w:sz w:val="24"/>
          <w:szCs w:val="24"/>
        </w:rPr>
        <w:t xml:space="preserve"> and water.</w:t>
      </w:r>
      <w:r>
        <w:rPr>
          <w:rStyle w:val="FootnoteCharacters"/>
          <w:sz w:val="24"/>
          <w:szCs w:val="24"/>
        </w:rPr>
        <w:endnoteReference w:id="3"/>
      </w:r>
      <w:r>
        <w:rPr>
          <w:color w:val="FF0000"/>
          <w:sz w:val="24"/>
          <w:szCs w:val="24"/>
        </w:rPr>
        <w:t xml:space="preserve"> </w:t>
      </w:r>
    </w:p>
    <w:p w14:paraId="5DB9A97C" w14:textId="471C43DE"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c) Sold at Christie</w:t>
      </w:r>
      <w:r w:rsidR="00BD1407">
        <w:rPr>
          <w:sz w:val="24"/>
          <w:szCs w:val="24"/>
        </w:rPr>
        <w:t>’</w:t>
      </w:r>
      <w:r>
        <w:rPr>
          <w:sz w:val="24"/>
          <w:szCs w:val="24"/>
        </w:rPr>
        <w:t xml:space="preserve">s, Monaco, June 16, </w:t>
      </w:r>
      <w:r w:rsidR="009867D7">
        <w:rPr>
          <w:sz w:val="24"/>
          <w:szCs w:val="24"/>
        </w:rPr>
        <w:t xml:space="preserve">2001, </w:t>
      </w:r>
      <w:r>
        <w:rPr>
          <w:sz w:val="24"/>
          <w:szCs w:val="24"/>
        </w:rPr>
        <w:t xml:space="preserve">no.714. A </w:t>
      </w:r>
      <w:r w:rsidRPr="00BD1407">
        <w:rPr>
          <w:iCs/>
          <w:sz w:val="24"/>
          <w:szCs w:val="24"/>
        </w:rPr>
        <w:t>commode</w:t>
      </w:r>
      <w:r w:rsidRPr="009867D7">
        <w:rPr>
          <w:iCs/>
          <w:sz w:val="24"/>
          <w:szCs w:val="24"/>
        </w:rPr>
        <w:t xml:space="preserve"> </w:t>
      </w:r>
      <w:r>
        <w:rPr>
          <w:sz w:val="24"/>
          <w:szCs w:val="24"/>
        </w:rPr>
        <w:t xml:space="preserve">of the same model and mounts, with the exception of the lower keyhole escutcheon, </w:t>
      </w:r>
      <w:r w:rsidR="009867D7">
        <w:rPr>
          <w:sz w:val="24"/>
          <w:szCs w:val="24"/>
        </w:rPr>
        <w:t>which</w:t>
      </w:r>
      <w:r>
        <w:rPr>
          <w:sz w:val="24"/>
          <w:szCs w:val="24"/>
        </w:rPr>
        <w:t xml:space="preserve"> resembles that on (a) and (b) above. It is veneered with panels of black and gold Chinese lacquer showing a bridge, trees, two women, and a child.</w:t>
      </w:r>
      <w:r>
        <w:rPr>
          <w:rStyle w:val="EndnoteReference"/>
          <w:sz w:val="24"/>
          <w:szCs w:val="24"/>
        </w:rPr>
        <w:endnoteReference w:id="4"/>
      </w:r>
      <w:r>
        <w:rPr>
          <w:color w:val="FF0000"/>
          <w:sz w:val="24"/>
          <w:szCs w:val="24"/>
        </w:rPr>
        <w:t xml:space="preserve"> </w:t>
      </w:r>
    </w:p>
    <w:p w14:paraId="36A7D443" w14:textId="01B73CB3"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 xml:space="preserve">d) Partridge Fine Arts, London. Summer exhibition, 1984, no. 23. A </w:t>
      </w:r>
      <w:r w:rsidRPr="00BD1407">
        <w:rPr>
          <w:iCs/>
          <w:sz w:val="24"/>
          <w:szCs w:val="24"/>
        </w:rPr>
        <w:t>commode</w:t>
      </w:r>
      <w:r w:rsidRPr="00C3598B">
        <w:rPr>
          <w:iCs/>
          <w:sz w:val="24"/>
          <w:szCs w:val="24"/>
        </w:rPr>
        <w:t xml:space="preserve"> </w:t>
      </w:r>
      <w:r>
        <w:rPr>
          <w:sz w:val="24"/>
          <w:szCs w:val="24"/>
        </w:rPr>
        <w:t>of the same model and mounts</w:t>
      </w:r>
      <w:r w:rsidR="00C3598B">
        <w:rPr>
          <w:sz w:val="24"/>
          <w:szCs w:val="24"/>
        </w:rPr>
        <w:t>,</w:t>
      </w:r>
      <w:r>
        <w:rPr>
          <w:sz w:val="24"/>
          <w:szCs w:val="24"/>
        </w:rPr>
        <w:t xml:space="preserve"> with the exception of </w:t>
      </w:r>
      <w:r w:rsidR="00C3598B">
        <w:rPr>
          <w:sz w:val="24"/>
          <w:szCs w:val="24"/>
        </w:rPr>
        <w:t xml:space="preserve">the </w:t>
      </w:r>
      <w:r>
        <w:rPr>
          <w:sz w:val="24"/>
          <w:szCs w:val="24"/>
        </w:rPr>
        <w:t xml:space="preserve">lower </w:t>
      </w:r>
      <w:r w:rsidRPr="00AA3FEB">
        <w:rPr>
          <w:sz w:val="24"/>
          <w:szCs w:val="24"/>
        </w:rPr>
        <w:t>keyhole escutcheon</w:t>
      </w:r>
      <w:r>
        <w:rPr>
          <w:sz w:val="24"/>
          <w:szCs w:val="24"/>
        </w:rPr>
        <w:t xml:space="preserve"> and the apron mount. The latter is a replacement as the profile of the original mount can still be seen on the apron. It is veneered with panels of black and gold Japanese lacquer showing mountainous landscapes and trees.</w:t>
      </w:r>
      <w:r>
        <w:rPr>
          <w:rStyle w:val="EndnoteReference"/>
          <w:sz w:val="24"/>
          <w:szCs w:val="24"/>
        </w:rPr>
        <w:endnoteReference w:id="5"/>
      </w:r>
      <w:r>
        <w:rPr>
          <w:sz w:val="24"/>
          <w:szCs w:val="24"/>
        </w:rPr>
        <w:t xml:space="preserve"> </w:t>
      </w:r>
    </w:p>
    <w:p w14:paraId="5F86DC7D" w14:textId="7FAFF729"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 xml:space="preserve">e) Sold, </w:t>
      </w:r>
      <w:r w:rsidRPr="003D7B14">
        <w:rPr>
          <w:sz w:val="24"/>
          <w:szCs w:val="24"/>
        </w:rPr>
        <w:t>Artcurial</w:t>
      </w:r>
      <w:r>
        <w:rPr>
          <w:sz w:val="24"/>
          <w:szCs w:val="24"/>
        </w:rPr>
        <w:t>, Paris, December 13, 2005, lot 119</w:t>
      </w:r>
      <w:r w:rsidR="00C3598B">
        <w:rPr>
          <w:sz w:val="24"/>
          <w:szCs w:val="24"/>
        </w:rPr>
        <w:t>,</w:t>
      </w:r>
      <w:r>
        <w:rPr>
          <w:sz w:val="24"/>
          <w:szCs w:val="24"/>
        </w:rPr>
        <w:t xml:space="preserve"> from the collection of Jean Rossignol and now in the collection of the Musée du domaine départemental de Sceaux</w:t>
      </w:r>
      <w:r w:rsidR="00C3598B">
        <w:rPr>
          <w:sz w:val="24"/>
          <w:szCs w:val="24"/>
        </w:rPr>
        <w:t>.</w:t>
      </w:r>
      <w:r>
        <w:rPr>
          <w:sz w:val="24"/>
          <w:szCs w:val="24"/>
        </w:rPr>
        <w:t xml:space="preserve"> </w:t>
      </w:r>
      <w:r w:rsidR="00C3598B">
        <w:rPr>
          <w:sz w:val="24"/>
          <w:szCs w:val="24"/>
        </w:rPr>
        <w:t>A</w:t>
      </w:r>
      <w:r>
        <w:rPr>
          <w:sz w:val="24"/>
          <w:szCs w:val="24"/>
        </w:rPr>
        <w:t xml:space="preserve"> </w:t>
      </w:r>
      <w:r w:rsidRPr="00BD1407">
        <w:rPr>
          <w:iCs/>
          <w:sz w:val="24"/>
          <w:szCs w:val="24"/>
        </w:rPr>
        <w:t>commode</w:t>
      </w:r>
      <w:r w:rsidRPr="00C3598B">
        <w:rPr>
          <w:iCs/>
          <w:sz w:val="24"/>
          <w:szCs w:val="24"/>
        </w:rPr>
        <w:t xml:space="preserve"> </w:t>
      </w:r>
      <w:r>
        <w:rPr>
          <w:sz w:val="24"/>
          <w:szCs w:val="24"/>
        </w:rPr>
        <w:t>of the same model and mounts</w:t>
      </w:r>
      <w:r w:rsidR="00C3598B">
        <w:rPr>
          <w:sz w:val="24"/>
          <w:szCs w:val="24"/>
        </w:rPr>
        <w:t>,</w:t>
      </w:r>
      <w:r>
        <w:rPr>
          <w:sz w:val="24"/>
          <w:szCs w:val="24"/>
        </w:rPr>
        <w:t xml:space="preserve"> with the exception of the lower section of the corner mounts and the feet mounts. The front, sides</w:t>
      </w:r>
      <w:r w:rsidR="00C3598B">
        <w:rPr>
          <w:sz w:val="24"/>
          <w:szCs w:val="24"/>
        </w:rPr>
        <w:t>,</w:t>
      </w:r>
      <w:r>
        <w:rPr>
          <w:sz w:val="24"/>
          <w:szCs w:val="24"/>
        </w:rPr>
        <w:t xml:space="preserve"> and top are veneered with panels of Coromandel lacquer showing buildings, trees, rocky escarpments, and a bridge peopled with numerous figures. It is not stamped </w:t>
      </w:r>
      <w:r w:rsidR="00C3598B">
        <w:rPr>
          <w:sz w:val="24"/>
          <w:szCs w:val="24"/>
        </w:rPr>
        <w:t>“</w:t>
      </w:r>
      <w:r>
        <w:rPr>
          <w:sz w:val="24"/>
          <w:szCs w:val="24"/>
        </w:rPr>
        <w:t>B.V.R.B</w:t>
      </w:r>
      <w:r w:rsidR="00C3598B">
        <w:rPr>
          <w:sz w:val="24"/>
          <w:szCs w:val="24"/>
        </w:rPr>
        <w:t>.”</w:t>
      </w:r>
      <w:r>
        <w:rPr>
          <w:sz w:val="24"/>
          <w:szCs w:val="24"/>
        </w:rPr>
        <w:t xml:space="preserve"> but bears the mark of the château of Sceaux.</w:t>
      </w:r>
      <w:r>
        <w:rPr>
          <w:rStyle w:val="EndnoteReference"/>
          <w:sz w:val="24"/>
          <w:szCs w:val="24"/>
        </w:rPr>
        <w:endnoteReference w:id="6"/>
      </w:r>
      <w:r>
        <w:rPr>
          <w:color w:val="FF0000"/>
          <w:sz w:val="24"/>
          <w:szCs w:val="24"/>
        </w:rPr>
        <w:t xml:space="preserve"> </w:t>
      </w:r>
    </w:p>
    <w:p w14:paraId="53C5928F" w14:textId="3CCD47D5"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 xml:space="preserve">f) Sold, Palais Galliéra, Paris, June 18 </w:t>
      </w:r>
      <w:r w:rsidR="00C3598B">
        <w:rPr>
          <w:sz w:val="24"/>
          <w:szCs w:val="24"/>
        </w:rPr>
        <w:t>and</w:t>
      </w:r>
      <w:r>
        <w:rPr>
          <w:sz w:val="24"/>
          <w:szCs w:val="24"/>
        </w:rPr>
        <w:t xml:space="preserve"> 19, 1964, lot 184. A </w:t>
      </w:r>
      <w:r w:rsidRPr="00BD1407">
        <w:rPr>
          <w:iCs/>
          <w:sz w:val="24"/>
          <w:szCs w:val="24"/>
        </w:rPr>
        <w:t>commode</w:t>
      </w:r>
      <w:r w:rsidRPr="00C3598B">
        <w:rPr>
          <w:iCs/>
          <w:sz w:val="24"/>
          <w:szCs w:val="24"/>
        </w:rPr>
        <w:t xml:space="preserve"> </w:t>
      </w:r>
      <w:r>
        <w:rPr>
          <w:sz w:val="24"/>
          <w:szCs w:val="24"/>
        </w:rPr>
        <w:t>of the same model and mounts</w:t>
      </w:r>
      <w:r w:rsidR="00C3598B">
        <w:rPr>
          <w:sz w:val="24"/>
          <w:szCs w:val="24"/>
        </w:rPr>
        <w:t>,</w:t>
      </w:r>
      <w:r>
        <w:rPr>
          <w:sz w:val="24"/>
          <w:szCs w:val="24"/>
        </w:rPr>
        <w:t xml:space="preserve"> with the exception of those at the corners and feet. Veneered with wood marquetry of large scrolls on a pale striped ground. Stamped </w:t>
      </w:r>
      <w:r w:rsidR="00C3598B">
        <w:rPr>
          <w:sz w:val="24"/>
          <w:szCs w:val="24"/>
        </w:rPr>
        <w:t>“</w:t>
      </w:r>
      <w:r>
        <w:rPr>
          <w:sz w:val="24"/>
          <w:szCs w:val="24"/>
        </w:rPr>
        <w:t>DELORME</w:t>
      </w:r>
      <w:r w:rsidR="00C3598B">
        <w:rPr>
          <w:sz w:val="24"/>
          <w:szCs w:val="24"/>
        </w:rPr>
        <w:t>”</w:t>
      </w:r>
      <w:r>
        <w:rPr>
          <w:sz w:val="24"/>
          <w:szCs w:val="24"/>
        </w:rPr>
        <w:t xml:space="preserve"> for Adrien Faizelot-Delorme (master 1748, died after 1783).</w:t>
      </w:r>
      <w:r>
        <w:rPr>
          <w:rStyle w:val="FootnoteCharacters"/>
          <w:sz w:val="24"/>
          <w:szCs w:val="24"/>
        </w:rPr>
        <w:endnoteReference w:id="7"/>
      </w:r>
      <w:r>
        <w:rPr>
          <w:color w:val="FF0000"/>
          <w:sz w:val="24"/>
          <w:szCs w:val="24"/>
        </w:rPr>
        <w:t xml:space="preserve"> </w:t>
      </w:r>
    </w:p>
    <w:p w14:paraId="5D94480C" w14:textId="04130559"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g) Sold, Christie</w:t>
      </w:r>
      <w:r w:rsidR="00BD1407">
        <w:rPr>
          <w:sz w:val="24"/>
          <w:szCs w:val="24"/>
        </w:rPr>
        <w:t>’</w:t>
      </w:r>
      <w:r>
        <w:rPr>
          <w:sz w:val="24"/>
          <w:szCs w:val="24"/>
        </w:rPr>
        <w:t xml:space="preserve">s, New York, May 21, 1996, lot 323. A </w:t>
      </w:r>
      <w:r w:rsidRPr="00BD1407">
        <w:rPr>
          <w:iCs/>
          <w:sz w:val="24"/>
          <w:szCs w:val="24"/>
        </w:rPr>
        <w:t>commode</w:t>
      </w:r>
      <w:r w:rsidRPr="00C3598B">
        <w:rPr>
          <w:iCs/>
          <w:sz w:val="24"/>
          <w:szCs w:val="24"/>
        </w:rPr>
        <w:t xml:space="preserve"> </w:t>
      </w:r>
      <w:r>
        <w:rPr>
          <w:sz w:val="24"/>
          <w:szCs w:val="24"/>
        </w:rPr>
        <w:t xml:space="preserve">of the same model </w:t>
      </w:r>
      <w:r>
        <w:rPr>
          <w:sz w:val="24"/>
          <w:szCs w:val="24"/>
        </w:rPr>
        <w:lastRenderedPageBreak/>
        <w:t>and mounts</w:t>
      </w:r>
      <w:r w:rsidR="00C3598B">
        <w:rPr>
          <w:sz w:val="24"/>
          <w:szCs w:val="24"/>
        </w:rPr>
        <w:t>,</w:t>
      </w:r>
      <w:r>
        <w:rPr>
          <w:sz w:val="24"/>
          <w:szCs w:val="24"/>
        </w:rPr>
        <w:t xml:space="preserve"> with the exception of </w:t>
      </w:r>
      <w:r w:rsidR="00C3598B">
        <w:rPr>
          <w:sz w:val="24"/>
          <w:szCs w:val="24"/>
        </w:rPr>
        <w:t>the mounts</w:t>
      </w:r>
      <w:r>
        <w:rPr>
          <w:sz w:val="24"/>
          <w:szCs w:val="24"/>
        </w:rPr>
        <w:t xml:space="preserve"> at the feet. Veneered with tulipwood and </w:t>
      </w:r>
      <w:r w:rsidRPr="00FE0C70">
        <w:rPr>
          <w:sz w:val="24"/>
          <w:szCs w:val="24"/>
        </w:rPr>
        <w:t>amaranth</w:t>
      </w:r>
      <w:r w:rsidR="00C3598B">
        <w:rPr>
          <w:sz w:val="24"/>
          <w:szCs w:val="24"/>
        </w:rPr>
        <w:t xml:space="preserve"> with</w:t>
      </w:r>
      <w:r>
        <w:rPr>
          <w:sz w:val="24"/>
          <w:szCs w:val="24"/>
        </w:rPr>
        <w:t xml:space="preserve"> end cut marquetry. The </w:t>
      </w:r>
      <w:r w:rsidRPr="00BD1407">
        <w:rPr>
          <w:iCs/>
          <w:sz w:val="24"/>
          <w:szCs w:val="24"/>
        </w:rPr>
        <w:t>commode</w:t>
      </w:r>
      <w:r w:rsidRPr="00C3598B">
        <w:rPr>
          <w:iCs/>
          <w:sz w:val="24"/>
          <w:szCs w:val="24"/>
        </w:rPr>
        <w:t xml:space="preserve"> </w:t>
      </w:r>
      <w:r>
        <w:rPr>
          <w:sz w:val="24"/>
          <w:szCs w:val="24"/>
        </w:rPr>
        <w:t>had been previously sold at Christies, New York</w:t>
      </w:r>
      <w:r w:rsidR="00C3598B">
        <w:rPr>
          <w:sz w:val="24"/>
          <w:szCs w:val="24"/>
        </w:rPr>
        <w:t>,</w:t>
      </w:r>
      <w:r>
        <w:rPr>
          <w:sz w:val="24"/>
          <w:szCs w:val="24"/>
        </w:rPr>
        <w:t xml:space="preserve"> in 1994 (October 26, lot 87), and in 1982 at Sotheby’s, Monaco (November 6, no. 186).</w:t>
      </w:r>
      <w:r>
        <w:rPr>
          <w:rStyle w:val="FootnoteCharacters"/>
          <w:sz w:val="24"/>
          <w:szCs w:val="24"/>
        </w:rPr>
        <w:endnoteReference w:id="8"/>
      </w:r>
    </w:p>
    <w:p w14:paraId="1C9CD4DF" w14:textId="17EC8032" w:rsidR="00790B90" w:rsidRPr="003B053E" w:rsidRDefault="00790B90"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highlight w:val="cyan"/>
        </w:rPr>
      </w:pPr>
      <w:r w:rsidRPr="003B053E">
        <w:rPr>
          <w:sz w:val="24"/>
          <w:szCs w:val="24"/>
        </w:rPr>
        <w:tab/>
        <w:t xml:space="preserve">Four other </w:t>
      </w:r>
      <w:r w:rsidRPr="00BD1407">
        <w:rPr>
          <w:iCs/>
          <w:sz w:val="24"/>
          <w:szCs w:val="24"/>
        </w:rPr>
        <w:t>commodes</w:t>
      </w:r>
      <w:r w:rsidRPr="003B053E">
        <w:rPr>
          <w:sz w:val="24"/>
          <w:szCs w:val="24"/>
        </w:rPr>
        <w:t xml:space="preserve"> of this model, similarly mounted but painted with red and gold </w:t>
      </w:r>
      <w:r w:rsidR="00D06E30" w:rsidRPr="00D06E30">
        <w:rPr>
          <w:sz w:val="24"/>
          <w:szCs w:val="24"/>
        </w:rPr>
        <w:t>European lacquer</w:t>
      </w:r>
      <w:r w:rsidR="00C3598B">
        <w:rPr>
          <w:sz w:val="24"/>
          <w:szCs w:val="24"/>
        </w:rPr>
        <w:t>,</w:t>
      </w:r>
      <w:r w:rsidR="00D06E30">
        <w:rPr>
          <w:sz w:val="24"/>
          <w:szCs w:val="24"/>
        </w:rPr>
        <w:t xml:space="preserve"> </w:t>
      </w:r>
      <w:r w:rsidRPr="003B053E">
        <w:rPr>
          <w:sz w:val="24"/>
          <w:szCs w:val="24"/>
        </w:rPr>
        <w:t>exist.</w:t>
      </w:r>
      <w:r w:rsidRPr="003B053E">
        <w:rPr>
          <w:rStyle w:val="FootnoteCharacters"/>
          <w:sz w:val="24"/>
          <w:szCs w:val="24"/>
        </w:rPr>
        <w:endnoteReference w:id="9"/>
      </w:r>
      <w:r w:rsidRPr="003B053E">
        <w:rPr>
          <w:sz w:val="24"/>
          <w:szCs w:val="24"/>
        </w:rPr>
        <w:t xml:space="preserve"> And only one, also similarly mounted, stamped </w:t>
      </w:r>
      <w:r w:rsidR="00C3598B">
        <w:rPr>
          <w:sz w:val="24"/>
          <w:szCs w:val="24"/>
        </w:rPr>
        <w:t>“</w:t>
      </w:r>
      <w:r w:rsidRPr="003B053E">
        <w:rPr>
          <w:sz w:val="24"/>
          <w:szCs w:val="24"/>
        </w:rPr>
        <w:t>B.V.R.B</w:t>
      </w:r>
      <w:r w:rsidR="00C3598B">
        <w:rPr>
          <w:sz w:val="24"/>
          <w:szCs w:val="24"/>
        </w:rPr>
        <w:t>.”</w:t>
      </w:r>
      <w:r w:rsidRPr="003B053E">
        <w:rPr>
          <w:sz w:val="24"/>
          <w:szCs w:val="24"/>
        </w:rPr>
        <w:t xml:space="preserve"> and </w:t>
      </w:r>
      <w:r w:rsidR="00C3598B">
        <w:rPr>
          <w:sz w:val="24"/>
          <w:szCs w:val="24"/>
        </w:rPr>
        <w:t>“</w:t>
      </w:r>
      <w:r w:rsidRPr="003B053E">
        <w:rPr>
          <w:sz w:val="24"/>
          <w:szCs w:val="24"/>
        </w:rPr>
        <w:t>JME</w:t>
      </w:r>
      <w:r w:rsidR="00C3598B">
        <w:rPr>
          <w:sz w:val="24"/>
          <w:szCs w:val="24"/>
        </w:rPr>
        <w:t>”</w:t>
      </w:r>
      <w:r w:rsidRPr="003B053E">
        <w:rPr>
          <w:sz w:val="24"/>
          <w:szCs w:val="24"/>
        </w:rPr>
        <w:t xml:space="preserve"> on the left strut, is decorated, like the Museum’s </w:t>
      </w:r>
      <w:r w:rsidRPr="00BD1407">
        <w:rPr>
          <w:iCs/>
          <w:sz w:val="24"/>
          <w:szCs w:val="24"/>
        </w:rPr>
        <w:t>commode</w:t>
      </w:r>
      <w:r w:rsidRPr="003B053E">
        <w:rPr>
          <w:sz w:val="24"/>
          <w:szCs w:val="24"/>
        </w:rPr>
        <w:t xml:space="preserve">, with Chinese </w:t>
      </w:r>
      <w:r w:rsidR="004010C4">
        <w:rPr>
          <w:sz w:val="24"/>
          <w:szCs w:val="24"/>
        </w:rPr>
        <w:t xml:space="preserve">red </w:t>
      </w:r>
      <w:r w:rsidRPr="003B053E">
        <w:rPr>
          <w:sz w:val="24"/>
          <w:szCs w:val="24"/>
        </w:rPr>
        <w:t>lacquer</w:t>
      </w:r>
      <w:r w:rsidR="00C3598B">
        <w:rPr>
          <w:sz w:val="24"/>
          <w:szCs w:val="24"/>
        </w:rPr>
        <w:t>.</w:t>
      </w:r>
      <w:r w:rsidRPr="003B053E">
        <w:rPr>
          <w:sz w:val="24"/>
          <w:szCs w:val="24"/>
        </w:rPr>
        <w:t xml:space="preserve"> </w:t>
      </w:r>
      <w:r w:rsidR="00C3598B">
        <w:rPr>
          <w:sz w:val="24"/>
          <w:szCs w:val="24"/>
        </w:rPr>
        <w:t>I</w:t>
      </w:r>
      <w:r w:rsidRPr="003B053E">
        <w:rPr>
          <w:sz w:val="24"/>
          <w:szCs w:val="24"/>
        </w:rPr>
        <w:t>t was probably the one delivered by Lazare Duvaux to Marchioness d’Haussy in 1756</w:t>
      </w:r>
      <w:r w:rsidR="00FB55B4">
        <w:rPr>
          <w:sz w:val="24"/>
          <w:szCs w:val="24"/>
        </w:rPr>
        <w:t xml:space="preserve"> (</w:t>
      </w:r>
      <w:hyperlink w:anchor="fig.-6-4" w:history="1">
        <w:r w:rsidR="00C20C98" w:rsidRPr="00020873">
          <w:rPr>
            <w:rStyle w:val="Hyperlink"/>
            <w:sz w:val="24"/>
            <w:szCs w:val="24"/>
          </w:rPr>
          <w:t>f</w:t>
        </w:r>
        <w:r w:rsidR="00FB55B4" w:rsidRPr="00020873">
          <w:rPr>
            <w:rStyle w:val="Hyperlink"/>
            <w:sz w:val="24"/>
            <w:szCs w:val="24"/>
          </w:rPr>
          <w:t xml:space="preserve">ig. </w:t>
        </w:r>
        <w:r w:rsidR="00EC199C" w:rsidRPr="00020873">
          <w:rPr>
            <w:rStyle w:val="Hyperlink"/>
            <w:sz w:val="24"/>
            <w:szCs w:val="24"/>
          </w:rPr>
          <w:t>6</w:t>
        </w:r>
        <w:r w:rsidR="00402A84" w:rsidRPr="00020873">
          <w:rPr>
            <w:rStyle w:val="Hyperlink"/>
            <w:sz w:val="24"/>
            <w:szCs w:val="24"/>
          </w:rPr>
          <w:t>-4</w:t>
        </w:r>
      </w:hyperlink>
      <w:r w:rsidR="00FB55B4">
        <w:rPr>
          <w:sz w:val="24"/>
          <w:szCs w:val="24"/>
        </w:rPr>
        <w:t>)</w:t>
      </w:r>
      <w:r w:rsidRPr="003B053E">
        <w:rPr>
          <w:sz w:val="24"/>
          <w:szCs w:val="24"/>
        </w:rPr>
        <w:t>.</w:t>
      </w:r>
      <w:r w:rsidRPr="003B053E">
        <w:rPr>
          <w:rStyle w:val="EndnoteReference"/>
          <w:sz w:val="24"/>
          <w:szCs w:val="24"/>
        </w:rPr>
        <w:endnoteReference w:id="10"/>
      </w:r>
      <w:r>
        <w:rPr>
          <w:sz w:val="24"/>
          <w:szCs w:val="24"/>
        </w:rPr>
        <w:t xml:space="preserve"> All of them show</w:t>
      </w:r>
      <w:r w:rsidRPr="003B053E">
        <w:rPr>
          <w:sz w:val="24"/>
          <w:szCs w:val="24"/>
        </w:rPr>
        <w:t xml:space="preserve"> the same scene </w:t>
      </w:r>
      <w:r w:rsidR="00020873">
        <w:rPr>
          <w:sz w:val="24"/>
          <w:szCs w:val="24"/>
        </w:rPr>
        <w:t>of</w:t>
      </w:r>
      <w:r w:rsidRPr="003B053E">
        <w:rPr>
          <w:sz w:val="24"/>
          <w:szCs w:val="24"/>
        </w:rPr>
        <w:t xml:space="preserve"> numerous figures robed in gold stand</w:t>
      </w:r>
      <w:r>
        <w:rPr>
          <w:sz w:val="24"/>
          <w:szCs w:val="24"/>
        </w:rPr>
        <w:t>ing</w:t>
      </w:r>
      <w:r w:rsidRPr="003B053E">
        <w:rPr>
          <w:sz w:val="24"/>
          <w:szCs w:val="24"/>
        </w:rPr>
        <w:t xml:space="preserve"> on an open-air terrace surrounded by low screens as found on the Museum’s commode. But the Museum’s commode is the only one that has </w:t>
      </w:r>
      <w:r>
        <w:rPr>
          <w:sz w:val="24"/>
          <w:szCs w:val="24"/>
        </w:rPr>
        <w:t>a figure i</w:t>
      </w:r>
      <w:r w:rsidRPr="003B053E">
        <w:rPr>
          <w:sz w:val="24"/>
          <w:szCs w:val="24"/>
        </w:rPr>
        <w:t xml:space="preserve">n the foreground to the right. Consequently, the painter who did the first </w:t>
      </w:r>
      <w:r w:rsidR="00D06E30" w:rsidRPr="00D06E30">
        <w:rPr>
          <w:sz w:val="24"/>
          <w:szCs w:val="24"/>
        </w:rPr>
        <w:t>European lacquer</w:t>
      </w:r>
      <w:r w:rsidR="00D06E30">
        <w:rPr>
          <w:sz w:val="24"/>
          <w:szCs w:val="24"/>
        </w:rPr>
        <w:t xml:space="preserve"> </w:t>
      </w:r>
      <w:r w:rsidRPr="003B053E">
        <w:rPr>
          <w:sz w:val="24"/>
          <w:szCs w:val="24"/>
        </w:rPr>
        <w:t xml:space="preserve">commode copied the scene after the Chinese lacquer </w:t>
      </w:r>
      <w:r w:rsidRPr="00BD1407">
        <w:rPr>
          <w:iCs/>
          <w:sz w:val="24"/>
          <w:szCs w:val="24"/>
        </w:rPr>
        <w:t>commode</w:t>
      </w:r>
      <w:r>
        <w:rPr>
          <w:sz w:val="24"/>
          <w:szCs w:val="24"/>
        </w:rPr>
        <w:t xml:space="preserve"> now at the Louvre Abu Dhabi</w:t>
      </w:r>
      <w:r w:rsidRPr="003B053E">
        <w:rPr>
          <w:sz w:val="24"/>
          <w:szCs w:val="24"/>
        </w:rPr>
        <w:t xml:space="preserve"> and not the Museum’s </w:t>
      </w:r>
      <w:r w:rsidRPr="00BD1407">
        <w:rPr>
          <w:iCs/>
          <w:sz w:val="24"/>
          <w:szCs w:val="24"/>
        </w:rPr>
        <w:t>commode</w:t>
      </w:r>
      <w:r w:rsidRPr="003B053E">
        <w:rPr>
          <w:sz w:val="24"/>
          <w:szCs w:val="24"/>
        </w:rPr>
        <w:t>, and he or the other painters then followed sui</w:t>
      </w:r>
      <w:r>
        <w:rPr>
          <w:sz w:val="24"/>
          <w:szCs w:val="24"/>
        </w:rPr>
        <w:t>t</w:t>
      </w:r>
      <w:r w:rsidRPr="003B053E">
        <w:rPr>
          <w:sz w:val="24"/>
          <w:szCs w:val="24"/>
        </w:rPr>
        <w:t xml:space="preserve">. One, who painted the </w:t>
      </w:r>
      <w:r w:rsidRPr="00BD1407">
        <w:rPr>
          <w:iCs/>
          <w:sz w:val="24"/>
          <w:szCs w:val="24"/>
        </w:rPr>
        <w:t>commode</w:t>
      </w:r>
      <w:r w:rsidRPr="00020873">
        <w:rPr>
          <w:iCs/>
          <w:sz w:val="24"/>
          <w:szCs w:val="24"/>
        </w:rPr>
        <w:t xml:space="preserve"> </w:t>
      </w:r>
      <w:r w:rsidRPr="003B053E">
        <w:rPr>
          <w:sz w:val="24"/>
          <w:szCs w:val="24"/>
        </w:rPr>
        <w:t xml:space="preserve">now in the </w:t>
      </w:r>
      <w:r w:rsidR="00BD1407">
        <w:rPr>
          <w:sz w:val="24"/>
          <w:szCs w:val="24"/>
        </w:rPr>
        <w:t>m</w:t>
      </w:r>
      <w:r w:rsidRPr="003B053E">
        <w:rPr>
          <w:sz w:val="24"/>
          <w:szCs w:val="24"/>
        </w:rPr>
        <w:t>usée des Beaux-Arts, Dijon, could not resist the use of European vanishing perspective when depicting the central carpet.</w:t>
      </w:r>
      <w:r w:rsidRPr="003B053E">
        <w:rPr>
          <w:rStyle w:val="EndnoteReference"/>
          <w:sz w:val="24"/>
          <w:szCs w:val="24"/>
        </w:rPr>
        <w:endnoteReference w:id="11"/>
      </w:r>
      <w:r w:rsidRPr="003B053E">
        <w:rPr>
          <w:sz w:val="24"/>
          <w:szCs w:val="24"/>
        </w:rPr>
        <w:t xml:space="preserve"> The fact that two nearly identical large panels of Chinese lacquer, with only one figure distinguishing one from the other, were used to make two very similar commodes is a good example of the production of multiples that China did for lacquer export. An X-ray of the </w:t>
      </w:r>
      <w:r w:rsidR="00020873">
        <w:rPr>
          <w:sz w:val="24"/>
          <w:szCs w:val="24"/>
        </w:rPr>
        <w:t>Museum’s</w:t>
      </w:r>
      <w:r w:rsidRPr="003B053E">
        <w:rPr>
          <w:sz w:val="24"/>
          <w:szCs w:val="24"/>
        </w:rPr>
        <w:t xml:space="preserve"> </w:t>
      </w:r>
      <w:r w:rsidRPr="00BD1407">
        <w:rPr>
          <w:iCs/>
          <w:sz w:val="24"/>
          <w:szCs w:val="24"/>
        </w:rPr>
        <w:t>commode</w:t>
      </w:r>
      <w:r w:rsidRPr="003B053E">
        <w:rPr>
          <w:sz w:val="24"/>
          <w:szCs w:val="24"/>
        </w:rPr>
        <w:t xml:space="preserve"> reveals that the panel of Chinese lacquer only</w:t>
      </w:r>
      <w:r>
        <w:rPr>
          <w:sz w:val="24"/>
          <w:szCs w:val="24"/>
        </w:rPr>
        <w:t xml:space="preserve"> extends to just above the portrayal of the central staircase. This addition to the scene is painted in</w:t>
      </w:r>
      <w:r>
        <w:rPr>
          <w:i/>
          <w:iCs/>
          <w:sz w:val="24"/>
          <w:szCs w:val="24"/>
        </w:rPr>
        <w:t xml:space="preserve"> </w:t>
      </w:r>
      <w:r w:rsidR="00D06E30" w:rsidRPr="00D06E30">
        <w:rPr>
          <w:sz w:val="24"/>
          <w:szCs w:val="24"/>
        </w:rPr>
        <w:t>European lacquer</w:t>
      </w:r>
      <w:r>
        <w:rPr>
          <w:sz w:val="24"/>
          <w:szCs w:val="24"/>
        </w:rPr>
        <w:t xml:space="preserve">, and the steps are therefore drawn in European perspective (See </w:t>
      </w:r>
      <w:r w:rsidR="00020873">
        <w:rPr>
          <w:sz w:val="24"/>
          <w:szCs w:val="24"/>
        </w:rPr>
        <w:t>“</w:t>
      </w:r>
      <w:r>
        <w:rPr>
          <w:sz w:val="24"/>
          <w:szCs w:val="24"/>
        </w:rPr>
        <w:t xml:space="preserve">Technical </w:t>
      </w:r>
      <w:r w:rsidR="00020873">
        <w:rPr>
          <w:sz w:val="24"/>
          <w:szCs w:val="24"/>
        </w:rPr>
        <w:t>Description”</w:t>
      </w:r>
      <w:r w:rsidR="00850E2F">
        <w:rPr>
          <w:sz w:val="24"/>
          <w:szCs w:val="24"/>
        </w:rPr>
        <w:t xml:space="preserve"> below</w:t>
      </w:r>
      <w:r>
        <w:rPr>
          <w:sz w:val="24"/>
          <w:szCs w:val="24"/>
        </w:rPr>
        <w:t>).</w:t>
      </w:r>
    </w:p>
    <w:p w14:paraId="479F20B0" w14:textId="13A54102" w:rsidR="00790B90" w:rsidRDefault="00790B90"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ab/>
        <w:t>By the early 1750s, when the</w:t>
      </w:r>
      <w:r>
        <w:rPr>
          <w:i/>
          <w:iCs/>
          <w:sz w:val="24"/>
          <w:szCs w:val="24"/>
        </w:rPr>
        <w:t xml:space="preserve"> marchand</w:t>
      </w:r>
      <w:r w:rsidR="00C20C98">
        <w:rPr>
          <w:i/>
          <w:iCs/>
          <w:sz w:val="24"/>
          <w:szCs w:val="24"/>
        </w:rPr>
        <w:t>-</w:t>
      </w:r>
      <w:r>
        <w:rPr>
          <w:i/>
          <w:iCs/>
          <w:sz w:val="24"/>
          <w:szCs w:val="24"/>
        </w:rPr>
        <w:t>mercier</w:t>
      </w:r>
      <w:r>
        <w:rPr>
          <w:sz w:val="24"/>
          <w:szCs w:val="24"/>
        </w:rPr>
        <w:t xml:space="preserve"> Thomas</w:t>
      </w:r>
      <w:r w:rsidR="008C7FB5">
        <w:rPr>
          <w:sz w:val="24"/>
          <w:szCs w:val="24"/>
        </w:rPr>
        <w:t xml:space="preserve"> </w:t>
      </w:r>
      <w:r>
        <w:rPr>
          <w:sz w:val="24"/>
          <w:szCs w:val="24"/>
        </w:rPr>
        <w:t xml:space="preserve">Joachim Hébert had retired from business, </w:t>
      </w:r>
      <w:r w:rsidR="00C20C98">
        <w:rPr>
          <w:sz w:val="24"/>
          <w:szCs w:val="24"/>
        </w:rPr>
        <w:t>V</w:t>
      </w:r>
      <w:r>
        <w:rPr>
          <w:sz w:val="24"/>
          <w:szCs w:val="24"/>
        </w:rPr>
        <w:t xml:space="preserve">an Risenburgh was working primarily for Lazare Duvaux. In this </w:t>
      </w:r>
      <w:r w:rsidRPr="00247347">
        <w:rPr>
          <w:i/>
          <w:iCs/>
          <w:sz w:val="24"/>
          <w:szCs w:val="24"/>
        </w:rPr>
        <w:t>marchand</w:t>
      </w:r>
      <w:r w:rsidR="00C20C98">
        <w:rPr>
          <w:i/>
          <w:iCs/>
          <w:sz w:val="24"/>
          <w:szCs w:val="24"/>
        </w:rPr>
        <w:t>-</w:t>
      </w:r>
      <w:r>
        <w:rPr>
          <w:sz w:val="24"/>
          <w:szCs w:val="24"/>
        </w:rPr>
        <w:t xml:space="preserve"> </w:t>
      </w:r>
      <w:r>
        <w:rPr>
          <w:i/>
          <w:iCs/>
          <w:sz w:val="24"/>
          <w:szCs w:val="24"/>
        </w:rPr>
        <w:lastRenderedPageBreak/>
        <w:t>mercier</w:t>
      </w:r>
      <w:r w:rsidR="00C20C98">
        <w:rPr>
          <w:sz w:val="24"/>
          <w:szCs w:val="24"/>
        </w:rPr>
        <w:t>’</w:t>
      </w:r>
      <w:r>
        <w:rPr>
          <w:iCs/>
          <w:sz w:val="24"/>
          <w:szCs w:val="24"/>
        </w:rPr>
        <w:t>s</w:t>
      </w:r>
      <w:r>
        <w:rPr>
          <w:sz w:val="24"/>
          <w:szCs w:val="24"/>
        </w:rPr>
        <w:t xml:space="preserve"> surviving journals for the years 1748 to 1758 the following </w:t>
      </w:r>
      <w:r w:rsidRPr="00BD1407">
        <w:rPr>
          <w:iCs/>
          <w:sz w:val="24"/>
          <w:szCs w:val="24"/>
        </w:rPr>
        <w:t>commodes</w:t>
      </w:r>
      <w:r w:rsidRPr="00C20C98">
        <w:rPr>
          <w:iCs/>
          <w:sz w:val="24"/>
          <w:szCs w:val="24"/>
        </w:rPr>
        <w:t xml:space="preserve"> </w:t>
      </w:r>
      <w:r>
        <w:rPr>
          <w:sz w:val="24"/>
          <w:szCs w:val="24"/>
        </w:rPr>
        <w:t>are listed:</w:t>
      </w:r>
    </w:p>
    <w:p w14:paraId="3EB5EA30" w14:textId="77777777" w:rsidR="00790B90"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rPr>
      </w:pPr>
      <w:r>
        <w:rPr>
          <w:sz w:val="24"/>
          <w:szCs w:val="24"/>
        </w:rPr>
        <w:t>[May 1754] M. Dufour, le père: Une commode de vernis rouge à pagodes, ornée partout en bronze doré d'or moulu, le marbre de vert campan, 720 l.</w:t>
      </w:r>
      <w:r>
        <w:rPr>
          <w:rStyle w:val="EndnoteReference"/>
          <w:sz w:val="24"/>
          <w:szCs w:val="24"/>
        </w:rPr>
        <w:endnoteReference w:id="12"/>
      </w:r>
    </w:p>
    <w:p w14:paraId="63E5FCA4" w14:textId="56C3EC89"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w:t>
      </w:r>
      <w:r w:rsidR="00C20C98">
        <w:rPr>
          <w:sz w:val="24"/>
          <w:szCs w:val="24"/>
          <w:lang w:val="es-MX"/>
        </w:rPr>
        <w:t xml:space="preserve"> . . . </w:t>
      </w:r>
      <w:r w:rsidRPr="00402A84">
        <w:rPr>
          <w:sz w:val="24"/>
          <w:szCs w:val="24"/>
          <w:lang w:val="es-MX"/>
        </w:rPr>
        <w:t>]</w:t>
      </w:r>
    </w:p>
    <w:p w14:paraId="091A0B2E" w14:textId="77777777"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[June 1754] Mme la Duchesse de Mirepoix: une commode plaquée en vernis rouge à pagodes, garnie partout en bronze doré d'or moulu, avec son marbre de vert campan de trois pieds &amp; demi, 720 l.</w:t>
      </w:r>
      <w:r>
        <w:rPr>
          <w:rStyle w:val="EndnoteReference"/>
          <w:sz w:val="24"/>
          <w:szCs w:val="24"/>
        </w:rPr>
        <w:endnoteReference w:id="13"/>
      </w:r>
    </w:p>
    <w:p w14:paraId="472B90E5" w14:textId="4D58F924"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w:t>
      </w:r>
      <w:r w:rsidR="00C20C98">
        <w:rPr>
          <w:sz w:val="24"/>
          <w:szCs w:val="24"/>
          <w:lang w:val="es-MX"/>
        </w:rPr>
        <w:t xml:space="preserve"> . . . </w:t>
      </w:r>
      <w:r w:rsidRPr="00402A84">
        <w:rPr>
          <w:sz w:val="24"/>
          <w:szCs w:val="24"/>
          <w:lang w:val="es-MX"/>
        </w:rPr>
        <w:t>]</w:t>
      </w:r>
    </w:p>
    <w:p w14:paraId="6D6268F8" w14:textId="351C605B"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[October 1756] Mme la Marq. d</w:t>
      </w:r>
      <w:r w:rsidR="00E040FD">
        <w:rPr>
          <w:sz w:val="24"/>
          <w:szCs w:val="24"/>
          <w:lang w:val="es-MX"/>
        </w:rPr>
        <w:t>’</w:t>
      </w:r>
      <w:r w:rsidRPr="00402A84">
        <w:rPr>
          <w:sz w:val="24"/>
          <w:szCs w:val="24"/>
          <w:lang w:val="es-MX"/>
        </w:rPr>
        <w:t>Haussy: une commode de vernis la Chine, en rouge à pagodes, garnie partout en bronze doré d'or moulu, avec son marbre de vert campan de trois pieds &amp; demi, 720 l.</w:t>
      </w:r>
      <w:r>
        <w:rPr>
          <w:rStyle w:val="EndnoteReference"/>
          <w:sz w:val="24"/>
          <w:szCs w:val="24"/>
        </w:rPr>
        <w:endnoteReference w:id="14"/>
      </w:r>
    </w:p>
    <w:p w14:paraId="7361F2BE" w14:textId="3B227688"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w:t>
      </w:r>
      <w:r w:rsidR="00C20C98">
        <w:rPr>
          <w:sz w:val="24"/>
          <w:szCs w:val="24"/>
          <w:lang w:val="es-MX"/>
        </w:rPr>
        <w:t xml:space="preserve"> . . . </w:t>
      </w:r>
      <w:r w:rsidRPr="00402A84">
        <w:rPr>
          <w:sz w:val="24"/>
          <w:szCs w:val="24"/>
          <w:lang w:val="es-MX"/>
        </w:rPr>
        <w:t>]</w:t>
      </w:r>
    </w:p>
    <w:p w14:paraId="0FAA5E95" w14:textId="0ED37541"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[December 1756] S. A. S. Mgr le Duc d</w:t>
      </w:r>
      <w:r w:rsidR="00E040FD">
        <w:rPr>
          <w:sz w:val="24"/>
          <w:szCs w:val="24"/>
          <w:lang w:val="es-MX"/>
        </w:rPr>
        <w:t>’</w:t>
      </w:r>
      <w:r w:rsidRPr="00402A84">
        <w:rPr>
          <w:sz w:val="24"/>
          <w:szCs w:val="24"/>
          <w:lang w:val="es-MX"/>
        </w:rPr>
        <w:t>Orléans: une commode de lacq rouge, garnie partout en bronze doré d'or moulu, le marbre d'Alep, 720 l.</w:t>
      </w:r>
      <w:r>
        <w:rPr>
          <w:rStyle w:val="EndnoteReference"/>
          <w:sz w:val="24"/>
          <w:szCs w:val="24"/>
        </w:rPr>
        <w:endnoteReference w:id="15"/>
      </w:r>
    </w:p>
    <w:p w14:paraId="15FB41D7" w14:textId="6B1EE5FA"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w:t>
      </w:r>
      <w:r w:rsidR="00C20C98">
        <w:rPr>
          <w:sz w:val="24"/>
          <w:szCs w:val="24"/>
          <w:lang w:val="es-MX"/>
        </w:rPr>
        <w:t xml:space="preserve"> . . . </w:t>
      </w:r>
      <w:r w:rsidRPr="00402A84">
        <w:rPr>
          <w:sz w:val="24"/>
          <w:szCs w:val="24"/>
          <w:lang w:val="es-MX"/>
        </w:rPr>
        <w:t>]</w:t>
      </w:r>
    </w:p>
    <w:p w14:paraId="63198210" w14:textId="77777777" w:rsidR="00790B90" w:rsidRPr="00402A84" w:rsidRDefault="00790B90" w:rsidP="00C20C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es-MX"/>
        </w:rPr>
      </w:pPr>
      <w:r w:rsidRPr="00402A84">
        <w:rPr>
          <w:sz w:val="24"/>
          <w:szCs w:val="24"/>
          <w:lang w:val="es-MX"/>
        </w:rPr>
        <w:t>[March 1758] M. Duperron: une commode de vernis rouge, garnie partout de bronze doré d'or moulu, avec son marbre de vert campan de trois pieds &amp; demi, 720 l.</w:t>
      </w:r>
      <w:r>
        <w:rPr>
          <w:rStyle w:val="FootnoteCharacters"/>
          <w:sz w:val="24"/>
          <w:szCs w:val="24"/>
        </w:rPr>
        <w:endnoteReference w:id="16"/>
      </w:r>
    </w:p>
    <w:p w14:paraId="649F790D" w14:textId="6967F3DC" w:rsidR="002F11C7" w:rsidRDefault="002F11C7" w:rsidP="00BC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Pr>
          <w:sz w:val="24"/>
          <w:szCs w:val="24"/>
        </w:rPr>
        <w:t xml:space="preserve">These five </w:t>
      </w:r>
      <w:r>
        <w:rPr>
          <w:i/>
          <w:sz w:val="24"/>
          <w:szCs w:val="24"/>
        </w:rPr>
        <w:t>commodes</w:t>
      </w:r>
      <w:r>
        <w:rPr>
          <w:sz w:val="24"/>
          <w:szCs w:val="24"/>
        </w:rPr>
        <w:t xml:space="preserve"> all cost the same and are similarly described. It is very likely that they are the ones that are known today. All had marble tops of </w:t>
      </w:r>
      <w:r>
        <w:rPr>
          <w:i/>
          <w:sz w:val="24"/>
          <w:szCs w:val="24"/>
        </w:rPr>
        <w:t xml:space="preserve">vert </w:t>
      </w:r>
      <w:r w:rsidR="00E040FD">
        <w:rPr>
          <w:i/>
          <w:sz w:val="24"/>
          <w:szCs w:val="24"/>
        </w:rPr>
        <w:t>c</w:t>
      </w:r>
      <w:r>
        <w:rPr>
          <w:i/>
          <w:sz w:val="24"/>
          <w:szCs w:val="24"/>
        </w:rPr>
        <w:t>ampan</w:t>
      </w:r>
      <w:r w:rsidR="00020873">
        <w:rPr>
          <w:iCs/>
          <w:sz w:val="24"/>
          <w:szCs w:val="24"/>
        </w:rPr>
        <w:t>,</w:t>
      </w:r>
      <w:r>
        <w:rPr>
          <w:sz w:val="24"/>
          <w:szCs w:val="24"/>
        </w:rPr>
        <w:t xml:space="preserve"> except for the single lacquered example sold to the duc d</w:t>
      </w:r>
      <w:r w:rsidR="00020873">
        <w:rPr>
          <w:sz w:val="24"/>
          <w:szCs w:val="24"/>
        </w:rPr>
        <w:t>’</w:t>
      </w:r>
      <w:r>
        <w:rPr>
          <w:sz w:val="24"/>
          <w:szCs w:val="24"/>
        </w:rPr>
        <w:t>Orléans</w:t>
      </w:r>
      <w:r w:rsidR="00C173C8">
        <w:rPr>
          <w:sz w:val="24"/>
          <w:szCs w:val="24"/>
        </w:rPr>
        <w:t xml:space="preserve">, </w:t>
      </w:r>
      <w:r>
        <w:rPr>
          <w:sz w:val="24"/>
          <w:szCs w:val="24"/>
        </w:rPr>
        <w:t xml:space="preserve">which is described as having a top of </w:t>
      </w:r>
      <w:r>
        <w:rPr>
          <w:i/>
          <w:iCs/>
          <w:sz w:val="24"/>
          <w:szCs w:val="24"/>
        </w:rPr>
        <w:t>brèche d</w:t>
      </w:r>
      <w:r w:rsidR="00020873">
        <w:rPr>
          <w:i/>
          <w:iCs/>
          <w:sz w:val="24"/>
          <w:szCs w:val="24"/>
        </w:rPr>
        <w:t>’</w:t>
      </w:r>
      <w:r>
        <w:rPr>
          <w:i/>
          <w:iCs/>
          <w:sz w:val="24"/>
          <w:szCs w:val="24"/>
        </w:rPr>
        <w:t>Alep</w:t>
      </w:r>
      <w:r>
        <w:rPr>
          <w:sz w:val="24"/>
          <w:szCs w:val="24"/>
        </w:rPr>
        <w:t xml:space="preserve">. The </w:t>
      </w:r>
      <w:r w:rsidR="00020873">
        <w:rPr>
          <w:sz w:val="24"/>
          <w:szCs w:val="24"/>
        </w:rPr>
        <w:t>Museum’s</w:t>
      </w:r>
      <w:r>
        <w:rPr>
          <w:sz w:val="24"/>
          <w:szCs w:val="24"/>
        </w:rPr>
        <w:t xml:space="preserve"> </w:t>
      </w:r>
      <w:r w:rsidRPr="00BD1407">
        <w:rPr>
          <w:iCs/>
          <w:sz w:val="24"/>
          <w:szCs w:val="24"/>
        </w:rPr>
        <w:t>commode</w:t>
      </w:r>
      <w:r w:rsidRPr="00020873">
        <w:rPr>
          <w:iCs/>
          <w:sz w:val="24"/>
          <w:szCs w:val="24"/>
        </w:rPr>
        <w:t xml:space="preserve"> </w:t>
      </w:r>
      <w:r>
        <w:rPr>
          <w:sz w:val="24"/>
          <w:szCs w:val="24"/>
        </w:rPr>
        <w:t>is topped with this stone</w:t>
      </w:r>
      <w:r w:rsidR="00020873">
        <w:rPr>
          <w:sz w:val="24"/>
          <w:szCs w:val="24"/>
        </w:rPr>
        <w:t>,</w:t>
      </w:r>
      <w:r>
        <w:rPr>
          <w:sz w:val="24"/>
          <w:szCs w:val="24"/>
        </w:rPr>
        <w:t xml:space="preserve"> and it is therefore possible that it is the one made for Orléans. It is of interest to note that the first three of the five red lacquer </w:t>
      </w:r>
      <w:r w:rsidRPr="00BD1407">
        <w:rPr>
          <w:iCs/>
          <w:sz w:val="24"/>
          <w:szCs w:val="24"/>
        </w:rPr>
        <w:t>commodes</w:t>
      </w:r>
      <w:r w:rsidRPr="00020873">
        <w:rPr>
          <w:iCs/>
          <w:sz w:val="24"/>
          <w:szCs w:val="24"/>
        </w:rPr>
        <w:t xml:space="preserve"> </w:t>
      </w:r>
      <w:r>
        <w:rPr>
          <w:sz w:val="24"/>
          <w:szCs w:val="24"/>
        </w:rPr>
        <w:t xml:space="preserve">to be purchased from Lazare Duvaux were in </w:t>
      </w:r>
      <w:r w:rsidR="00D06E30" w:rsidRPr="00D06E30">
        <w:rPr>
          <w:sz w:val="24"/>
          <w:szCs w:val="24"/>
        </w:rPr>
        <w:t xml:space="preserve">European </w:t>
      </w:r>
      <w:r w:rsidR="00E150D1">
        <w:rPr>
          <w:sz w:val="24"/>
          <w:szCs w:val="24"/>
        </w:rPr>
        <w:t xml:space="preserve">red </w:t>
      </w:r>
      <w:r w:rsidR="00D06E30" w:rsidRPr="00D06E30">
        <w:rPr>
          <w:sz w:val="24"/>
          <w:szCs w:val="24"/>
        </w:rPr>
        <w:t>lacquer</w:t>
      </w:r>
      <w:r>
        <w:rPr>
          <w:sz w:val="24"/>
          <w:szCs w:val="24"/>
        </w:rPr>
        <w:t xml:space="preserve">, which may have </w:t>
      </w:r>
      <w:r>
        <w:rPr>
          <w:sz w:val="24"/>
          <w:szCs w:val="24"/>
        </w:rPr>
        <w:lastRenderedPageBreak/>
        <w:t xml:space="preserve">been more popular in </w:t>
      </w:r>
      <w:r w:rsidR="0096578E">
        <w:rPr>
          <w:sz w:val="24"/>
          <w:szCs w:val="24"/>
        </w:rPr>
        <w:t>its</w:t>
      </w:r>
      <w:r>
        <w:rPr>
          <w:sz w:val="24"/>
          <w:szCs w:val="24"/>
        </w:rPr>
        <w:t xml:space="preserve"> pristine condition tha</w:t>
      </w:r>
      <w:r w:rsidR="00C173C8">
        <w:rPr>
          <w:sz w:val="24"/>
          <w:szCs w:val="24"/>
        </w:rPr>
        <w:t>n</w:t>
      </w:r>
      <w:r>
        <w:rPr>
          <w:sz w:val="24"/>
          <w:szCs w:val="24"/>
        </w:rPr>
        <w:t xml:space="preserve"> the older genuine Chinese lacquer.</w:t>
      </w:r>
    </w:p>
    <w:p w14:paraId="54F3CE60" w14:textId="77777777" w:rsidR="002F11C7" w:rsidRPr="001A336F" w:rsidRDefault="002F11C7" w:rsidP="001A3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28410CDF" w14:textId="66C1F5C7" w:rsidR="002F11C7" w:rsidRDefault="00BC0960" w:rsidP="00020873">
      <w:pPr>
        <w:pStyle w:val="Heading2"/>
        <w:rPr>
          <w:b/>
          <w:bCs/>
          <w:i/>
          <w:iCs/>
          <w:color w:val="auto"/>
        </w:rPr>
      </w:pPr>
      <w:r w:rsidRPr="00020873">
        <w:rPr>
          <w:b/>
          <w:bCs/>
          <w:i/>
          <w:iCs/>
          <w:color w:val="auto"/>
        </w:rPr>
        <w:t>Provenance</w:t>
      </w:r>
    </w:p>
    <w:p w14:paraId="39FEC230" w14:textId="77777777" w:rsidR="00020873" w:rsidRPr="00020873" w:rsidRDefault="00020873" w:rsidP="00020873"/>
    <w:p w14:paraId="6BD21615" w14:textId="50BFDFF4" w:rsidR="001A336F" w:rsidRPr="001A336F" w:rsidRDefault="00020873" w:rsidP="001A336F">
      <w:pPr>
        <w:widowControl w:val="0"/>
        <w:tabs>
          <w:tab w:val="right" w:pos="3240"/>
          <w:tab w:val="left" w:pos="3360"/>
          <w:tab w:val="left" w:pos="4920"/>
        </w:tabs>
        <w:spacing w:line="480" w:lineRule="auto"/>
        <w:rPr>
          <w:color w:val="000000"/>
          <w:sz w:val="24"/>
          <w:szCs w:val="24"/>
        </w:rPr>
      </w:pPr>
      <w:r>
        <w:rPr>
          <w:color w:val="000000"/>
          <w:sz w:val="24"/>
          <w:szCs w:val="24"/>
        </w:rPr>
        <w:t xml:space="preserve"> –</w:t>
      </w:r>
      <w:r w:rsidR="001A336F" w:rsidRPr="001A336F">
        <w:rPr>
          <w:color w:val="000000"/>
          <w:sz w:val="24"/>
          <w:szCs w:val="24"/>
        </w:rPr>
        <w:t>1972</w:t>
      </w:r>
      <w:r>
        <w:rPr>
          <w:color w:val="000000"/>
          <w:sz w:val="24"/>
          <w:szCs w:val="24"/>
        </w:rPr>
        <w:t xml:space="preserve">: </w:t>
      </w:r>
      <w:r w:rsidR="001A336F" w:rsidRPr="001A336F">
        <w:rPr>
          <w:color w:val="000000"/>
          <w:sz w:val="24"/>
          <w:szCs w:val="24"/>
        </w:rPr>
        <w:t>Private Collection (Paris, France) [</w:t>
      </w:r>
      <w:r>
        <w:rPr>
          <w:color w:val="000000"/>
          <w:sz w:val="24"/>
          <w:szCs w:val="24"/>
        </w:rPr>
        <w:t>S</w:t>
      </w:r>
      <w:r w:rsidR="001A336F" w:rsidRPr="001A336F">
        <w:rPr>
          <w:color w:val="000000"/>
          <w:sz w:val="24"/>
          <w:szCs w:val="24"/>
        </w:rPr>
        <w:t xml:space="preserve">old, </w:t>
      </w:r>
      <w:r w:rsidR="001A336F" w:rsidRPr="00BD1407">
        <w:rPr>
          <w:i/>
          <w:iCs/>
          <w:color w:val="000000"/>
          <w:sz w:val="24"/>
          <w:szCs w:val="24"/>
        </w:rPr>
        <w:t>Objets d</w:t>
      </w:r>
      <w:r w:rsidRPr="00BD1407">
        <w:rPr>
          <w:i/>
          <w:iCs/>
          <w:color w:val="000000"/>
          <w:sz w:val="24"/>
          <w:szCs w:val="24"/>
        </w:rPr>
        <w:t>’</w:t>
      </w:r>
      <w:r w:rsidR="001A336F" w:rsidRPr="00BD1407">
        <w:rPr>
          <w:i/>
          <w:iCs/>
          <w:color w:val="000000"/>
          <w:sz w:val="24"/>
          <w:szCs w:val="24"/>
        </w:rPr>
        <w:t>art et d</w:t>
      </w:r>
      <w:r w:rsidRPr="00BD1407">
        <w:rPr>
          <w:i/>
          <w:iCs/>
          <w:color w:val="000000"/>
          <w:sz w:val="24"/>
          <w:szCs w:val="24"/>
        </w:rPr>
        <w:t>’</w:t>
      </w:r>
      <w:r w:rsidR="001A336F" w:rsidRPr="00BD1407">
        <w:rPr>
          <w:i/>
          <w:iCs/>
          <w:color w:val="000000"/>
          <w:sz w:val="24"/>
          <w:szCs w:val="24"/>
        </w:rPr>
        <w:t>ameublement principalement du XVIIIe siècle</w:t>
      </w:r>
      <w:r w:rsidR="001A336F" w:rsidRPr="001A336F">
        <w:rPr>
          <w:color w:val="000000"/>
          <w:sz w:val="24"/>
          <w:szCs w:val="24"/>
        </w:rPr>
        <w:t>, Palais Galli</w:t>
      </w:r>
      <w:r w:rsidR="002E27FF">
        <w:rPr>
          <w:color w:val="000000"/>
          <w:sz w:val="24"/>
          <w:szCs w:val="24"/>
        </w:rPr>
        <w:t>é</w:t>
      </w:r>
      <w:r w:rsidR="001A336F" w:rsidRPr="001A336F">
        <w:rPr>
          <w:color w:val="000000"/>
          <w:sz w:val="24"/>
          <w:szCs w:val="24"/>
        </w:rPr>
        <w:t>ra, Paris, March 2, 1972, lot 109, through French and Company to the J. Paul Getty Museum</w:t>
      </w:r>
      <w:r w:rsidR="00BD1407">
        <w:rPr>
          <w:color w:val="000000"/>
          <w:sz w:val="24"/>
          <w:szCs w:val="24"/>
        </w:rPr>
        <w:t>]</w:t>
      </w:r>
      <w:r w:rsidR="001A336F" w:rsidRPr="001A336F">
        <w:rPr>
          <w:color w:val="000000"/>
          <w:sz w:val="24"/>
          <w:szCs w:val="24"/>
        </w:rPr>
        <w:t>.</w:t>
      </w:r>
      <w:r>
        <w:rPr>
          <w:rStyle w:val="EndnoteReference"/>
          <w:color w:val="000000"/>
          <w:sz w:val="24"/>
          <w:szCs w:val="24"/>
        </w:rPr>
        <w:endnoteReference w:id="17"/>
      </w:r>
    </w:p>
    <w:p w14:paraId="75A6215B" w14:textId="77777777" w:rsidR="007A5D32" w:rsidRPr="001A336F" w:rsidRDefault="007A5D32" w:rsidP="001A3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015A9879" w14:textId="72FE8E98" w:rsidR="007A5D32" w:rsidRDefault="007A5D32" w:rsidP="00741F93">
      <w:pPr>
        <w:pStyle w:val="Heading2"/>
        <w:rPr>
          <w:b/>
          <w:bCs/>
          <w:i/>
          <w:iCs/>
          <w:color w:val="auto"/>
        </w:rPr>
      </w:pPr>
      <w:r w:rsidRPr="00741F93">
        <w:rPr>
          <w:b/>
          <w:bCs/>
          <w:i/>
          <w:iCs/>
          <w:color w:val="auto"/>
        </w:rPr>
        <w:t>Exhibition History</w:t>
      </w:r>
    </w:p>
    <w:p w14:paraId="2AB15E8C" w14:textId="77777777" w:rsidR="00741F93" w:rsidRPr="00741F93" w:rsidRDefault="00741F93" w:rsidP="00741F93"/>
    <w:p w14:paraId="62B2B3B8" w14:textId="69BDC5BA" w:rsidR="007A5D32" w:rsidRPr="001A336F" w:rsidRDefault="007A5D32" w:rsidP="001A3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1A336F">
        <w:rPr>
          <w:i/>
          <w:sz w:val="24"/>
          <w:szCs w:val="24"/>
        </w:rPr>
        <w:t>Imagining the Orient</w:t>
      </w:r>
      <w:r w:rsidR="00741F93">
        <w:rPr>
          <w:iCs/>
          <w:sz w:val="24"/>
          <w:szCs w:val="24"/>
        </w:rPr>
        <w:t xml:space="preserve">, </w:t>
      </w:r>
      <w:r w:rsidRPr="001A336F">
        <w:rPr>
          <w:sz w:val="24"/>
          <w:szCs w:val="24"/>
        </w:rPr>
        <w:t>J. Paul Getty Museum at the Getty Center (Los Angeles), October 5, 2004</w:t>
      </w:r>
      <w:r w:rsidR="00741F93">
        <w:rPr>
          <w:sz w:val="24"/>
          <w:szCs w:val="24"/>
        </w:rPr>
        <w:t>–</w:t>
      </w:r>
      <w:r w:rsidRPr="001A336F">
        <w:rPr>
          <w:sz w:val="24"/>
          <w:szCs w:val="24"/>
        </w:rPr>
        <w:t>April 3, 2005.</w:t>
      </w:r>
    </w:p>
    <w:p w14:paraId="7CA59536" w14:textId="77777777" w:rsidR="007A5D32" w:rsidRPr="001A336F" w:rsidRDefault="007A5D32" w:rsidP="001A3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i/>
          <w:sz w:val="24"/>
          <w:szCs w:val="24"/>
        </w:rPr>
      </w:pPr>
    </w:p>
    <w:p w14:paraId="775A2868" w14:textId="03F03D39" w:rsidR="001C184F" w:rsidRDefault="00BC0960" w:rsidP="00741F93">
      <w:pPr>
        <w:pStyle w:val="Heading2"/>
        <w:rPr>
          <w:b/>
          <w:bCs/>
          <w:i/>
          <w:iCs/>
          <w:color w:val="auto"/>
        </w:rPr>
      </w:pPr>
      <w:r w:rsidRPr="00741F93">
        <w:rPr>
          <w:b/>
          <w:bCs/>
          <w:i/>
          <w:iCs/>
          <w:color w:val="auto"/>
        </w:rPr>
        <w:t>Bibliography</w:t>
      </w:r>
    </w:p>
    <w:p w14:paraId="32696BE8" w14:textId="115D5F9A" w:rsidR="00850E2F" w:rsidRDefault="00850E2F" w:rsidP="00850E2F"/>
    <w:p w14:paraId="37DA7551" w14:textId="3CEAF4C3" w:rsidR="00850E2F" w:rsidRPr="00850E2F" w:rsidRDefault="00850E2F" w:rsidP="00850E2F">
      <w:pPr>
        <w:widowControl w:val="0"/>
        <w:tabs>
          <w:tab w:val="right" w:pos="3240"/>
          <w:tab w:val="left" w:pos="3360"/>
        </w:tabs>
        <w:spacing w:line="480" w:lineRule="auto"/>
        <w:rPr>
          <w:color w:val="000000"/>
          <w:sz w:val="24"/>
          <w:szCs w:val="24"/>
        </w:rPr>
      </w:pPr>
      <w:r w:rsidRPr="00850E2F">
        <w:rPr>
          <w:iCs/>
          <w:color w:val="000000"/>
          <w:sz w:val="24"/>
          <w:szCs w:val="24"/>
        </w:rPr>
        <w:t xml:space="preserve">{{Alcouffe 1988}}, 282, fig. 3; </w:t>
      </w:r>
      <w:r w:rsidRPr="00850E2F">
        <w:rPr>
          <w:color w:val="000000"/>
          <w:sz w:val="24"/>
          <w:szCs w:val="24"/>
        </w:rPr>
        <w:t xml:space="preserve">{{Kjellberg 1989}}, 139; {{Bremer-David et al. 1993}}, 26, no. 26; {{Wolvesperges 2000}}, 188–89, fig. 85; {{Wilson and Hess 2001}}, 15, no. 26; </w:t>
      </w:r>
      <w:r w:rsidRPr="00850E2F">
        <w:rPr>
          <w:color w:val="000000"/>
          <w:sz w:val="24"/>
          <w:szCs w:val="24"/>
          <w:lang w:val="nl-NL"/>
        </w:rPr>
        <w:t xml:space="preserve">{{Heginbotham et al. 2008}}, vol. 2, 1100–1103, 1105, figs. 1–2, 4–5; </w:t>
      </w:r>
      <w:r w:rsidRPr="00850E2F">
        <w:rPr>
          <w:iCs/>
          <w:color w:val="000000"/>
          <w:sz w:val="24"/>
          <w:szCs w:val="24"/>
        </w:rPr>
        <w:t>{{</w:t>
      </w:r>
      <w:r w:rsidR="00E040FD">
        <w:rPr>
          <w:i/>
          <w:color w:val="000000"/>
          <w:sz w:val="24"/>
          <w:szCs w:val="24"/>
        </w:rPr>
        <w:t>18th</w:t>
      </w:r>
      <w:r w:rsidRPr="00850E2F">
        <w:rPr>
          <w:i/>
          <w:iCs/>
          <w:color w:val="000000"/>
          <w:sz w:val="24"/>
          <w:szCs w:val="24"/>
        </w:rPr>
        <w:t xml:space="preserve"> Century: Birth of Design</w:t>
      </w:r>
      <w:r w:rsidRPr="00850E2F">
        <w:rPr>
          <w:iCs/>
          <w:color w:val="000000"/>
          <w:sz w:val="24"/>
          <w:szCs w:val="24"/>
        </w:rPr>
        <w:t>, 2014}}</w:t>
      </w:r>
      <w:r w:rsidR="001A7BB9">
        <w:rPr>
          <w:iCs/>
          <w:color w:val="000000"/>
          <w:sz w:val="24"/>
          <w:szCs w:val="24"/>
        </w:rPr>
        <w:t>,</w:t>
      </w:r>
      <w:r w:rsidRPr="00850E2F">
        <w:rPr>
          <w:iCs/>
          <w:color w:val="000000"/>
          <w:sz w:val="24"/>
          <w:szCs w:val="24"/>
        </w:rPr>
        <w:t xml:space="preserve"> </w:t>
      </w:r>
      <w:r w:rsidRPr="00850E2F">
        <w:rPr>
          <w:color w:val="000000"/>
          <w:sz w:val="24"/>
          <w:szCs w:val="24"/>
        </w:rPr>
        <w:t>156 n. 3.</w:t>
      </w:r>
    </w:p>
    <w:p w14:paraId="462952E3" w14:textId="77777777" w:rsidR="00850E2F" w:rsidRPr="00850E2F" w:rsidRDefault="00850E2F" w:rsidP="00850E2F"/>
    <w:p w14:paraId="12C996C6" w14:textId="77777777" w:rsidR="00741F93" w:rsidRPr="00741F93" w:rsidRDefault="00741F93" w:rsidP="00741F93"/>
    <w:p w14:paraId="7D59F7A8" w14:textId="17A0BD49" w:rsidR="00B46965" w:rsidRDefault="00B46965" w:rsidP="0096578E">
      <w:pPr>
        <w:pStyle w:val="Heading2"/>
        <w:rPr>
          <w:b/>
          <w:bCs/>
          <w:i/>
          <w:iCs/>
          <w:color w:val="auto"/>
        </w:rPr>
      </w:pPr>
      <w:r w:rsidRPr="0096578E">
        <w:rPr>
          <w:b/>
          <w:bCs/>
          <w:i/>
          <w:iCs/>
          <w:color w:val="auto"/>
        </w:rPr>
        <w:t>Technical Description</w:t>
      </w:r>
    </w:p>
    <w:p w14:paraId="0C8A668D" w14:textId="77777777" w:rsidR="0096578E" w:rsidRPr="0096578E" w:rsidRDefault="0096578E" w:rsidP="0096578E"/>
    <w:p w14:paraId="7F7ED9C5" w14:textId="0FBB8B9C" w:rsidR="00B46965" w:rsidRPr="00B46965" w:rsidRDefault="00B46965" w:rsidP="00EB6C66">
      <w:pPr>
        <w:spacing w:after="0" w:line="480" w:lineRule="auto"/>
        <w:rPr>
          <w:sz w:val="24"/>
          <w:szCs w:val="24"/>
        </w:rPr>
      </w:pPr>
      <w:r w:rsidRPr="00B46965">
        <w:rPr>
          <w:sz w:val="24"/>
          <w:szCs w:val="24"/>
        </w:rPr>
        <w:t>The substrate of the commode is constructed primarily of white oak and is an example of very neat and precise cabinetmaking. The nature of the construction suggests a certain order of assembly.</w:t>
      </w:r>
      <w:r w:rsidR="0087502D">
        <w:rPr>
          <w:sz w:val="24"/>
          <w:szCs w:val="24"/>
        </w:rPr>
        <w:t xml:space="preserve"> </w:t>
      </w:r>
      <w:r w:rsidRPr="00B46965">
        <w:rPr>
          <w:sz w:val="24"/>
          <w:szCs w:val="24"/>
        </w:rPr>
        <w:t xml:space="preserve">First the front and rear legs on each side would have been attached to the case sides. </w:t>
      </w:r>
      <w:r w:rsidRPr="00B46965">
        <w:rPr>
          <w:sz w:val="24"/>
          <w:szCs w:val="24"/>
        </w:rPr>
        <w:lastRenderedPageBreak/>
        <w:t>Each of the four leg</w:t>
      </w:r>
      <w:r w:rsidR="00FA14E4">
        <w:rPr>
          <w:sz w:val="24"/>
          <w:szCs w:val="24"/>
        </w:rPr>
        <w:t xml:space="preserve"> posts</w:t>
      </w:r>
      <w:r w:rsidRPr="00B46965">
        <w:rPr>
          <w:sz w:val="24"/>
          <w:szCs w:val="24"/>
        </w:rPr>
        <w:t xml:space="preserve"> runs from the top of the case to the floor and is made of two long boards laminated together to form a solid square block from which the final curved form was shaped. In the rear, the laminates of the rear </w:t>
      </w:r>
      <w:r w:rsidR="00FA14E4">
        <w:rPr>
          <w:sz w:val="24"/>
          <w:szCs w:val="24"/>
        </w:rPr>
        <w:t>posts</w:t>
      </w:r>
      <w:r w:rsidR="00FA14E4" w:rsidRPr="00B46965">
        <w:rPr>
          <w:sz w:val="24"/>
          <w:szCs w:val="24"/>
        </w:rPr>
        <w:t xml:space="preserve"> </w:t>
      </w:r>
      <w:r w:rsidRPr="00B46965">
        <w:rPr>
          <w:sz w:val="24"/>
          <w:szCs w:val="24"/>
        </w:rPr>
        <w:t>are each approximately 3</w:t>
      </w:r>
      <w:r w:rsidR="00741F93">
        <w:rPr>
          <w:sz w:val="24"/>
          <w:szCs w:val="24"/>
        </w:rPr>
        <w:t xml:space="preserve"> </w:t>
      </w:r>
      <w:r w:rsidRPr="00B46965">
        <w:rPr>
          <w:sz w:val="24"/>
          <w:szCs w:val="24"/>
        </w:rPr>
        <w:t>cm x 6</w:t>
      </w:r>
      <w:r w:rsidR="00741F93">
        <w:rPr>
          <w:sz w:val="24"/>
          <w:szCs w:val="24"/>
        </w:rPr>
        <w:t xml:space="preserve"> </w:t>
      </w:r>
      <w:r w:rsidRPr="00B46965">
        <w:rPr>
          <w:sz w:val="24"/>
          <w:szCs w:val="24"/>
        </w:rPr>
        <w:t>cm a</w:t>
      </w:r>
      <w:r w:rsidR="00402A84">
        <w:rPr>
          <w:sz w:val="24"/>
          <w:szCs w:val="24"/>
        </w:rPr>
        <w:t>nd are arranged front and back</w:t>
      </w:r>
      <w:r w:rsidRPr="00B46965">
        <w:rPr>
          <w:sz w:val="24"/>
          <w:szCs w:val="24"/>
        </w:rPr>
        <w:t>, while in the front, the laminates are each approximately 4</w:t>
      </w:r>
      <w:r w:rsidR="00741F93">
        <w:rPr>
          <w:sz w:val="24"/>
          <w:szCs w:val="24"/>
        </w:rPr>
        <w:t xml:space="preserve"> </w:t>
      </w:r>
      <w:r w:rsidRPr="00B46965">
        <w:rPr>
          <w:sz w:val="24"/>
          <w:szCs w:val="24"/>
        </w:rPr>
        <w:t>cm x 8</w:t>
      </w:r>
      <w:r w:rsidR="00741F93">
        <w:rPr>
          <w:sz w:val="24"/>
          <w:szCs w:val="24"/>
        </w:rPr>
        <w:t xml:space="preserve"> </w:t>
      </w:r>
      <w:r w:rsidRPr="00B46965">
        <w:rPr>
          <w:sz w:val="24"/>
          <w:szCs w:val="24"/>
        </w:rPr>
        <w:t>cm in section and are arranged side to side (</w:t>
      </w:r>
      <w:hyperlink w:anchor="fig-6-5" w:history="1">
        <w:r w:rsidR="00741F93" w:rsidRPr="0087502D">
          <w:rPr>
            <w:rStyle w:val="Hyperlink"/>
            <w:sz w:val="24"/>
            <w:szCs w:val="24"/>
          </w:rPr>
          <w:t>f</w:t>
        </w:r>
        <w:r w:rsidR="00402A84" w:rsidRPr="0087502D">
          <w:rPr>
            <w:rStyle w:val="Hyperlink"/>
            <w:sz w:val="24"/>
            <w:szCs w:val="24"/>
          </w:rPr>
          <w:t>ig. 6-5</w:t>
        </w:r>
      </w:hyperlink>
      <w:r w:rsidRPr="00B46965">
        <w:rPr>
          <w:sz w:val="24"/>
          <w:szCs w:val="24"/>
        </w:rPr>
        <w:t xml:space="preserve">). The sides of the case are made of three or four butt-joined boards, with the grain running horizontally, which were attached to the front and rear </w:t>
      </w:r>
      <w:r w:rsidR="00FA14E4">
        <w:rPr>
          <w:sz w:val="24"/>
          <w:szCs w:val="24"/>
        </w:rPr>
        <w:t>posts</w:t>
      </w:r>
      <w:r w:rsidR="00FA14E4" w:rsidRPr="00B46965">
        <w:rPr>
          <w:sz w:val="24"/>
          <w:szCs w:val="24"/>
        </w:rPr>
        <w:t xml:space="preserve"> </w:t>
      </w:r>
      <w:r w:rsidRPr="00B46965">
        <w:rPr>
          <w:sz w:val="24"/>
          <w:szCs w:val="24"/>
        </w:rPr>
        <w:t>with long tongue</w:t>
      </w:r>
      <w:r w:rsidR="0087502D">
        <w:rPr>
          <w:sz w:val="24"/>
          <w:szCs w:val="24"/>
        </w:rPr>
        <w:t>-</w:t>
      </w:r>
      <w:r w:rsidRPr="00B46965">
        <w:rPr>
          <w:sz w:val="24"/>
          <w:szCs w:val="24"/>
        </w:rPr>
        <w:t>and</w:t>
      </w:r>
      <w:r w:rsidR="0087502D">
        <w:rPr>
          <w:sz w:val="24"/>
          <w:szCs w:val="24"/>
        </w:rPr>
        <w:t>-</w:t>
      </w:r>
      <w:r w:rsidRPr="00B46965">
        <w:rPr>
          <w:sz w:val="24"/>
          <w:szCs w:val="24"/>
        </w:rPr>
        <w:t>groove joints</w:t>
      </w:r>
      <w:r>
        <w:rPr>
          <w:sz w:val="24"/>
          <w:szCs w:val="24"/>
        </w:rPr>
        <w:t>.</w:t>
      </w:r>
    </w:p>
    <w:p w14:paraId="40755094" w14:textId="637A30BB" w:rsidR="00B46965" w:rsidRPr="00B46965" w:rsidRDefault="00B46965" w:rsidP="00EB6C66">
      <w:pPr>
        <w:spacing w:after="0" w:line="480" w:lineRule="auto"/>
        <w:ind w:firstLine="720"/>
        <w:rPr>
          <w:sz w:val="24"/>
          <w:szCs w:val="24"/>
        </w:rPr>
      </w:pPr>
      <w:r w:rsidRPr="00B46965">
        <w:rPr>
          <w:sz w:val="24"/>
          <w:szCs w:val="24"/>
        </w:rPr>
        <w:t>Next, the back panel, compris</w:t>
      </w:r>
      <w:r w:rsidR="00741F93">
        <w:rPr>
          <w:sz w:val="24"/>
          <w:szCs w:val="24"/>
        </w:rPr>
        <w:t>ing</w:t>
      </w:r>
      <w:r w:rsidRPr="00B46965">
        <w:rPr>
          <w:sz w:val="24"/>
          <w:szCs w:val="24"/>
        </w:rPr>
        <w:t xml:space="preserve"> a tripartite frame and panel construction, would have been fitted to the rear legs. The lower rail would have been inserted first, attached with unpinned mortise</w:t>
      </w:r>
      <w:r w:rsidR="0087502D">
        <w:rPr>
          <w:sz w:val="24"/>
          <w:szCs w:val="24"/>
        </w:rPr>
        <w:t>-</w:t>
      </w:r>
      <w:r w:rsidRPr="00B46965">
        <w:rPr>
          <w:sz w:val="24"/>
          <w:szCs w:val="24"/>
        </w:rPr>
        <w:t>and</w:t>
      </w:r>
      <w:r w:rsidR="0087502D">
        <w:rPr>
          <w:sz w:val="24"/>
          <w:szCs w:val="24"/>
        </w:rPr>
        <w:t>-</w:t>
      </w:r>
      <w:r w:rsidRPr="00B46965">
        <w:rPr>
          <w:sz w:val="24"/>
          <w:szCs w:val="24"/>
        </w:rPr>
        <w:t>tenon joints (none of the mortise</w:t>
      </w:r>
      <w:r w:rsidR="0087502D">
        <w:rPr>
          <w:sz w:val="24"/>
          <w:szCs w:val="24"/>
        </w:rPr>
        <w:t>-</w:t>
      </w:r>
      <w:r w:rsidRPr="00B46965">
        <w:rPr>
          <w:sz w:val="24"/>
          <w:szCs w:val="24"/>
        </w:rPr>
        <w:t>and</w:t>
      </w:r>
      <w:r w:rsidR="0087502D">
        <w:rPr>
          <w:sz w:val="24"/>
          <w:szCs w:val="24"/>
        </w:rPr>
        <w:t>-</w:t>
      </w:r>
      <w:r w:rsidRPr="00B46965">
        <w:rPr>
          <w:sz w:val="24"/>
          <w:szCs w:val="24"/>
        </w:rPr>
        <w:t>tenon joints in this commode are pinned) (</w:t>
      </w:r>
      <w:hyperlink w:anchor="fig-6-6" w:history="1">
        <w:r w:rsidR="00741F93" w:rsidRPr="0087502D">
          <w:rPr>
            <w:rStyle w:val="Hyperlink"/>
            <w:sz w:val="24"/>
            <w:szCs w:val="24"/>
          </w:rPr>
          <w:t>f</w:t>
        </w:r>
        <w:r w:rsidR="00402A84" w:rsidRPr="0087502D">
          <w:rPr>
            <w:rStyle w:val="Hyperlink"/>
            <w:sz w:val="24"/>
            <w:szCs w:val="24"/>
          </w:rPr>
          <w:t>ig. 6-6</w:t>
        </w:r>
      </w:hyperlink>
      <w:r w:rsidRPr="00B46965">
        <w:rPr>
          <w:sz w:val="24"/>
          <w:szCs w:val="24"/>
        </w:rPr>
        <w:t>). The two upright medial stiles were then attached to the lower rail of the case back, also using unpinned mortise</w:t>
      </w:r>
      <w:r w:rsidR="0087502D">
        <w:rPr>
          <w:sz w:val="24"/>
          <w:szCs w:val="24"/>
        </w:rPr>
        <w:t>-</w:t>
      </w:r>
      <w:r w:rsidRPr="00B46965">
        <w:rPr>
          <w:sz w:val="24"/>
          <w:szCs w:val="24"/>
        </w:rPr>
        <w:t>and</w:t>
      </w:r>
      <w:r w:rsidR="0087502D">
        <w:rPr>
          <w:sz w:val="24"/>
          <w:szCs w:val="24"/>
        </w:rPr>
        <w:t>-</w:t>
      </w:r>
      <w:r w:rsidRPr="00B46965">
        <w:rPr>
          <w:sz w:val="24"/>
          <w:szCs w:val="24"/>
        </w:rPr>
        <w:t>tenon joints, and the raised panels</w:t>
      </w:r>
      <w:r w:rsidR="0087502D">
        <w:rPr>
          <w:sz w:val="24"/>
          <w:szCs w:val="24"/>
        </w:rPr>
        <w:t>—</w:t>
      </w:r>
      <w:r w:rsidRPr="00B46965">
        <w:rPr>
          <w:sz w:val="24"/>
          <w:szCs w:val="24"/>
        </w:rPr>
        <w:t>flat on the inside and raised with a cove molding on the exterior</w:t>
      </w:r>
      <w:r w:rsidR="0087502D">
        <w:rPr>
          <w:sz w:val="24"/>
          <w:szCs w:val="24"/>
        </w:rPr>
        <w:t>—</w:t>
      </w:r>
      <w:r w:rsidRPr="00B46965">
        <w:rPr>
          <w:sz w:val="24"/>
          <w:szCs w:val="24"/>
        </w:rPr>
        <w:t xml:space="preserve">were placed in grooves in the </w:t>
      </w:r>
      <w:r w:rsidR="00FA14E4">
        <w:rPr>
          <w:sz w:val="24"/>
          <w:szCs w:val="24"/>
        </w:rPr>
        <w:t>posts</w:t>
      </w:r>
      <w:r w:rsidR="00FA14E4" w:rsidRPr="00B46965">
        <w:rPr>
          <w:sz w:val="24"/>
          <w:szCs w:val="24"/>
        </w:rPr>
        <w:t xml:space="preserve"> </w:t>
      </w:r>
      <w:r w:rsidRPr="00B46965">
        <w:rPr>
          <w:sz w:val="24"/>
          <w:szCs w:val="24"/>
        </w:rPr>
        <w:t xml:space="preserve">and framing members. </w:t>
      </w:r>
      <w:r w:rsidR="00741F93">
        <w:rPr>
          <w:sz w:val="24"/>
          <w:szCs w:val="24"/>
        </w:rPr>
        <w:t>T</w:t>
      </w:r>
      <w:r w:rsidRPr="00B46965">
        <w:rPr>
          <w:sz w:val="24"/>
          <w:szCs w:val="24"/>
        </w:rPr>
        <w:t xml:space="preserve">he simple quarter-round cove molding on the edges of all the panels in this commode </w:t>
      </w:r>
      <w:r w:rsidR="00FA14E4">
        <w:rPr>
          <w:sz w:val="24"/>
          <w:szCs w:val="24"/>
        </w:rPr>
        <w:t>is</w:t>
      </w:r>
      <w:r w:rsidR="00FA14E4" w:rsidRPr="00B46965">
        <w:rPr>
          <w:sz w:val="24"/>
          <w:szCs w:val="24"/>
        </w:rPr>
        <w:t xml:space="preserve"> </w:t>
      </w:r>
      <w:r w:rsidRPr="00B46965">
        <w:rPr>
          <w:sz w:val="24"/>
          <w:szCs w:val="24"/>
        </w:rPr>
        <w:t xml:space="preserve">unusual, being found in only one other entry in this catalog, </w:t>
      </w:r>
      <w:hyperlink r:id="rId7" w:history="1">
        <w:r w:rsidR="0087502D" w:rsidRPr="0087502D">
          <w:rPr>
            <w:rStyle w:val="Hyperlink"/>
            <w:sz w:val="24"/>
            <w:szCs w:val="24"/>
          </w:rPr>
          <w:t>no.</w:t>
        </w:r>
        <w:r w:rsidRPr="0087502D">
          <w:rPr>
            <w:rStyle w:val="Hyperlink"/>
            <w:sz w:val="24"/>
            <w:szCs w:val="24"/>
          </w:rPr>
          <w:t xml:space="preserve"> 8</w:t>
        </w:r>
      </w:hyperlink>
      <w:r w:rsidRPr="00B46965">
        <w:rPr>
          <w:sz w:val="24"/>
          <w:szCs w:val="24"/>
        </w:rPr>
        <w:t xml:space="preserve">, the double desk by </w:t>
      </w:r>
      <w:r w:rsidR="00046764">
        <w:rPr>
          <w:sz w:val="24"/>
          <w:szCs w:val="24"/>
        </w:rPr>
        <w:t>Van Risenburgh</w:t>
      </w:r>
      <w:r w:rsidRPr="00B46965">
        <w:rPr>
          <w:sz w:val="24"/>
          <w:szCs w:val="24"/>
        </w:rPr>
        <w:t xml:space="preserve">. The upper rail, mortised to receive the medial stiles, was then slid into place from above, which explains the unusual </w:t>
      </w:r>
      <w:r w:rsidR="0087502D">
        <w:rPr>
          <w:sz w:val="24"/>
          <w:szCs w:val="24"/>
        </w:rPr>
        <w:t>un</w:t>
      </w:r>
      <w:r w:rsidRPr="00B46965">
        <w:rPr>
          <w:sz w:val="24"/>
          <w:szCs w:val="24"/>
        </w:rPr>
        <w:t>pinned slip joints (single-shouldered, open, mortise</w:t>
      </w:r>
      <w:r w:rsidR="00741F93">
        <w:rPr>
          <w:sz w:val="24"/>
          <w:szCs w:val="24"/>
        </w:rPr>
        <w:t>-</w:t>
      </w:r>
      <w:r w:rsidRPr="00B46965">
        <w:rPr>
          <w:sz w:val="24"/>
          <w:szCs w:val="24"/>
        </w:rPr>
        <w:t>and</w:t>
      </w:r>
      <w:r w:rsidR="00741F93">
        <w:rPr>
          <w:sz w:val="24"/>
          <w:szCs w:val="24"/>
        </w:rPr>
        <w:t>-</w:t>
      </w:r>
      <w:r w:rsidRPr="00B46965">
        <w:rPr>
          <w:sz w:val="24"/>
          <w:szCs w:val="24"/>
        </w:rPr>
        <w:t>tenon joints) used to attach the rail to the legs at either end (</w:t>
      </w:r>
      <w:hyperlink w:anchor="fig-6-7" w:history="1">
        <w:r w:rsidR="00741F93" w:rsidRPr="0087502D">
          <w:rPr>
            <w:rStyle w:val="Hyperlink"/>
            <w:sz w:val="24"/>
            <w:szCs w:val="24"/>
          </w:rPr>
          <w:t>f</w:t>
        </w:r>
        <w:r w:rsidR="00402A84" w:rsidRPr="0087502D">
          <w:rPr>
            <w:rStyle w:val="Hyperlink"/>
            <w:sz w:val="24"/>
            <w:szCs w:val="24"/>
          </w:rPr>
          <w:t>ig. 6.7</w:t>
        </w:r>
      </w:hyperlink>
      <w:r w:rsidRPr="00B46965">
        <w:rPr>
          <w:sz w:val="24"/>
          <w:szCs w:val="24"/>
        </w:rPr>
        <w:t xml:space="preserve">). At this stage, the upper rail would have been left unglued for reasons explained below. </w:t>
      </w:r>
    </w:p>
    <w:p w14:paraId="6FA11AE6" w14:textId="67B1CE16" w:rsidR="00B46965" w:rsidRPr="00B46965" w:rsidRDefault="00B46965" w:rsidP="00F8364E">
      <w:pPr>
        <w:spacing w:after="0" w:line="480" w:lineRule="auto"/>
        <w:ind w:firstLine="720"/>
        <w:rPr>
          <w:sz w:val="24"/>
          <w:szCs w:val="24"/>
        </w:rPr>
      </w:pPr>
      <w:r w:rsidRPr="00B46965">
        <w:rPr>
          <w:sz w:val="24"/>
          <w:szCs w:val="24"/>
        </w:rPr>
        <w:t xml:space="preserve">The next element to be added would have been the case bottom. The lower rail of the back is grooved along its bottom interior edge and serves as a rear rail for the case bottom. The side rails of the </w:t>
      </w:r>
      <w:r w:rsidR="00FA14E4">
        <w:rPr>
          <w:sz w:val="24"/>
          <w:szCs w:val="24"/>
        </w:rPr>
        <w:t>case bottom</w:t>
      </w:r>
      <w:r w:rsidRPr="00B46965">
        <w:rPr>
          <w:sz w:val="24"/>
          <w:szCs w:val="24"/>
        </w:rPr>
        <w:t xml:space="preserve"> are attached to the back rail with a tongue-and-groove joint, while at the front, the only attachment is a very small tongue </w:t>
      </w:r>
      <w:r w:rsidR="00F8364E">
        <w:rPr>
          <w:sz w:val="24"/>
          <w:szCs w:val="24"/>
        </w:rPr>
        <w:t>that</w:t>
      </w:r>
      <w:r w:rsidRPr="00B46965">
        <w:rPr>
          <w:sz w:val="24"/>
          <w:szCs w:val="24"/>
        </w:rPr>
        <w:t xml:space="preserve"> fits into the groove at the very end of </w:t>
      </w:r>
      <w:r w:rsidRPr="00B46965">
        <w:rPr>
          <w:sz w:val="24"/>
          <w:szCs w:val="24"/>
        </w:rPr>
        <w:lastRenderedPageBreak/>
        <w:t>the front rail. There is no attachment between the rail</w:t>
      </w:r>
      <w:r w:rsidR="00FA14E4">
        <w:rPr>
          <w:sz w:val="24"/>
          <w:szCs w:val="24"/>
        </w:rPr>
        <w:t>s</w:t>
      </w:r>
      <w:r w:rsidRPr="00B46965">
        <w:rPr>
          <w:sz w:val="24"/>
          <w:szCs w:val="24"/>
        </w:rPr>
        <w:t xml:space="preserve"> and the leg</w:t>
      </w:r>
      <w:r w:rsidR="00FA14E4">
        <w:rPr>
          <w:sz w:val="24"/>
          <w:szCs w:val="24"/>
        </w:rPr>
        <w:t xml:space="preserve"> posts</w:t>
      </w:r>
      <w:r w:rsidRPr="00B46965">
        <w:rPr>
          <w:sz w:val="24"/>
          <w:szCs w:val="24"/>
        </w:rPr>
        <w:t>, and likewise there is no attachment between the rail</w:t>
      </w:r>
      <w:r w:rsidR="00FA14E4">
        <w:rPr>
          <w:sz w:val="24"/>
          <w:szCs w:val="24"/>
        </w:rPr>
        <w:t>s</w:t>
      </w:r>
      <w:r w:rsidRPr="00B46965">
        <w:rPr>
          <w:sz w:val="24"/>
          <w:szCs w:val="24"/>
        </w:rPr>
        <w:t xml:space="preserve"> and the </w:t>
      </w:r>
      <w:r w:rsidR="00FA14E4">
        <w:rPr>
          <w:sz w:val="24"/>
          <w:szCs w:val="24"/>
        </w:rPr>
        <w:t xml:space="preserve">case </w:t>
      </w:r>
      <w:r w:rsidRPr="00B46965">
        <w:rPr>
          <w:sz w:val="24"/>
          <w:szCs w:val="24"/>
        </w:rPr>
        <w:t>side</w:t>
      </w:r>
      <w:r w:rsidR="00FA14E4">
        <w:rPr>
          <w:sz w:val="24"/>
          <w:szCs w:val="24"/>
        </w:rPr>
        <w:t>s</w:t>
      </w:r>
      <w:r w:rsidRPr="00B46965">
        <w:rPr>
          <w:sz w:val="24"/>
          <w:szCs w:val="24"/>
        </w:rPr>
        <w:t xml:space="preserve">. </w:t>
      </w:r>
    </w:p>
    <w:p w14:paraId="1291E14B" w14:textId="4E2E26E9" w:rsidR="00B46965" w:rsidRPr="00720C64" w:rsidRDefault="00B46965" w:rsidP="00F8364E">
      <w:pPr>
        <w:spacing w:after="0" w:line="480" w:lineRule="auto"/>
        <w:ind w:firstLine="720"/>
        <w:rPr>
          <w:sz w:val="24"/>
          <w:szCs w:val="24"/>
        </w:rPr>
      </w:pPr>
      <w:r w:rsidRPr="00B46965">
        <w:rPr>
          <w:sz w:val="24"/>
          <w:szCs w:val="24"/>
        </w:rPr>
        <w:t>The case bottom’s front rail was then inserted from the front, attached to the legs with sliding dovetail joints. These joints were subsequently covered by veneer. Separate pieces of oak were glued to the bottom of the front edge of the rail on each side, adding the depth needed to create th</w:t>
      </w:r>
      <w:r w:rsidR="003944F5">
        <w:rPr>
          <w:sz w:val="24"/>
          <w:szCs w:val="24"/>
        </w:rPr>
        <w:t xml:space="preserve">e curved profile of the skirt </w:t>
      </w:r>
      <w:r w:rsidRPr="00B46965">
        <w:rPr>
          <w:sz w:val="24"/>
          <w:szCs w:val="24"/>
        </w:rPr>
        <w:t>(</w:t>
      </w:r>
      <w:hyperlink w:anchor="fig-6-8" w:history="1">
        <w:r w:rsidR="00F8364E" w:rsidRPr="001E2B43">
          <w:rPr>
            <w:rStyle w:val="Hyperlink"/>
            <w:sz w:val="24"/>
            <w:szCs w:val="24"/>
          </w:rPr>
          <w:t>f</w:t>
        </w:r>
        <w:r w:rsidR="00402A84" w:rsidRPr="001E2B43">
          <w:rPr>
            <w:rStyle w:val="Hyperlink"/>
            <w:sz w:val="24"/>
            <w:szCs w:val="24"/>
          </w:rPr>
          <w:t>ig. 6-8</w:t>
        </w:r>
      </w:hyperlink>
      <w:r w:rsidRPr="00B46965">
        <w:rPr>
          <w:sz w:val="24"/>
          <w:szCs w:val="24"/>
        </w:rPr>
        <w:t xml:space="preserve">).   </w:t>
      </w:r>
    </w:p>
    <w:p w14:paraId="017CB7EB" w14:textId="0D947EC0" w:rsidR="00B46965" w:rsidRPr="00B46965" w:rsidRDefault="00B46965" w:rsidP="00F8364E">
      <w:pPr>
        <w:spacing w:after="0" w:line="480" w:lineRule="auto"/>
        <w:ind w:firstLine="720"/>
        <w:rPr>
          <w:sz w:val="24"/>
          <w:szCs w:val="24"/>
        </w:rPr>
      </w:pPr>
      <w:r w:rsidRPr="00B46965">
        <w:rPr>
          <w:sz w:val="24"/>
          <w:szCs w:val="24"/>
        </w:rPr>
        <w:t>The</w:t>
      </w:r>
      <w:bookmarkStart w:id="1" w:name="_Hlk37756015"/>
      <w:r w:rsidRPr="00B46965">
        <w:rPr>
          <w:sz w:val="24"/>
          <w:szCs w:val="24"/>
        </w:rPr>
        <w:t xml:space="preserve"> dustboard,</w:t>
      </w:r>
      <w:bookmarkEnd w:id="1"/>
      <w:r w:rsidRPr="00B46965">
        <w:rPr>
          <w:sz w:val="24"/>
          <w:szCs w:val="24"/>
        </w:rPr>
        <w:t xml:space="preserve"> or middle panel assembly, was then incorporated into the structure in a manner similar to that of the lower panel, with one notable exception. Here, the rear rail is attached to the back legs with simple tongue-and-</w:t>
      </w:r>
      <w:r w:rsidR="001140F3">
        <w:rPr>
          <w:sz w:val="24"/>
          <w:szCs w:val="24"/>
        </w:rPr>
        <w:t>dado</w:t>
      </w:r>
      <w:r w:rsidR="001140F3" w:rsidRPr="00B46965">
        <w:rPr>
          <w:sz w:val="24"/>
          <w:szCs w:val="24"/>
        </w:rPr>
        <w:t xml:space="preserve"> </w:t>
      </w:r>
      <w:r w:rsidRPr="00B46965">
        <w:rPr>
          <w:sz w:val="24"/>
          <w:szCs w:val="24"/>
        </w:rPr>
        <w:t>joints</w:t>
      </w:r>
      <w:r w:rsidR="001140F3">
        <w:rPr>
          <w:sz w:val="24"/>
          <w:szCs w:val="24"/>
        </w:rPr>
        <w:t xml:space="preserve">; </w:t>
      </w:r>
      <w:r w:rsidRPr="00B46965">
        <w:rPr>
          <w:sz w:val="24"/>
          <w:szCs w:val="24"/>
        </w:rPr>
        <w:t xml:space="preserve">the </w:t>
      </w:r>
      <w:r w:rsidR="001140F3">
        <w:rPr>
          <w:sz w:val="24"/>
          <w:szCs w:val="24"/>
        </w:rPr>
        <w:t>dadoes</w:t>
      </w:r>
      <w:r w:rsidR="001140F3" w:rsidRPr="00B46965">
        <w:rPr>
          <w:sz w:val="24"/>
          <w:szCs w:val="24"/>
        </w:rPr>
        <w:t xml:space="preserve"> </w:t>
      </w:r>
      <w:r w:rsidRPr="00B46965">
        <w:rPr>
          <w:sz w:val="24"/>
          <w:szCs w:val="24"/>
        </w:rPr>
        <w:t>are cut into the leg, at the full thickness of the rail, from front</w:t>
      </w:r>
      <w:r w:rsidR="001E2B43">
        <w:rPr>
          <w:sz w:val="24"/>
          <w:szCs w:val="24"/>
        </w:rPr>
        <w:t xml:space="preserve"> </w:t>
      </w:r>
      <w:r w:rsidRPr="00B46965">
        <w:rPr>
          <w:sz w:val="24"/>
          <w:szCs w:val="24"/>
        </w:rPr>
        <w:t>to</w:t>
      </w:r>
      <w:r w:rsidR="001E2B43">
        <w:rPr>
          <w:sz w:val="24"/>
          <w:szCs w:val="24"/>
        </w:rPr>
        <w:t xml:space="preserve"> </w:t>
      </w:r>
      <w:r w:rsidRPr="00B46965">
        <w:rPr>
          <w:sz w:val="24"/>
          <w:szCs w:val="24"/>
        </w:rPr>
        <w:t>back. Given that the case back construction was already in place, the back rail would have been the first piece inserted, followed by the four front-to-rear rails (</w:t>
      </w:r>
      <w:bookmarkStart w:id="2" w:name="_Hlk37756058"/>
      <w:r w:rsidRPr="00B46965">
        <w:rPr>
          <w:sz w:val="24"/>
          <w:szCs w:val="24"/>
        </w:rPr>
        <w:t>mortise and tenoned</w:t>
      </w:r>
      <w:bookmarkEnd w:id="2"/>
      <w:r w:rsidRPr="00B46965">
        <w:rPr>
          <w:sz w:val="24"/>
          <w:szCs w:val="24"/>
        </w:rPr>
        <w:t xml:space="preserve"> at front and back) and the three raise</w:t>
      </w:r>
      <w:r w:rsidR="001E2B43">
        <w:rPr>
          <w:sz w:val="24"/>
          <w:szCs w:val="24"/>
        </w:rPr>
        <w:t>d</w:t>
      </w:r>
      <w:r w:rsidRPr="00B46965">
        <w:rPr>
          <w:sz w:val="24"/>
          <w:szCs w:val="24"/>
        </w:rPr>
        <w:t xml:space="preserve"> panels, with cove molded edges facing up. Finally, the front rail would have been inserted, again from the front. The sliding dovetail for this joint clearly runs through to the front of the front leg and is covered by veneer. </w:t>
      </w:r>
    </w:p>
    <w:p w14:paraId="28A8524B" w14:textId="7323B474" w:rsidR="00B46965" w:rsidRPr="00B46965" w:rsidRDefault="00B46965" w:rsidP="00F8364E">
      <w:pPr>
        <w:spacing w:after="0" w:line="480" w:lineRule="auto"/>
        <w:ind w:firstLine="720"/>
        <w:rPr>
          <w:sz w:val="24"/>
          <w:szCs w:val="24"/>
        </w:rPr>
      </w:pPr>
      <w:r w:rsidRPr="00B46965">
        <w:rPr>
          <w:sz w:val="24"/>
          <w:szCs w:val="24"/>
        </w:rPr>
        <w:t>The top panel assembly was the last section to have been added. The two medial rails are through-tenoned into the top, rear rail (</w:t>
      </w:r>
      <w:hyperlink w:anchor="fig-6-9" w:history="1">
        <w:r w:rsidR="00F8364E" w:rsidRPr="001E2B43">
          <w:rPr>
            <w:rStyle w:val="Hyperlink"/>
            <w:sz w:val="24"/>
            <w:szCs w:val="24"/>
          </w:rPr>
          <w:t>f</w:t>
        </w:r>
        <w:r w:rsidR="00402A84" w:rsidRPr="001E2B43">
          <w:rPr>
            <w:rStyle w:val="Hyperlink"/>
            <w:sz w:val="24"/>
            <w:szCs w:val="24"/>
          </w:rPr>
          <w:t>ig. 6-9</w:t>
        </w:r>
      </w:hyperlink>
      <w:r w:rsidRPr="00B46965">
        <w:rPr>
          <w:sz w:val="24"/>
          <w:szCs w:val="24"/>
        </w:rPr>
        <w:t xml:space="preserve">). The side rails are dovetailed into the legs at the front and back with single </w:t>
      </w:r>
      <w:r w:rsidR="001140F3">
        <w:rPr>
          <w:sz w:val="24"/>
          <w:szCs w:val="24"/>
        </w:rPr>
        <w:t xml:space="preserve">open-faced </w:t>
      </w:r>
      <w:r w:rsidRPr="00B46965">
        <w:rPr>
          <w:sz w:val="24"/>
          <w:szCs w:val="24"/>
        </w:rPr>
        <w:t>dovetails. Notably, these have been positioned so that they hide the grooves cut into the legs for the side panels. These grooves were cut along the entire length of the inside faces of both the front and rear legs, presumably while the wood was still square in cross section. Below the level of the case bottom, much of the grooving was cut away when the leg was shaped and some was covered by apron blocks or veneer, but, especially at the rear, the grooves are still clearly visible (</w:t>
      </w:r>
      <w:r w:rsidR="001E2B43" w:rsidRPr="00BD1407">
        <w:rPr>
          <w:sz w:val="24"/>
          <w:szCs w:val="24"/>
        </w:rPr>
        <w:t>f</w:t>
      </w:r>
      <w:r w:rsidR="00402A84" w:rsidRPr="00BD1407">
        <w:rPr>
          <w:sz w:val="24"/>
          <w:szCs w:val="24"/>
        </w:rPr>
        <w:t>ig.</w:t>
      </w:r>
      <w:r w:rsidR="00402A84">
        <w:rPr>
          <w:color w:val="FF0000"/>
          <w:sz w:val="24"/>
          <w:szCs w:val="24"/>
        </w:rPr>
        <w:t xml:space="preserve"> </w:t>
      </w:r>
      <w:hyperlink w:anchor="fig-6-10" w:history="1">
        <w:r w:rsidR="00402A84" w:rsidRPr="00CE5704">
          <w:rPr>
            <w:rStyle w:val="Hyperlink"/>
            <w:sz w:val="24"/>
            <w:szCs w:val="24"/>
          </w:rPr>
          <w:t>6-10</w:t>
        </w:r>
      </w:hyperlink>
      <w:r w:rsidRPr="00B46965">
        <w:rPr>
          <w:sz w:val="24"/>
          <w:szCs w:val="24"/>
        </w:rPr>
        <w:t xml:space="preserve">). At the top of the leg, the end of the groove </w:t>
      </w:r>
      <w:r w:rsidRPr="00B46965">
        <w:rPr>
          <w:sz w:val="24"/>
          <w:szCs w:val="24"/>
        </w:rPr>
        <w:lastRenderedPageBreak/>
        <w:t>for the back panels is also exposed</w:t>
      </w:r>
      <w:r w:rsidR="0074354D">
        <w:rPr>
          <w:sz w:val="24"/>
          <w:szCs w:val="24"/>
        </w:rPr>
        <w:t>;</w:t>
      </w:r>
      <w:r w:rsidRPr="00B46965">
        <w:rPr>
          <w:sz w:val="24"/>
          <w:szCs w:val="24"/>
        </w:rPr>
        <w:t xml:space="preserve"> however, a small patch of wood has been inserted to fill the gap, adjacent to the tenon for the rear rail (</w:t>
      </w:r>
      <w:r w:rsidR="001E2B43">
        <w:rPr>
          <w:sz w:val="24"/>
          <w:szCs w:val="24"/>
        </w:rPr>
        <w:t xml:space="preserve">see </w:t>
      </w:r>
      <w:hyperlink w:anchor="fig-6-5" w:history="1">
        <w:r w:rsidR="00D153B7" w:rsidRPr="00EB6C66">
          <w:rPr>
            <w:rStyle w:val="Hyperlink"/>
            <w:sz w:val="24"/>
            <w:szCs w:val="24"/>
          </w:rPr>
          <w:t>fig. 6-5</w:t>
        </w:r>
      </w:hyperlink>
      <w:r w:rsidRPr="00B46965">
        <w:rPr>
          <w:sz w:val="24"/>
          <w:szCs w:val="24"/>
        </w:rPr>
        <w:t xml:space="preserve">). Similar gaps in the top of the legs of </w:t>
      </w:r>
      <w:r w:rsidR="00046764">
        <w:rPr>
          <w:sz w:val="24"/>
          <w:szCs w:val="24"/>
        </w:rPr>
        <w:t>Van Risenburgh</w:t>
      </w:r>
      <w:r w:rsidRPr="00B46965">
        <w:rPr>
          <w:sz w:val="24"/>
          <w:szCs w:val="24"/>
        </w:rPr>
        <w:t xml:space="preserve">’s commode </w:t>
      </w:r>
      <w:r w:rsidR="001E2B43">
        <w:rPr>
          <w:sz w:val="24"/>
          <w:szCs w:val="24"/>
        </w:rPr>
        <w:t>(</w:t>
      </w:r>
      <w:hyperlink r:id="rId8" w:history="1">
        <w:r w:rsidR="001E2B43" w:rsidRPr="00CE5704">
          <w:rPr>
            <w:rStyle w:val="Hyperlink"/>
            <w:sz w:val="24"/>
            <w:szCs w:val="24"/>
          </w:rPr>
          <w:t>cat. no. 5</w:t>
        </w:r>
      </w:hyperlink>
      <w:r w:rsidR="001E2B43">
        <w:rPr>
          <w:sz w:val="24"/>
          <w:szCs w:val="24"/>
        </w:rPr>
        <w:t>)</w:t>
      </w:r>
      <w:r w:rsidRPr="00B46965">
        <w:rPr>
          <w:sz w:val="24"/>
          <w:szCs w:val="24"/>
        </w:rPr>
        <w:t xml:space="preserve"> </w:t>
      </w:r>
      <w:r w:rsidR="001E2B43">
        <w:rPr>
          <w:sz w:val="24"/>
          <w:szCs w:val="24"/>
        </w:rPr>
        <w:t xml:space="preserve">either </w:t>
      </w:r>
      <w:r w:rsidRPr="00B46965">
        <w:rPr>
          <w:sz w:val="24"/>
          <w:szCs w:val="24"/>
        </w:rPr>
        <w:t xml:space="preserve">have been left open or the patches have fallen out.  </w:t>
      </w:r>
    </w:p>
    <w:p w14:paraId="5C69C942" w14:textId="3E3C1E28" w:rsidR="00B46965" w:rsidRPr="00B46965" w:rsidRDefault="00B46965" w:rsidP="00F8364E">
      <w:pPr>
        <w:spacing w:after="0" w:line="480" w:lineRule="auto"/>
        <w:ind w:firstLine="720"/>
        <w:rPr>
          <w:sz w:val="24"/>
          <w:szCs w:val="24"/>
        </w:rPr>
      </w:pPr>
      <w:r w:rsidRPr="00B46965">
        <w:rPr>
          <w:sz w:val="24"/>
          <w:szCs w:val="24"/>
        </w:rPr>
        <w:t xml:space="preserve">In addition to the dovetails, the side rails of the </w:t>
      </w:r>
      <w:r w:rsidR="00D153B7">
        <w:rPr>
          <w:sz w:val="24"/>
          <w:szCs w:val="24"/>
        </w:rPr>
        <w:t xml:space="preserve">case </w:t>
      </w:r>
      <w:r w:rsidRPr="00B46965">
        <w:rPr>
          <w:sz w:val="24"/>
          <w:szCs w:val="24"/>
        </w:rPr>
        <w:t>top are also tongue</w:t>
      </w:r>
      <w:r w:rsidR="00CE5704">
        <w:rPr>
          <w:sz w:val="24"/>
          <w:szCs w:val="24"/>
        </w:rPr>
        <w:t xml:space="preserve"> </w:t>
      </w:r>
      <w:r w:rsidRPr="00B46965">
        <w:rPr>
          <w:sz w:val="24"/>
          <w:szCs w:val="24"/>
        </w:rPr>
        <w:t>and</w:t>
      </w:r>
      <w:r w:rsidR="00CE5704">
        <w:rPr>
          <w:sz w:val="24"/>
          <w:szCs w:val="24"/>
        </w:rPr>
        <w:t xml:space="preserve"> </w:t>
      </w:r>
      <w:r w:rsidRPr="00B46965">
        <w:rPr>
          <w:sz w:val="24"/>
          <w:szCs w:val="24"/>
        </w:rPr>
        <w:t xml:space="preserve">grooved into the </w:t>
      </w:r>
      <w:r w:rsidR="00D153B7">
        <w:rPr>
          <w:sz w:val="24"/>
          <w:szCs w:val="24"/>
        </w:rPr>
        <w:t>top</w:t>
      </w:r>
      <w:r w:rsidR="00D153B7" w:rsidRPr="00B46965">
        <w:rPr>
          <w:sz w:val="24"/>
          <w:szCs w:val="24"/>
        </w:rPr>
        <w:t xml:space="preserve"> </w:t>
      </w:r>
      <w:r w:rsidRPr="00B46965">
        <w:rPr>
          <w:sz w:val="24"/>
          <w:szCs w:val="24"/>
        </w:rPr>
        <w:t xml:space="preserve">rail of the back panel, utilizing the same groove </w:t>
      </w:r>
      <w:r w:rsidR="00D153B7">
        <w:rPr>
          <w:sz w:val="24"/>
          <w:szCs w:val="24"/>
        </w:rPr>
        <w:t>used for</w:t>
      </w:r>
      <w:r w:rsidRPr="00B46965">
        <w:rPr>
          <w:sz w:val="24"/>
          <w:szCs w:val="24"/>
        </w:rPr>
        <w:t xml:space="preserve"> the top panels.</w:t>
      </w:r>
      <w:r w:rsidR="00CE5704">
        <w:rPr>
          <w:sz w:val="24"/>
          <w:szCs w:val="24"/>
        </w:rPr>
        <w:t xml:space="preserve"> </w:t>
      </w:r>
      <w:r w:rsidRPr="00B46965">
        <w:rPr>
          <w:sz w:val="24"/>
          <w:szCs w:val="24"/>
        </w:rPr>
        <w:t xml:space="preserve">In order for this to be accomplished, the top rear rail of the back must </w:t>
      </w:r>
      <w:r w:rsidR="00CE5704">
        <w:rPr>
          <w:sz w:val="24"/>
          <w:szCs w:val="24"/>
        </w:rPr>
        <w:t>h</w:t>
      </w:r>
      <w:r w:rsidRPr="00B46965">
        <w:rPr>
          <w:sz w:val="24"/>
          <w:szCs w:val="24"/>
        </w:rPr>
        <w:t>ave been lifted up enough to expose the groove along its top edge. The rails and panels of the top would then have been fitted together and the entire top assembly then lowered into place and glued.</w:t>
      </w:r>
    </w:p>
    <w:p w14:paraId="615ACF4A" w14:textId="29BE229D" w:rsidR="00B46965" w:rsidRPr="00B46965" w:rsidRDefault="00B46965" w:rsidP="00F8364E">
      <w:pPr>
        <w:spacing w:after="0" w:line="480" w:lineRule="auto"/>
        <w:ind w:firstLine="720"/>
        <w:rPr>
          <w:sz w:val="24"/>
          <w:szCs w:val="24"/>
        </w:rPr>
      </w:pPr>
      <w:r w:rsidRPr="00B46965">
        <w:rPr>
          <w:sz w:val="24"/>
          <w:szCs w:val="24"/>
        </w:rPr>
        <w:t xml:space="preserve">The construction of this commode is virtually identical to that of the </w:t>
      </w:r>
      <w:r w:rsidR="00046764">
        <w:rPr>
          <w:sz w:val="24"/>
          <w:szCs w:val="24"/>
        </w:rPr>
        <w:t>Van Risenburgh</w:t>
      </w:r>
      <w:r w:rsidR="00046764" w:rsidRPr="00B46965">
        <w:rPr>
          <w:sz w:val="24"/>
          <w:szCs w:val="24"/>
        </w:rPr>
        <w:t xml:space="preserve"> </w:t>
      </w:r>
      <w:r w:rsidRPr="00B46965">
        <w:rPr>
          <w:sz w:val="24"/>
          <w:szCs w:val="24"/>
        </w:rPr>
        <w:t>commode with Chinese</w:t>
      </w:r>
      <w:r w:rsidR="00225EA0">
        <w:rPr>
          <w:sz w:val="24"/>
          <w:szCs w:val="24"/>
        </w:rPr>
        <w:t xml:space="preserve"> red</w:t>
      </w:r>
      <w:r w:rsidRPr="00B46965">
        <w:rPr>
          <w:sz w:val="24"/>
          <w:szCs w:val="24"/>
        </w:rPr>
        <w:t xml:space="preserve"> lacquer </w:t>
      </w:r>
      <w:r w:rsidR="002F0429">
        <w:rPr>
          <w:sz w:val="24"/>
          <w:szCs w:val="24"/>
        </w:rPr>
        <w:t>at the Louvre Abu D</w:t>
      </w:r>
      <w:r w:rsidR="003D48D9">
        <w:rPr>
          <w:sz w:val="24"/>
          <w:szCs w:val="24"/>
        </w:rPr>
        <w:t>h</w:t>
      </w:r>
      <w:r w:rsidR="002F0429">
        <w:rPr>
          <w:sz w:val="24"/>
          <w:szCs w:val="24"/>
        </w:rPr>
        <w:t>abi</w:t>
      </w:r>
      <w:r w:rsidRPr="00B46965">
        <w:rPr>
          <w:sz w:val="24"/>
          <w:szCs w:val="24"/>
        </w:rPr>
        <w:t xml:space="preserve"> described in </w:t>
      </w:r>
      <w:r w:rsidR="00C412EE">
        <w:rPr>
          <w:sz w:val="24"/>
          <w:szCs w:val="24"/>
        </w:rPr>
        <w:t>“</w:t>
      </w:r>
      <w:r w:rsidRPr="00B46965">
        <w:rPr>
          <w:sz w:val="24"/>
          <w:szCs w:val="24"/>
        </w:rPr>
        <w:t>Commentary</w:t>
      </w:r>
      <w:r w:rsidR="00C412EE">
        <w:rPr>
          <w:sz w:val="24"/>
          <w:szCs w:val="24"/>
        </w:rPr>
        <w:t>” above</w:t>
      </w:r>
      <w:r w:rsidRPr="00B46965">
        <w:rPr>
          <w:sz w:val="24"/>
          <w:szCs w:val="24"/>
        </w:rPr>
        <w:t>, with the exception that the majority of mortise</w:t>
      </w:r>
      <w:r w:rsidR="00C412EE">
        <w:rPr>
          <w:sz w:val="24"/>
          <w:szCs w:val="24"/>
        </w:rPr>
        <w:t>-</w:t>
      </w:r>
      <w:r w:rsidRPr="00B46965">
        <w:rPr>
          <w:sz w:val="24"/>
          <w:szCs w:val="24"/>
        </w:rPr>
        <w:t>and</w:t>
      </w:r>
      <w:r w:rsidR="00C412EE">
        <w:rPr>
          <w:sz w:val="24"/>
          <w:szCs w:val="24"/>
        </w:rPr>
        <w:t>-</w:t>
      </w:r>
      <w:r w:rsidRPr="00B46965">
        <w:rPr>
          <w:sz w:val="24"/>
          <w:szCs w:val="24"/>
        </w:rPr>
        <w:t>tenon joints and slip joints in the related commode are pinned.</w:t>
      </w:r>
    </w:p>
    <w:p w14:paraId="73CF3806" w14:textId="3BCEAC91" w:rsidR="00B46965" w:rsidRPr="00B46965" w:rsidRDefault="00B46965" w:rsidP="00F8364E">
      <w:pPr>
        <w:spacing w:after="0" w:line="480" w:lineRule="auto"/>
        <w:ind w:firstLine="720"/>
        <w:rPr>
          <w:sz w:val="24"/>
          <w:szCs w:val="24"/>
        </w:rPr>
      </w:pPr>
      <w:r w:rsidRPr="00B46965">
        <w:rPr>
          <w:sz w:val="24"/>
          <w:szCs w:val="24"/>
        </w:rPr>
        <w:t xml:space="preserve">The surface of the commode has been veneered with panels of Chinese red lacquer supplemented by European lacquer on the legs and edges. </w:t>
      </w:r>
      <w:r w:rsidR="002F0429">
        <w:rPr>
          <w:sz w:val="24"/>
          <w:szCs w:val="24"/>
        </w:rPr>
        <w:t>When examined using X-radiography</w:t>
      </w:r>
      <w:r w:rsidR="003F237C">
        <w:rPr>
          <w:sz w:val="24"/>
          <w:szCs w:val="24"/>
        </w:rPr>
        <w:t xml:space="preserve"> and infrared reflectography</w:t>
      </w:r>
      <w:r w:rsidR="002F0429">
        <w:rPr>
          <w:sz w:val="24"/>
          <w:szCs w:val="24"/>
        </w:rPr>
        <w:t>, the Chinese red lacquer panels on the fron</w:t>
      </w:r>
      <w:r w:rsidR="003F237C">
        <w:rPr>
          <w:sz w:val="24"/>
          <w:szCs w:val="24"/>
        </w:rPr>
        <w:t>t</w:t>
      </w:r>
      <w:r w:rsidR="002F0429">
        <w:rPr>
          <w:sz w:val="24"/>
          <w:szCs w:val="24"/>
        </w:rPr>
        <w:t xml:space="preserve"> of the drawers appear to be from a single large panel of lacquer, not reassembled from sections of a folding screen as is more commonly encountered (see </w:t>
      </w:r>
      <w:hyperlink r:id="rId9" w:history="1">
        <w:r w:rsidR="00C412EE" w:rsidRPr="00DB138E">
          <w:rPr>
            <w:rStyle w:val="Hyperlink"/>
            <w:sz w:val="24"/>
            <w:szCs w:val="24"/>
          </w:rPr>
          <w:t>cat. no.</w:t>
        </w:r>
        <w:r w:rsidR="002F0429" w:rsidRPr="00DB138E">
          <w:rPr>
            <w:rStyle w:val="Hyperlink"/>
            <w:sz w:val="24"/>
            <w:szCs w:val="24"/>
          </w:rPr>
          <w:t xml:space="preserve"> 13</w:t>
        </w:r>
      </w:hyperlink>
      <w:r w:rsidR="002F0429">
        <w:rPr>
          <w:sz w:val="24"/>
          <w:szCs w:val="24"/>
        </w:rPr>
        <w:t xml:space="preserve">). The original form and function of such a wide panel of red lacquer is not evident, but it is possible that such panels were </w:t>
      </w:r>
      <w:r w:rsidR="0027611D">
        <w:rPr>
          <w:sz w:val="24"/>
          <w:szCs w:val="24"/>
        </w:rPr>
        <w:t xml:space="preserve">taken from chests, </w:t>
      </w:r>
      <w:r w:rsidR="00DB138E">
        <w:rPr>
          <w:sz w:val="24"/>
          <w:szCs w:val="24"/>
        </w:rPr>
        <w:t>tabletops</w:t>
      </w:r>
      <w:r w:rsidR="0027611D">
        <w:rPr>
          <w:sz w:val="24"/>
          <w:szCs w:val="24"/>
        </w:rPr>
        <w:t xml:space="preserve">, or even </w:t>
      </w:r>
      <w:r w:rsidR="002F0429">
        <w:rPr>
          <w:sz w:val="24"/>
          <w:szCs w:val="24"/>
        </w:rPr>
        <w:t>produced specifically for export to be used as ornament</w:t>
      </w:r>
      <w:r w:rsidR="00DB138E">
        <w:rPr>
          <w:sz w:val="24"/>
          <w:szCs w:val="24"/>
        </w:rPr>
        <w:t>s</w:t>
      </w:r>
      <w:r w:rsidR="002F0429">
        <w:rPr>
          <w:sz w:val="24"/>
          <w:szCs w:val="24"/>
        </w:rPr>
        <w:t xml:space="preserve"> in European architecture or furniture. </w:t>
      </w:r>
      <w:r w:rsidR="003F237C">
        <w:rPr>
          <w:sz w:val="24"/>
          <w:szCs w:val="24"/>
        </w:rPr>
        <w:t>Black lacquer p</w:t>
      </w:r>
      <w:r w:rsidR="002F0429">
        <w:rPr>
          <w:sz w:val="24"/>
          <w:szCs w:val="24"/>
        </w:rPr>
        <w:t xml:space="preserve">anels of similar format may be found in the so-called Red Room of the Chinese Pavilion of Drottningholm </w:t>
      </w:r>
      <w:r w:rsidR="003F237C">
        <w:rPr>
          <w:sz w:val="24"/>
          <w:szCs w:val="24"/>
        </w:rPr>
        <w:t xml:space="preserve">Palace in Stockholm. </w:t>
      </w:r>
      <w:r w:rsidRPr="00B46965">
        <w:rPr>
          <w:sz w:val="24"/>
          <w:szCs w:val="24"/>
        </w:rPr>
        <w:t xml:space="preserve">The Chinese red lacquer panels </w:t>
      </w:r>
      <w:r w:rsidR="00ED578E">
        <w:rPr>
          <w:sz w:val="24"/>
          <w:szCs w:val="24"/>
        </w:rPr>
        <w:t xml:space="preserve">on this commode </w:t>
      </w:r>
      <w:r w:rsidRPr="00B46965">
        <w:rPr>
          <w:sz w:val="24"/>
          <w:szCs w:val="24"/>
        </w:rPr>
        <w:t>have been cut down to approximately 1 to 1.</w:t>
      </w:r>
      <w:r w:rsidR="00354901">
        <w:rPr>
          <w:sz w:val="24"/>
          <w:szCs w:val="24"/>
        </w:rPr>
        <w:t>3</w:t>
      </w:r>
      <w:r w:rsidRPr="00B46965">
        <w:rPr>
          <w:sz w:val="24"/>
          <w:szCs w:val="24"/>
        </w:rPr>
        <w:t xml:space="preserve"> mm in thickness, leaving just a very thin layer of the original conifer wood substrate in place </w:t>
      </w:r>
      <w:r w:rsidRPr="00BD1407">
        <w:rPr>
          <w:bCs/>
          <w:sz w:val="24"/>
          <w:szCs w:val="24"/>
        </w:rPr>
        <w:t>(</w:t>
      </w:r>
      <w:hyperlink w:anchor="fig-6-11" w:history="1">
        <w:r w:rsidR="00C412EE" w:rsidRPr="00BD1407">
          <w:rPr>
            <w:rStyle w:val="Hyperlink"/>
            <w:sz w:val="24"/>
            <w:szCs w:val="24"/>
          </w:rPr>
          <w:t>f</w:t>
        </w:r>
        <w:r w:rsidR="00402A84" w:rsidRPr="00BD1407">
          <w:rPr>
            <w:rStyle w:val="Hyperlink"/>
            <w:sz w:val="24"/>
            <w:szCs w:val="24"/>
          </w:rPr>
          <w:t>ig. 6-11</w:t>
        </w:r>
      </w:hyperlink>
      <w:r w:rsidRPr="00BD1407">
        <w:rPr>
          <w:bCs/>
          <w:sz w:val="24"/>
          <w:szCs w:val="24"/>
        </w:rPr>
        <w:t>).</w:t>
      </w:r>
      <w:r w:rsidRPr="00B46965">
        <w:rPr>
          <w:sz w:val="24"/>
          <w:szCs w:val="24"/>
        </w:rPr>
        <w:t xml:space="preserve"> This </w:t>
      </w:r>
      <w:r w:rsidR="003F237C">
        <w:rPr>
          <w:sz w:val="24"/>
          <w:szCs w:val="24"/>
        </w:rPr>
        <w:lastRenderedPageBreak/>
        <w:t>veneer</w:t>
      </w:r>
      <w:r w:rsidRPr="00B46965">
        <w:rPr>
          <w:sz w:val="24"/>
          <w:szCs w:val="24"/>
        </w:rPr>
        <w:t xml:space="preserve"> of lacquer then was applied to the case and to the drawer fronts, presumably using traditional veneering techniques. The panels that adorn the drawer fronts and two sides of the commode have a layer structure typical of Chinese export lacquer and similar to that of the Chinese lacquer panels used on the Dubois</w:t>
      </w:r>
      <w:r w:rsidRPr="00BD1407">
        <w:rPr>
          <w:i/>
          <w:iCs/>
          <w:sz w:val="24"/>
          <w:szCs w:val="24"/>
        </w:rPr>
        <w:t xml:space="preserve"> </w:t>
      </w:r>
      <w:r w:rsidR="00DB138E" w:rsidRPr="00BD1407">
        <w:rPr>
          <w:i/>
          <w:iCs/>
          <w:sz w:val="24"/>
          <w:szCs w:val="24"/>
        </w:rPr>
        <w:t>s</w:t>
      </w:r>
      <w:r w:rsidR="009A6F53">
        <w:rPr>
          <w:i/>
          <w:iCs/>
          <w:sz w:val="24"/>
          <w:szCs w:val="24"/>
        </w:rPr>
        <w:t>e</w:t>
      </w:r>
      <w:r w:rsidRPr="00BD1407">
        <w:rPr>
          <w:i/>
          <w:iCs/>
          <w:sz w:val="24"/>
          <w:szCs w:val="24"/>
        </w:rPr>
        <w:t>cr</w:t>
      </w:r>
      <w:r w:rsidR="009A6F53">
        <w:rPr>
          <w:i/>
          <w:iCs/>
          <w:sz w:val="24"/>
          <w:szCs w:val="24"/>
        </w:rPr>
        <w:t>é</w:t>
      </w:r>
      <w:r w:rsidRPr="00BD1407">
        <w:rPr>
          <w:i/>
          <w:iCs/>
          <w:sz w:val="24"/>
          <w:szCs w:val="24"/>
        </w:rPr>
        <w:t xml:space="preserve">taire </w:t>
      </w:r>
      <w:r w:rsidRPr="00B46965">
        <w:rPr>
          <w:sz w:val="24"/>
          <w:szCs w:val="24"/>
        </w:rPr>
        <w:t>(</w:t>
      </w:r>
      <w:hyperlink r:id="rId10" w:history="1">
        <w:r w:rsidR="00DB138E" w:rsidRPr="00DB138E">
          <w:rPr>
            <w:rStyle w:val="Hyperlink"/>
            <w:sz w:val="24"/>
            <w:szCs w:val="24"/>
          </w:rPr>
          <w:t xml:space="preserve">cat. no. </w:t>
        </w:r>
        <w:r w:rsidRPr="00DB138E">
          <w:rPr>
            <w:rStyle w:val="Hyperlink"/>
            <w:sz w:val="24"/>
            <w:szCs w:val="24"/>
          </w:rPr>
          <w:t>13</w:t>
        </w:r>
      </w:hyperlink>
      <w:r w:rsidRPr="00B46965">
        <w:rPr>
          <w:sz w:val="24"/>
          <w:szCs w:val="24"/>
        </w:rPr>
        <w:t>). First, two clay-containing foundation layers, bound with a mixture of drying oil and blood, were applied to the wooden substrate. Markers for cedar oil and gum benzoin were also detected in the foundation layers. While cedar oil has been detected in other examples of Chinese export lacquer, gum benzoin is not typically reported in these objects.</w:t>
      </w:r>
      <w:r w:rsidRPr="00B46965">
        <w:rPr>
          <w:rStyle w:val="EndnoteReference"/>
          <w:sz w:val="24"/>
          <w:szCs w:val="24"/>
        </w:rPr>
        <w:endnoteReference w:id="18"/>
      </w:r>
      <w:r w:rsidRPr="00B46965">
        <w:rPr>
          <w:sz w:val="24"/>
          <w:szCs w:val="24"/>
        </w:rPr>
        <w:t xml:space="preserve"> This foundation also contains an interlayer of paper between the two applications of the coarse foundation mixture. The foundation was then coated with two layers of laccol-based </w:t>
      </w:r>
      <w:r w:rsidR="003F237C">
        <w:rPr>
          <w:sz w:val="24"/>
          <w:szCs w:val="24"/>
        </w:rPr>
        <w:t xml:space="preserve">Asian </w:t>
      </w:r>
      <w:r w:rsidRPr="00B46965">
        <w:rPr>
          <w:sz w:val="24"/>
          <w:szCs w:val="24"/>
        </w:rPr>
        <w:t xml:space="preserve">lacquer both of which contain cedar oil, laccol carbohydrates, and tannins. The lower lacquer layer is pigmented with </w:t>
      </w:r>
      <w:r w:rsidR="00CA3C3D">
        <w:rPr>
          <w:sz w:val="24"/>
          <w:szCs w:val="24"/>
        </w:rPr>
        <w:t xml:space="preserve">red </w:t>
      </w:r>
      <w:r w:rsidRPr="00B46965">
        <w:rPr>
          <w:sz w:val="24"/>
          <w:szCs w:val="24"/>
        </w:rPr>
        <w:t xml:space="preserve">iron earth and the upper with the brighter, more expensive vermilion. </w:t>
      </w:r>
    </w:p>
    <w:p w14:paraId="6FA53ED4" w14:textId="75DB573F" w:rsidR="00B46965" w:rsidRPr="00B46965" w:rsidRDefault="00B46965" w:rsidP="00F8364E">
      <w:pPr>
        <w:spacing w:after="0" w:line="480" w:lineRule="auto"/>
        <w:ind w:firstLine="720"/>
        <w:rPr>
          <w:b/>
          <w:sz w:val="24"/>
          <w:szCs w:val="24"/>
        </w:rPr>
      </w:pPr>
      <w:r w:rsidRPr="00B46965">
        <w:rPr>
          <w:sz w:val="24"/>
          <w:szCs w:val="24"/>
        </w:rPr>
        <w:t xml:space="preserve">As mentioned in </w:t>
      </w:r>
      <w:r w:rsidR="00DB138E">
        <w:rPr>
          <w:sz w:val="24"/>
          <w:szCs w:val="24"/>
        </w:rPr>
        <w:t>“Commentary”</w:t>
      </w:r>
      <w:r w:rsidR="00201091">
        <w:rPr>
          <w:sz w:val="24"/>
          <w:szCs w:val="24"/>
        </w:rPr>
        <w:t xml:space="preserve"> above,</w:t>
      </w:r>
      <w:r w:rsidRPr="00B46965">
        <w:rPr>
          <w:sz w:val="24"/>
          <w:szCs w:val="24"/>
        </w:rPr>
        <w:t xml:space="preserve"> the Chinese panels, which cover </w:t>
      </w:r>
      <w:r w:rsidR="00DB138E">
        <w:rPr>
          <w:sz w:val="24"/>
          <w:szCs w:val="24"/>
        </w:rPr>
        <w:t>most</w:t>
      </w:r>
      <w:r w:rsidRPr="00B46965">
        <w:rPr>
          <w:sz w:val="24"/>
          <w:szCs w:val="24"/>
        </w:rPr>
        <w:t xml:space="preserve"> of the commode’s surface, do not extend to </w:t>
      </w:r>
      <w:r w:rsidR="003F237C">
        <w:rPr>
          <w:sz w:val="24"/>
          <w:szCs w:val="24"/>
        </w:rPr>
        <w:t xml:space="preserve">the top of the upper drawer or </w:t>
      </w:r>
      <w:r w:rsidRPr="00B46965">
        <w:rPr>
          <w:sz w:val="24"/>
          <w:szCs w:val="24"/>
        </w:rPr>
        <w:t>the bottom edge of the lower drawer front. Here, a French craftsman add</w:t>
      </w:r>
      <w:r w:rsidR="003F237C">
        <w:rPr>
          <w:sz w:val="24"/>
          <w:szCs w:val="24"/>
        </w:rPr>
        <w:t>ed</w:t>
      </w:r>
      <w:r w:rsidRPr="00B46965">
        <w:rPr>
          <w:sz w:val="24"/>
          <w:szCs w:val="24"/>
        </w:rPr>
        <w:t xml:space="preserve"> European imitation lacquer to extend the composition, including</w:t>
      </w:r>
      <w:r w:rsidR="003F237C">
        <w:rPr>
          <w:sz w:val="24"/>
          <w:szCs w:val="24"/>
        </w:rPr>
        <w:t>, at the bottom,</w:t>
      </w:r>
      <w:r w:rsidRPr="00B46965">
        <w:rPr>
          <w:sz w:val="24"/>
          <w:szCs w:val="24"/>
        </w:rPr>
        <w:t xml:space="preserve"> the set of stairs in Western perspective. In </w:t>
      </w:r>
      <w:r w:rsidR="00DB138E">
        <w:rPr>
          <w:sz w:val="24"/>
          <w:szCs w:val="24"/>
        </w:rPr>
        <w:t>X</w:t>
      </w:r>
      <w:r w:rsidRPr="00B46965">
        <w:rPr>
          <w:sz w:val="24"/>
          <w:szCs w:val="24"/>
        </w:rPr>
        <w:t>-radiograp</w:t>
      </w:r>
      <w:r w:rsidR="00ED578E">
        <w:rPr>
          <w:sz w:val="24"/>
          <w:szCs w:val="24"/>
        </w:rPr>
        <w:t>hy and infrared photography</w:t>
      </w:r>
      <w:r w:rsidRPr="00B46965">
        <w:rPr>
          <w:sz w:val="24"/>
          <w:szCs w:val="24"/>
        </w:rPr>
        <w:t xml:space="preserve">, the </w:t>
      </w:r>
      <w:r w:rsidR="003F237C">
        <w:rPr>
          <w:sz w:val="24"/>
          <w:szCs w:val="24"/>
        </w:rPr>
        <w:t xml:space="preserve">top and </w:t>
      </w:r>
      <w:r w:rsidR="00DB138E">
        <w:rPr>
          <w:sz w:val="24"/>
          <w:szCs w:val="24"/>
        </w:rPr>
        <w:t xml:space="preserve">the </w:t>
      </w:r>
      <w:r w:rsidR="003F237C">
        <w:rPr>
          <w:sz w:val="24"/>
          <w:szCs w:val="24"/>
        </w:rPr>
        <w:t>bottom</w:t>
      </w:r>
      <w:r w:rsidRPr="00B46965">
        <w:rPr>
          <w:sz w:val="24"/>
          <w:szCs w:val="24"/>
        </w:rPr>
        <w:t xml:space="preserve"> of the Chinese </w:t>
      </w:r>
      <w:r w:rsidR="00FD07B3">
        <w:rPr>
          <w:sz w:val="24"/>
          <w:szCs w:val="24"/>
        </w:rPr>
        <w:t xml:space="preserve">lacquer </w:t>
      </w:r>
      <w:r w:rsidRPr="00B46965">
        <w:rPr>
          <w:sz w:val="24"/>
          <w:szCs w:val="24"/>
        </w:rPr>
        <w:t xml:space="preserve">panel </w:t>
      </w:r>
      <w:r w:rsidR="00FD07B3">
        <w:rPr>
          <w:sz w:val="24"/>
          <w:szCs w:val="24"/>
        </w:rPr>
        <w:t>are</w:t>
      </w:r>
      <w:r w:rsidRPr="00B46965">
        <w:rPr>
          <w:sz w:val="24"/>
          <w:szCs w:val="24"/>
        </w:rPr>
        <w:t xml:space="preserve"> readily apparent</w:t>
      </w:r>
      <w:r w:rsidRPr="00B46965">
        <w:rPr>
          <w:b/>
          <w:i/>
          <w:sz w:val="24"/>
          <w:szCs w:val="24"/>
        </w:rPr>
        <w:t xml:space="preserve"> </w:t>
      </w:r>
      <w:r w:rsidRPr="00B46965">
        <w:rPr>
          <w:sz w:val="24"/>
          <w:szCs w:val="24"/>
        </w:rPr>
        <w:t>(</w:t>
      </w:r>
      <w:hyperlink w:anchor="fig-6-12" w:history="1">
        <w:r w:rsidR="00DB138E" w:rsidRPr="00DB138E">
          <w:rPr>
            <w:rStyle w:val="Hyperlink"/>
            <w:sz w:val="24"/>
            <w:szCs w:val="24"/>
          </w:rPr>
          <w:t>f</w:t>
        </w:r>
        <w:r w:rsidR="00402A84" w:rsidRPr="00DB138E">
          <w:rPr>
            <w:rStyle w:val="Hyperlink"/>
            <w:sz w:val="24"/>
            <w:szCs w:val="24"/>
          </w:rPr>
          <w:t>ig. 6-12</w:t>
        </w:r>
      </w:hyperlink>
      <w:r w:rsidRPr="00B46965">
        <w:rPr>
          <w:sz w:val="24"/>
          <w:szCs w:val="24"/>
        </w:rPr>
        <w:t>).</w:t>
      </w:r>
      <w:r w:rsidRPr="00B46965">
        <w:rPr>
          <w:b/>
          <w:sz w:val="24"/>
          <w:szCs w:val="24"/>
        </w:rPr>
        <w:t xml:space="preserve"> </w:t>
      </w:r>
    </w:p>
    <w:p w14:paraId="31684693" w14:textId="009449CB" w:rsidR="00B46965" w:rsidRPr="00B46965" w:rsidRDefault="00B46965" w:rsidP="00F8364E">
      <w:pPr>
        <w:spacing w:after="0" w:line="480" w:lineRule="auto"/>
        <w:ind w:firstLine="720"/>
        <w:rPr>
          <w:sz w:val="24"/>
          <w:szCs w:val="24"/>
        </w:rPr>
      </w:pPr>
      <w:r w:rsidRPr="00B46965">
        <w:rPr>
          <w:sz w:val="24"/>
          <w:szCs w:val="24"/>
        </w:rPr>
        <w:t>Around the Chinese lacquer panels, the entire case has been veneered with sycamore maple applied with the grain running diagonally on both sides and</w:t>
      </w:r>
      <w:r w:rsidR="00DB138E">
        <w:rPr>
          <w:sz w:val="24"/>
          <w:szCs w:val="24"/>
        </w:rPr>
        <w:t xml:space="preserve"> on</w:t>
      </w:r>
      <w:r w:rsidRPr="00B46965">
        <w:rPr>
          <w:sz w:val="24"/>
          <w:szCs w:val="24"/>
        </w:rPr>
        <w:t xml:space="preserve"> the front legs. This veneering is much smoother and more fine-grained than the oak substrate, creating a surface that is more amenable to a high polish lacquer imitation and requires less grain filling than oak would. On the top corners of the </w:t>
      </w:r>
      <w:r w:rsidR="00DD4725">
        <w:rPr>
          <w:sz w:val="24"/>
          <w:szCs w:val="24"/>
        </w:rPr>
        <w:t xml:space="preserve">front </w:t>
      </w:r>
      <w:r w:rsidRPr="00B46965">
        <w:rPr>
          <w:sz w:val="24"/>
          <w:szCs w:val="24"/>
        </w:rPr>
        <w:t>leg</w:t>
      </w:r>
      <w:r w:rsidR="00DD4725">
        <w:rPr>
          <w:sz w:val="24"/>
          <w:szCs w:val="24"/>
        </w:rPr>
        <w:t xml:space="preserve"> posts, </w:t>
      </w:r>
      <w:r w:rsidRPr="00B46965">
        <w:rPr>
          <w:sz w:val="24"/>
          <w:szCs w:val="24"/>
        </w:rPr>
        <w:t xml:space="preserve">large blocks of solid sycamore maple have been </w:t>
      </w:r>
      <w:r w:rsidRPr="00B46965">
        <w:rPr>
          <w:sz w:val="24"/>
          <w:szCs w:val="24"/>
        </w:rPr>
        <w:lastRenderedPageBreak/>
        <w:t>spliced into the oak substrate (</w:t>
      </w:r>
      <w:hyperlink w:anchor="fig-6-13" w:history="1">
        <w:r w:rsidR="00DB138E" w:rsidRPr="00DB138E">
          <w:rPr>
            <w:rStyle w:val="Hyperlink"/>
            <w:sz w:val="24"/>
            <w:szCs w:val="24"/>
          </w:rPr>
          <w:t>f</w:t>
        </w:r>
        <w:r w:rsidR="00402A84" w:rsidRPr="00DB138E">
          <w:rPr>
            <w:rStyle w:val="Hyperlink"/>
            <w:sz w:val="24"/>
            <w:szCs w:val="24"/>
          </w:rPr>
          <w:t>ig. 6-13</w:t>
        </w:r>
      </w:hyperlink>
      <w:r w:rsidRPr="00B46965">
        <w:rPr>
          <w:sz w:val="24"/>
          <w:szCs w:val="24"/>
        </w:rPr>
        <w:t xml:space="preserve">). This has been done because this area </w:t>
      </w:r>
      <w:r w:rsidR="00DD4725">
        <w:rPr>
          <w:sz w:val="24"/>
          <w:szCs w:val="24"/>
        </w:rPr>
        <w:t>is</w:t>
      </w:r>
      <w:r w:rsidRPr="00B46965">
        <w:rPr>
          <w:sz w:val="24"/>
          <w:szCs w:val="24"/>
        </w:rPr>
        <w:t xml:space="preserve"> visible behind the pieced corner mounts and thus needed to be given a coat of European red lacquer. Normally this would require the area to be veneered with smooth</w:t>
      </w:r>
      <w:r w:rsidR="00DB138E">
        <w:rPr>
          <w:sz w:val="24"/>
          <w:szCs w:val="24"/>
        </w:rPr>
        <w:t>-</w:t>
      </w:r>
      <w:r w:rsidRPr="00B46965">
        <w:rPr>
          <w:sz w:val="24"/>
          <w:szCs w:val="24"/>
        </w:rPr>
        <w:t>grained domestic wood first</w:t>
      </w:r>
      <w:r w:rsidR="00DB138E">
        <w:rPr>
          <w:sz w:val="24"/>
          <w:szCs w:val="24"/>
        </w:rPr>
        <w:t>;</w:t>
      </w:r>
      <w:r w:rsidRPr="00B46965">
        <w:rPr>
          <w:sz w:val="24"/>
          <w:szCs w:val="24"/>
        </w:rPr>
        <w:t xml:space="preserve"> however, as veneering around a very tight curve would be difficult, this entire corner block has been cut out and a piece of solid, smooth sycamore maple inserted. </w:t>
      </w:r>
    </w:p>
    <w:p w14:paraId="08683D1D" w14:textId="322E2606" w:rsidR="00B46965" w:rsidRPr="00B46965" w:rsidRDefault="00B46965" w:rsidP="00F8364E">
      <w:pPr>
        <w:spacing w:after="0" w:line="480" w:lineRule="auto"/>
        <w:ind w:firstLine="720"/>
        <w:rPr>
          <w:sz w:val="24"/>
          <w:szCs w:val="24"/>
        </w:rPr>
      </w:pPr>
      <w:r w:rsidRPr="00B46965">
        <w:rPr>
          <w:sz w:val="24"/>
          <w:szCs w:val="24"/>
        </w:rPr>
        <w:t>The European lacquer was built up in a series of spirit-resin varnish layers applied to the areas surrounding the Asian lacquer panels as well as the legs (</w:t>
      </w:r>
      <w:hyperlink w:anchor="fig-6-14" w:history="1">
        <w:r w:rsidR="00DB138E" w:rsidRPr="00DB138E">
          <w:rPr>
            <w:rStyle w:val="Hyperlink"/>
            <w:sz w:val="24"/>
            <w:szCs w:val="24"/>
          </w:rPr>
          <w:t>f</w:t>
        </w:r>
        <w:r w:rsidR="00402A84" w:rsidRPr="00DB138E">
          <w:rPr>
            <w:rStyle w:val="Hyperlink"/>
            <w:sz w:val="24"/>
            <w:szCs w:val="24"/>
          </w:rPr>
          <w:t>ig. 6-14</w:t>
        </w:r>
      </w:hyperlink>
      <w:r w:rsidRPr="00B46965">
        <w:rPr>
          <w:sz w:val="24"/>
          <w:szCs w:val="24"/>
        </w:rPr>
        <w:t>). First, a pigmented varnish was applied directly to the sycamore maple veneer. This layer appears deep within the wood grain when examined in cross</w:t>
      </w:r>
      <w:r w:rsidR="00DB138E">
        <w:rPr>
          <w:sz w:val="24"/>
          <w:szCs w:val="24"/>
        </w:rPr>
        <w:t xml:space="preserve"> </w:t>
      </w:r>
      <w:r w:rsidRPr="00B46965">
        <w:rPr>
          <w:sz w:val="24"/>
          <w:szCs w:val="24"/>
        </w:rPr>
        <w:t xml:space="preserve">section at high magnification </w:t>
      </w:r>
      <w:r>
        <w:rPr>
          <w:sz w:val="24"/>
          <w:szCs w:val="24"/>
        </w:rPr>
        <w:t>(</w:t>
      </w:r>
      <w:hyperlink w:anchor="fig-6-15" w:history="1">
        <w:r w:rsidR="00DB138E" w:rsidRPr="00DB138E">
          <w:rPr>
            <w:rStyle w:val="Hyperlink"/>
            <w:sz w:val="24"/>
            <w:szCs w:val="24"/>
          </w:rPr>
          <w:t>f</w:t>
        </w:r>
        <w:r w:rsidR="00402A84" w:rsidRPr="00DB138E">
          <w:rPr>
            <w:rStyle w:val="Hyperlink"/>
            <w:sz w:val="24"/>
            <w:szCs w:val="24"/>
          </w:rPr>
          <w:t>ig</w:t>
        </w:r>
        <w:r w:rsidR="00DB138E" w:rsidRPr="00DB138E">
          <w:rPr>
            <w:rStyle w:val="Hyperlink"/>
            <w:sz w:val="24"/>
            <w:szCs w:val="24"/>
          </w:rPr>
          <w:t>s.</w:t>
        </w:r>
        <w:r w:rsidR="00402A84" w:rsidRPr="00DB138E">
          <w:rPr>
            <w:rStyle w:val="Hyperlink"/>
            <w:sz w:val="24"/>
            <w:szCs w:val="24"/>
          </w:rPr>
          <w:t xml:space="preserve"> 6-15</w:t>
        </w:r>
      </w:hyperlink>
      <w:r w:rsidR="00DB138E">
        <w:rPr>
          <w:sz w:val="24"/>
          <w:szCs w:val="24"/>
        </w:rPr>
        <w:t>,</w:t>
      </w:r>
      <w:r w:rsidR="00402A84">
        <w:rPr>
          <w:color w:val="FF0000"/>
          <w:sz w:val="24"/>
          <w:szCs w:val="24"/>
        </w:rPr>
        <w:t xml:space="preserve"> </w:t>
      </w:r>
      <w:hyperlink w:anchor="fig-6-16" w:history="1">
        <w:r w:rsidR="00402A84" w:rsidRPr="00DB138E">
          <w:rPr>
            <w:rStyle w:val="Hyperlink"/>
            <w:sz w:val="24"/>
            <w:szCs w:val="24"/>
          </w:rPr>
          <w:t>6-16</w:t>
        </w:r>
      </w:hyperlink>
      <w:r>
        <w:rPr>
          <w:sz w:val="24"/>
          <w:szCs w:val="24"/>
        </w:rPr>
        <w:t>)</w:t>
      </w:r>
      <w:r w:rsidRPr="00B46965">
        <w:rPr>
          <w:sz w:val="24"/>
          <w:szCs w:val="24"/>
        </w:rPr>
        <w:t>. Based on additional analysis with SEM-ED</w:t>
      </w:r>
      <w:r w:rsidR="00DD4725">
        <w:rPr>
          <w:sz w:val="24"/>
          <w:szCs w:val="24"/>
        </w:rPr>
        <w:t xml:space="preserve">S </w:t>
      </w:r>
      <w:r w:rsidRPr="00B46965">
        <w:rPr>
          <w:sz w:val="24"/>
          <w:szCs w:val="24"/>
        </w:rPr>
        <w:t xml:space="preserve">and </w:t>
      </w:r>
      <w:r w:rsidR="00E040FD">
        <w:rPr>
          <w:sz w:val="24"/>
          <w:szCs w:val="24"/>
        </w:rPr>
        <w:t>p</w:t>
      </w:r>
      <w:r w:rsidRPr="00B46965">
        <w:rPr>
          <w:sz w:val="24"/>
          <w:szCs w:val="24"/>
        </w:rPr>
        <w:t>y/GC-MS, the layer was colored with vermilion and bound in a sandarac</w:t>
      </w:r>
      <w:r w:rsidR="00DB138E">
        <w:rPr>
          <w:sz w:val="24"/>
          <w:szCs w:val="24"/>
        </w:rPr>
        <w:t>-</w:t>
      </w:r>
      <w:r w:rsidRPr="00B46965">
        <w:rPr>
          <w:sz w:val="24"/>
          <w:szCs w:val="24"/>
        </w:rPr>
        <w:t>spirit varnish, likely with the addition of gum elemi and camphor. These materials are in keeping with a fine eighteenth-century “white varnish.”</w:t>
      </w:r>
      <w:r w:rsidRPr="00B46965">
        <w:rPr>
          <w:rStyle w:val="EndnoteReference"/>
          <w:sz w:val="24"/>
          <w:szCs w:val="24"/>
        </w:rPr>
        <w:endnoteReference w:id="19"/>
      </w:r>
      <w:r w:rsidRPr="00B46965">
        <w:rPr>
          <w:sz w:val="24"/>
          <w:szCs w:val="24"/>
        </w:rPr>
        <w:t xml:space="preserve"> In the eighteenth century, sandarac was the most common major ingredient for transparent gloss lacquers. The resin readily dissolved in alcohol and dried quickly. It was also one of the lightest</w:t>
      </w:r>
      <w:r w:rsidR="00DB138E">
        <w:rPr>
          <w:sz w:val="24"/>
          <w:szCs w:val="24"/>
        </w:rPr>
        <w:t>-</w:t>
      </w:r>
      <w:r w:rsidRPr="00B46965">
        <w:rPr>
          <w:sz w:val="24"/>
          <w:szCs w:val="24"/>
        </w:rPr>
        <w:t>colored resins available at the time and hard enough to take a high polish.</w:t>
      </w:r>
      <w:r w:rsidRPr="00B46965">
        <w:rPr>
          <w:rStyle w:val="EndnoteReference"/>
          <w:sz w:val="24"/>
          <w:szCs w:val="24"/>
        </w:rPr>
        <w:endnoteReference w:id="20"/>
      </w:r>
      <w:r w:rsidRPr="00B46965">
        <w:rPr>
          <w:sz w:val="24"/>
          <w:szCs w:val="24"/>
        </w:rPr>
        <w:t xml:space="preserve"> The softer resins gum elemi and camphor would have been added to </w:t>
      </w:r>
      <w:r w:rsidR="00ED578E">
        <w:rPr>
          <w:sz w:val="24"/>
          <w:szCs w:val="24"/>
        </w:rPr>
        <w:t>compensate for the brittleness</w:t>
      </w:r>
      <w:r w:rsidRPr="00B46965">
        <w:rPr>
          <w:sz w:val="24"/>
          <w:szCs w:val="24"/>
        </w:rPr>
        <w:t xml:space="preserve"> of the sandarac and </w:t>
      </w:r>
      <w:r w:rsidR="00DD4725">
        <w:rPr>
          <w:sz w:val="24"/>
          <w:szCs w:val="24"/>
        </w:rPr>
        <w:t xml:space="preserve">to </w:t>
      </w:r>
      <w:r w:rsidRPr="00B46965">
        <w:rPr>
          <w:sz w:val="24"/>
          <w:szCs w:val="24"/>
        </w:rPr>
        <w:t>plasticize the resin film, improving the toughness and adhesion of the lacquer.</w:t>
      </w:r>
      <w:r w:rsidRPr="00B46965">
        <w:rPr>
          <w:rStyle w:val="EndnoteReference"/>
          <w:sz w:val="24"/>
          <w:szCs w:val="24"/>
        </w:rPr>
        <w:endnoteReference w:id="21"/>
      </w:r>
      <w:r w:rsidRPr="00B46965">
        <w:rPr>
          <w:sz w:val="24"/>
          <w:szCs w:val="24"/>
        </w:rPr>
        <w:t xml:space="preserve"> For  European</w:t>
      </w:r>
      <w:r w:rsidR="00DB138E">
        <w:rPr>
          <w:sz w:val="24"/>
          <w:szCs w:val="24"/>
        </w:rPr>
        <w:t xml:space="preserve"> red</w:t>
      </w:r>
      <w:r w:rsidRPr="00B46965">
        <w:rPr>
          <w:sz w:val="24"/>
          <w:szCs w:val="24"/>
        </w:rPr>
        <w:t xml:space="preserve"> lacquer, spirit-resin varnishes were the predominant recipes listed in period literature</w:t>
      </w:r>
      <w:r w:rsidR="00DB138E">
        <w:rPr>
          <w:sz w:val="24"/>
          <w:szCs w:val="24"/>
        </w:rPr>
        <w:t>;</w:t>
      </w:r>
      <w:r w:rsidRPr="00B46965">
        <w:rPr>
          <w:sz w:val="24"/>
          <w:szCs w:val="24"/>
        </w:rPr>
        <w:t xml:space="preserve"> drying oil-resin and essential oil varnishes </w:t>
      </w:r>
      <w:r w:rsidR="00DB138E">
        <w:rPr>
          <w:sz w:val="24"/>
          <w:szCs w:val="24"/>
        </w:rPr>
        <w:t xml:space="preserve">were </w:t>
      </w:r>
      <w:r w:rsidRPr="00B46965">
        <w:rPr>
          <w:sz w:val="24"/>
          <w:szCs w:val="24"/>
        </w:rPr>
        <w:t>rarely mentioned</w:t>
      </w:r>
      <w:r w:rsidR="00DB138E">
        <w:rPr>
          <w:sz w:val="24"/>
          <w:szCs w:val="24"/>
        </w:rPr>
        <w:t>.</w:t>
      </w:r>
      <w:r w:rsidRPr="00B46965">
        <w:rPr>
          <w:rStyle w:val="EndnoteReference"/>
          <w:sz w:val="24"/>
          <w:szCs w:val="24"/>
        </w:rPr>
        <w:endnoteReference w:id="22"/>
      </w:r>
      <w:r w:rsidRPr="00B46965">
        <w:rPr>
          <w:sz w:val="24"/>
          <w:szCs w:val="24"/>
        </w:rPr>
        <w:t xml:space="preserve"> While </w:t>
      </w:r>
      <w:r w:rsidR="00ED578E">
        <w:rPr>
          <w:sz w:val="24"/>
          <w:szCs w:val="24"/>
        </w:rPr>
        <w:t>some period r</w:t>
      </w:r>
      <w:r w:rsidRPr="00B46965">
        <w:rPr>
          <w:sz w:val="24"/>
          <w:szCs w:val="24"/>
        </w:rPr>
        <w:t xml:space="preserve">ecipes for red lacquer </w:t>
      </w:r>
      <w:r w:rsidR="00ED578E">
        <w:rPr>
          <w:sz w:val="24"/>
          <w:szCs w:val="24"/>
        </w:rPr>
        <w:t>call for</w:t>
      </w:r>
      <w:r w:rsidRPr="00B46965">
        <w:rPr>
          <w:sz w:val="24"/>
          <w:szCs w:val="24"/>
        </w:rPr>
        <w:t xml:space="preserve"> the use of shellac and colophony, there does not appear to be any evidence that either of these materials were used in the original European lacquer on the commode, with the exception of the later restoration coatings carried out, at least in part, with bleached shellac. The </w:t>
      </w:r>
      <w:r w:rsidRPr="00B46965">
        <w:rPr>
          <w:sz w:val="24"/>
          <w:szCs w:val="24"/>
        </w:rPr>
        <w:lastRenderedPageBreak/>
        <w:t xml:space="preserve">presence of bleached shellac, developed in the early </w:t>
      </w:r>
      <w:r w:rsidR="00DB138E">
        <w:rPr>
          <w:sz w:val="24"/>
          <w:szCs w:val="24"/>
        </w:rPr>
        <w:t>nineteenth</w:t>
      </w:r>
      <w:r w:rsidRPr="00B46965">
        <w:rPr>
          <w:sz w:val="24"/>
          <w:szCs w:val="24"/>
        </w:rPr>
        <w:t xml:space="preserve"> century, can be detected analytically by the identification of specific chlorinated resin compounds.</w:t>
      </w:r>
    </w:p>
    <w:p w14:paraId="21FD2E7F" w14:textId="5C1DD20F" w:rsidR="00B46965" w:rsidRPr="00B46965" w:rsidRDefault="00B46965" w:rsidP="00F8364E">
      <w:pPr>
        <w:spacing w:after="0" w:line="480" w:lineRule="auto"/>
        <w:ind w:firstLine="720"/>
        <w:rPr>
          <w:sz w:val="24"/>
          <w:szCs w:val="24"/>
        </w:rPr>
      </w:pPr>
      <w:r w:rsidRPr="00B46965">
        <w:rPr>
          <w:sz w:val="24"/>
          <w:szCs w:val="24"/>
        </w:rPr>
        <w:t xml:space="preserve">In general, the gilt bronze mounts on the commode appear to be original, finely chased, and in good condition. </w:t>
      </w:r>
      <w:r w:rsidR="00DB138E">
        <w:rPr>
          <w:sz w:val="24"/>
          <w:szCs w:val="24"/>
        </w:rPr>
        <w:t>Twenty</w:t>
      </w:r>
      <w:r w:rsidRPr="00B46965">
        <w:rPr>
          <w:sz w:val="24"/>
          <w:szCs w:val="24"/>
        </w:rPr>
        <w:t xml:space="preserve"> brass elements from the </w:t>
      </w:r>
      <w:r w:rsidR="00DB138E">
        <w:rPr>
          <w:sz w:val="24"/>
          <w:szCs w:val="24"/>
        </w:rPr>
        <w:t>c</w:t>
      </w:r>
      <w:r w:rsidRPr="00B46965">
        <w:rPr>
          <w:sz w:val="24"/>
          <w:szCs w:val="24"/>
        </w:rPr>
        <w:t xml:space="preserve">ommode were analyzed by XRF for alloy composition. The results for </w:t>
      </w:r>
      <w:r w:rsidR="00201091">
        <w:rPr>
          <w:sz w:val="24"/>
          <w:szCs w:val="24"/>
        </w:rPr>
        <w:t>eighteen</w:t>
      </w:r>
      <w:r w:rsidRPr="00B46965">
        <w:rPr>
          <w:sz w:val="24"/>
          <w:szCs w:val="24"/>
        </w:rPr>
        <w:t xml:space="preserve"> of the </w:t>
      </w:r>
      <w:r w:rsidR="00201091">
        <w:rPr>
          <w:sz w:val="24"/>
          <w:szCs w:val="24"/>
        </w:rPr>
        <w:t>twenty</w:t>
      </w:r>
      <w:r w:rsidRPr="00B46965">
        <w:rPr>
          <w:sz w:val="24"/>
          <w:szCs w:val="24"/>
        </w:rPr>
        <w:t xml:space="preserve"> measurements were consistent with </w:t>
      </w:r>
      <w:r w:rsidR="002E27FF">
        <w:rPr>
          <w:sz w:val="24"/>
          <w:szCs w:val="24"/>
        </w:rPr>
        <w:t>eighteenth-</w:t>
      </w:r>
      <w:r w:rsidRPr="00B46965">
        <w:rPr>
          <w:sz w:val="24"/>
          <w:szCs w:val="24"/>
        </w:rPr>
        <w:t xml:space="preserve">century manufacture. The escutcheon of the lower drawer appears to be a late </w:t>
      </w:r>
      <w:r w:rsidR="002E27FF">
        <w:rPr>
          <w:sz w:val="24"/>
          <w:szCs w:val="24"/>
        </w:rPr>
        <w:t>nineteenth-</w:t>
      </w:r>
      <w:r w:rsidRPr="00B46965">
        <w:rPr>
          <w:sz w:val="24"/>
          <w:szCs w:val="24"/>
        </w:rPr>
        <w:t xml:space="preserve"> or </w:t>
      </w:r>
      <w:r w:rsidR="002E27FF">
        <w:rPr>
          <w:sz w:val="24"/>
          <w:szCs w:val="24"/>
        </w:rPr>
        <w:t>twentieth-</w:t>
      </w:r>
      <w:r w:rsidRPr="00B46965">
        <w:rPr>
          <w:sz w:val="24"/>
          <w:szCs w:val="24"/>
        </w:rPr>
        <w:t>century replacement</w:t>
      </w:r>
      <w:r w:rsidR="002E27FF">
        <w:rPr>
          <w:sz w:val="24"/>
          <w:szCs w:val="24"/>
        </w:rPr>
        <w:t>,</w:t>
      </w:r>
      <w:r w:rsidRPr="00B46965">
        <w:rPr>
          <w:sz w:val="24"/>
          <w:szCs w:val="24"/>
        </w:rPr>
        <w:t xml:space="preserve"> as does one small section of foliate molding from the top drawer. These two elements contain elevated levels of zinc and extremely low levels of impurities such as silver, antimony</w:t>
      </w:r>
      <w:r w:rsidR="002E27FF">
        <w:rPr>
          <w:sz w:val="24"/>
          <w:szCs w:val="24"/>
        </w:rPr>
        <w:t>,</w:t>
      </w:r>
      <w:r w:rsidRPr="00B46965">
        <w:rPr>
          <w:sz w:val="24"/>
          <w:szCs w:val="24"/>
        </w:rPr>
        <w:t xml:space="preserve"> and iron, making it highly unlikely that they date to the </w:t>
      </w:r>
      <w:r w:rsidR="002E27FF">
        <w:rPr>
          <w:sz w:val="24"/>
          <w:szCs w:val="24"/>
        </w:rPr>
        <w:t>eighteenth</w:t>
      </w:r>
      <w:r w:rsidRPr="00B46965">
        <w:rPr>
          <w:sz w:val="24"/>
          <w:szCs w:val="24"/>
        </w:rPr>
        <w:t xml:space="preserve"> century.</w:t>
      </w:r>
    </w:p>
    <w:p w14:paraId="08ED7104" w14:textId="63B4C412" w:rsidR="001A336F" w:rsidRPr="00BC0960" w:rsidRDefault="00B46965" w:rsidP="00F8364E">
      <w:pPr>
        <w:spacing w:after="0" w:line="480" w:lineRule="auto"/>
        <w:ind w:firstLine="720"/>
        <w:rPr>
          <w:sz w:val="24"/>
          <w:szCs w:val="24"/>
        </w:rPr>
      </w:pPr>
      <w:r w:rsidRPr="00B46965">
        <w:rPr>
          <w:sz w:val="24"/>
          <w:szCs w:val="24"/>
        </w:rPr>
        <w:t xml:space="preserve">The marble top is made from </w:t>
      </w:r>
      <w:r w:rsidR="002E27FF">
        <w:rPr>
          <w:i/>
          <w:iCs/>
          <w:sz w:val="24"/>
          <w:szCs w:val="24"/>
        </w:rPr>
        <w:t>brèche d’Alep</w:t>
      </w:r>
      <w:r w:rsidRPr="00B46965">
        <w:rPr>
          <w:sz w:val="24"/>
          <w:szCs w:val="24"/>
        </w:rPr>
        <w:t xml:space="preserve"> from </w:t>
      </w:r>
      <w:r w:rsidR="00046764">
        <w:rPr>
          <w:sz w:val="24"/>
          <w:szCs w:val="24"/>
        </w:rPr>
        <w:t xml:space="preserve">the </w:t>
      </w:r>
      <w:r w:rsidRPr="00B46965">
        <w:rPr>
          <w:sz w:val="24"/>
          <w:szCs w:val="24"/>
        </w:rPr>
        <w:t>Bouches</w:t>
      </w:r>
      <w:r w:rsidR="00046764">
        <w:rPr>
          <w:sz w:val="24"/>
          <w:szCs w:val="24"/>
        </w:rPr>
        <w:t>-</w:t>
      </w:r>
      <w:r w:rsidRPr="00B46965">
        <w:rPr>
          <w:sz w:val="24"/>
          <w:szCs w:val="24"/>
        </w:rPr>
        <w:t>du</w:t>
      </w:r>
      <w:r w:rsidR="00046764">
        <w:rPr>
          <w:sz w:val="24"/>
          <w:szCs w:val="24"/>
        </w:rPr>
        <w:t>-</w:t>
      </w:r>
      <w:r w:rsidRPr="00B46965">
        <w:rPr>
          <w:sz w:val="24"/>
          <w:szCs w:val="24"/>
        </w:rPr>
        <w:t>Rh</w:t>
      </w:r>
      <w:r w:rsidR="00046764">
        <w:rPr>
          <w:sz w:val="24"/>
          <w:szCs w:val="24"/>
        </w:rPr>
        <w:t>ô</w:t>
      </w:r>
      <w:r w:rsidRPr="00B46965">
        <w:rPr>
          <w:sz w:val="24"/>
          <w:szCs w:val="24"/>
        </w:rPr>
        <w:t xml:space="preserve">ne, France. The </w:t>
      </w:r>
      <w:r w:rsidR="002E27FF">
        <w:rPr>
          <w:sz w:val="24"/>
          <w:szCs w:val="24"/>
        </w:rPr>
        <w:t>multicolored</w:t>
      </w:r>
      <w:r w:rsidRPr="00B46965">
        <w:rPr>
          <w:sz w:val="24"/>
          <w:szCs w:val="24"/>
        </w:rPr>
        <w:t xml:space="preserve"> breccia marble is somewhat unusual for its very small (&lt;</w:t>
      </w:r>
      <w:r w:rsidR="002E27FF">
        <w:rPr>
          <w:sz w:val="24"/>
          <w:szCs w:val="24"/>
        </w:rPr>
        <w:t xml:space="preserve"> </w:t>
      </w:r>
      <w:r w:rsidRPr="00B46965">
        <w:rPr>
          <w:sz w:val="24"/>
          <w:szCs w:val="24"/>
        </w:rPr>
        <w:t xml:space="preserve">5 cm) cobbles. Normally </w:t>
      </w:r>
      <w:r w:rsidR="002E27FF">
        <w:rPr>
          <w:i/>
          <w:iCs/>
          <w:sz w:val="24"/>
          <w:szCs w:val="24"/>
        </w:rPr>
        <w:t>brèche d’Alep</w:t>
      </w:r>
      <w:r w:rsidRPr="00B46965">
        <w:rPr>
          <w:sz w:val="24"/>
          <w:szCs w:val="24"/>
        </w:rPr>
        <w:t xml:space="preserve"> contains large cobbles up to 30 cm in length. The predominant color of the cobbles is a tan-cream, although red and even black cobbles are present.</w:t>
      </w:r>
    </w:p>
    <w:sectPr w:rsidR="001A336F" w:rsidRPr="00BC0960">
      <w:footerReference w:type="default" r:id="rId11"/>
      <w:endnotePr>
        <w:numFmt w:val="decimal"/>
      </w:endnotePr>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64C95" w14:textId="77777777" w:rsidR="00FE700E" w:rsidRDefault="00FE700E">
      <w:pPr>
        <w:spacing w:after="0" w:line="240" w:lineRule="auto"/>
      </w:pPr>
      <w:r>
        <w:separator/>
      </w:r>
    </w:p>
  </w:endnote>
  <w:endnote w:type="continuationSeparator" w:id="0">
    <w:p w14:paraId="5BA93690" w14:textId="77777777" w:rsidR="00FE700E" w:rsidRDefault="00FE700E">
      <w:pPr>
        <w:spacing w:after="0" w:line="240" w:lineRule="auto"/>
      </w:pPr>
      <w:r>
        <w:continuationSeparator/>
      </w:r>
    </w:p>
  </w:endnote>
  <w:endnote w:id="1">
    <w:p w14:paraId="7A6ABBD2" w14:textId="79322C99" w:rsidR="00DB138E" w:rsidRPr="00610A03" w:rsidRDefault="00DB138E" w:rsidP="00B30244">
      <w:pPr>
        <w:pStyle w:val="EndnoteText"/>
        <w:spacing w:line="480" w:lineRule="auto"/>
      </w:pPr>
      <w:r w:rsidRPr="00610A03">
        <w:rPr>
          <w:rStyle w:val="FootnoteCharacters"/>
        </w:rPr>
        <w:endnoteRef/>
      </w:r>
      <w:r w:rsidRPr="00610A03">
        <w:t xml:space="preserve"> </w:t>
      </w:r>
      <w:r w:rsidRPr="00610A03">
        <w:rPr>
          <w:sz w:val="24"/>
          <w:szCs w:val="24"/>
        </w:rPr>
        <w:t xml:space="preserve">For more information on Bernard II van Risenburgh, see primarily </w:t>
      </w:r>
      <w:r>
        <w:rPr>
          <w:sz w:val="24"/>
          <w:szCs w:val="24"/>
        </w:rPr>
        <w:t>{{</w:t>
      </w:r>
      <w:r w:rsidRPr="00610A03">
        <w:rPr>
          <w:sz w:val="24"/>
          <w:szCs w:val="24"/>
        </w:rPr>
        <w:t>Pradère 1989</w:t>
      </w:r>
      <w:r w:rsidR="00B80A8A">
        <w:rPr>
          <w:sz w:val="24"/>
          <w:szCs w:val="24"/>
        </w:rPr>
        <w:t>a</w:t>
      </w:r>
      <w:r>
        <w:rPr>
          <w:sz w:val="24"/>
          <w:szCs w:val="24"/>
        </w:rPr>
        <w:t>}}</w:t>
      </w:r>
      <w:r w:rsidRPr="00610A03">
        <w:rPr>
          <w:sz w:val="24"/>
          <w:szCs w:val="24"/>
        </w:rPr>
        <w:t>, 183</w:t>
      </w:r>
      <w:r>
        <w:rPr>
          <w:sz w:val="24"/>
          <w:szCs w:val="24"/>
        </w:rPr>
        <w:t>–</w:t>
      </w:r>
      <w:r w:rsidRPr="00610A03">
        <w:rPr>
          <w:sz w:val="24"/>
          <w:szCs w:val="24"/>
        </w:rPr>
        <w:t xml:space="preserve">99; </w:t>
      </w:r>
      <w:r>
        <w:rPr>
          <w:sz w:val="24"/>
          <w:szCs w:val="24"/>
        </w:rPr>
        <w:t>{{</w:t>
      </w:r>
      <w:r w:rsidRPr="00610A03">
        <w:rPr>
          <w:sz w:val="24"/>
          <w:szCs w:val="24"/>
        </w:rPr>
        <w:t>Baroli 1957</w:t>
      </w:r>
      <w:r>
        <w:rPr>
          <w:sz w:val="24"/>
          <w:szCs w:val="24"/>
        </w:rPr>
        <w:t>}}</w:t>
      </w:r>
      <w:r w:rsidRPr="00610A03">
        <w:rPr>
          <w:sz w:val="24"/>
          <w:szCs w:val="24"/>
        </w:rPr>
        <w:t>, 56</w:t>
      </w:r>
      <w:r>
        <w:rPr>
          <w:sz w:val="24"/>
          <w:szCs w:val="24"/>
        </w:rPr>
        <w:t>–</w:t>
      </w:r>
      <w:r w:rsidRPr="00610A03">
        <w:rPr>
          <w:sz w:val="24"/>
          <w:szCs w:val="24"/>
        </w:rPr>
        <w:t xml:space="preserve">63. See also </w:t>
      </w:r>
      <w:r>
        <w:rPr>
          <w:sz w:val="24"/>
          <w:szCs w:val="24"/>
        </w:rPr>
        <w:t>{{</w:t>
      </w:r>
      <w:r w:rsidRPr="00610A03">
        <w:rPr>
          <w:sz w:val="24"/>
          <w:szCs w:val="24"/>
        </w:rPr>
        <w:t>Alcouffe 1974</w:t>
      </w:r>
      <w:r>
        <w:rPr>
          <w:sz w:val="24"/>
          <w:szCs w:val="24"/>
        </w:rPr>
        <w:t>}}</w:t>
      </w:r>
      <w:r w:rsidRPr="00610A03">
        <w:rPr>
          <w:sz w:val="24"/>
          <w:szCs w:val="24"/>
        </w:rPr>
        <w:t>, 323</w:t>
      </w:r>
      <w:r>
        <w:rPr>
          <w:sz w:val="24"/>
          <w:szCs w:val="24"/>
        </w:rPr>
        <w:t>–</w:t>
      </w:r>
      <w:r w:rsidRPr="00610A03">
        <w:rPr>
          <w:sz w:val="24"/>
          <w:szCs w:val="24"/>
        </w:rPr>
        <w:t>24.</w:t>
      </w:r>
    </w:p>
  </w:endnote>
  <w:endnote w:id="2">
    <w:p w14:paraId="6BB45907" w14:textId="763039D2" w:rsidR="00DB138E" w:rsidRPr="00610A03" w:rsidRDefault="00DB138E" w:rsidP="00B30244">
      <w:pPr>
        <w:pStyle w:val="EndnoteText"/>
        <w:spacing w:line="480" w:lineRule="auto"/>
        <w:rPr>
          <w:sz w:val="24"/>
          <w:szCs w:val="24"/>
        </w:rPr>
      </w:pPr>
      <w:r w:rsidRPr="00610A03">
        <w:rPr>
          <w:rStyle w:val="EndnoteReference"/>
        </w:rPr>
        <w:endnoteRef/>
      </w:r>
      <w:r w:rsidRPr="00610A03">
        <w:t xml:space="preserve"> </w:t>
      </w:r>
      <w:r w:rsidR="00C01804" w:rsidRPr="00E86A8F">
        <w:rPr>
          <w:sz w:val="24"/>
          <w:szCs w:val="24"/>
        </w:rPr>
        <w:t>85 x 114 x 56 cm</w:t>
      </w:r>
      <w:r w:rsidR="00C01804">
        <w:rPr>
          <w:sz w:val="24"/>
          <w:szCs w:val="24"/>
        </w:rPr>
        <w:t>;</w:t>
      </w:r>
      <w:r>
        <w:rPr>
          <w:sz w:val="24"/>
          <w:szCs w:val="24"/>
        </w:rPr>
        <w:t>{{</w:t>
      </w:r>
      <w:r w:rsidRPr="00610A03">
        <w:rPr>
          <w:i/>
          <w:sz w:val="24"/>
          <w:szCs w:val="24"/>
        </w:rPr>
        <w:t xml:space="preserve">Musée des beaux-arts et collection Mancel, Caen </w:t>
      </w:r>
      <w:r w:rsidRPr="00610A03">
        <w:rPr>
          <w:sz w:val="24"/>
          <w:szCs w:val="24"/>
        </w:rPr>
        <w:t>1984</w:t>
      </w:r>
      <w:r>
        <w:rPr>
          <w:sz w:val="24"/>
          <w:szCs w:val="24"/>
        </w:rPr>
        <w:t>}}</w:t>
      </w:r>
      <w:r w:rsidRPr="00610A03">
        <w:rPr>
          <w:sz w:val="24"/>
          <w:szCs w:val="24"/>
        </w:rPr>
        <w:t xml:space="preserve">, 57; </w:t>
      </w:r>
      <w:r>
        <w:rPr>
          <w:sz w:val="24"/>
          <w:szCs w:val="24"/>
        </w:rPr>
        <w:t>{{</w:t>
      </w:r>
      <w:r w:rsidRPr="00610A03">
        <w:rPr>
          <w:sz w:val="24"/>
          <w:szCs w:val="24"/>
        </w:rPr>
        <w:t>Tapié 1994</w:t>
      </w:r>
      <w:r>
        <w:rPr>
          <w:sz w:val="24"/>
          <w:szCs w:val="24"/>
        </w:rPr>
        <w:t>}}</w:t>
      </w:r>
      <w:r w:rsidRPr="00610A03">
        <w:rPr>
          <w:sz w:val="24"/>
          <w:szCs w:val="24"/>
        </w:rPr>
        <w:t xml:space="preserve">, 124. </w:t>
      </w:r>
    </w:p>
  </w:endnote>
  <w:endnote w:id="3">
    <w:p w14:paraId="00C8578F" w14:textId="786D6716" w:rsidR="00DB138E" w:rsidRPr="00610A03" w:rsidRDefault="00DB138E" w:rsidP="00B30244">
      <w:pPr>
        <w:pStyle w:val="EndnoteText"/>
        <w:spacing w:line="480" w:lineRule="auto"/>
      </w:pPr>
      <w:r w:rsidRPr="00610A03">
        <w:rPr>
          <w:rStyle w:val="FootnoteCharacters"/>
        </w:rPr>
        <w:endnoteRef/>
      </w:r>
      <w:r w:rsidRPr="00610A03">
        <w:t xml:space="preserve"> </w:t>
      </w:r>
      <w:r w:rsidR="00C01804">
        <w:rPr>
          <w:sz w:val="24"/>
          <w:szCs w:val="24"/>
        </w:rPr>
        <w:t xml:space="preserve">83.3 x 115.2 x 53.3 cm; </w:t>
      </w:r>
      <w:r w:rsidRPr="00610A03">
        <w:rPr>
          <w:sz w:val="24"/>
          <w:szCs w:val="24"/>
        </w:rPr>
        <w:t>Jones Collection, acc. no. 1094</w:t>
      </w:r>
      <w:r>
        <w:rPr>
          <w:sz w:val="24"/>
          <w:szCs w:val="24"/>
        </w:rPr>
        <w:t>–</w:t>
      </w:r>
      <w:r w:rsidRPr="00610A03">
        <w:rPr>
          <w:sz w:val="24"/>
          <w:szCs w:val="24"/>
        </w:rPr>
        <w:t xml:space="preserve">1882. </w:t>
      </w:r>
      <w:r>
        <w:rPr>
          <w:sz w:val="24"/>
          <w:szCs w:val="24"/>
        </w:rPr>
        <w:t>{{</w:t>
      </w:r>
      <w:r w:rsidRPr="00610A03">
        <w:rPr>
          <w:sz w:val="24"/>
          <w:szCs w:val="24"/>
        </w:rPr>
        <w:t>Wilk 1996</w:t>
      </w:r>
      <w:r>
        <w:rPr>
          <w:sz w:val="24"/>
          <w:szCs w:val="24"/>
        </w:rPr>
        <w:t>}}</w:t>
      </w:r>
      <w:r w:rsidRPr="00610A03">
        <w:rPr>
          <w:sz w:val="24"/>
          <w:szCs w:val="24"/>
        </w:rPr>
        <w:t>, 102</w:t>
      </w:r>
      <w:r>
        <w:rPr>
          <w:sz w:val="24"/>
          <w:szCs w:val="24"/>
        </w:rPr>
        <w:t>–</w:t>
      </w:r>
      <w:r w:rsidRPr="00610A03">
        <w:rPr>
          <w:sz w:val="24"/>
          <w:szCs w:val="24"/>
        </w:rPr>
        <w:t>3.</w:t>
      </w:r>
    </w:p>
  </w:endnote>
  <w:endnote w:id="4">
    <w:p w14:paraId="20D3BFB9" w14:textId="0D52EBE5" w:rsidR="00DB138E" w:rsidRPr="00610A03" w:rsidRDefault="00DB138E" w:rsidP="00E040FD">
      <w:pPr>
        <w:spacing w:after="0" w:line="480" w:lineRule="auto"/>
        <w:rPr>
          <w:sz w:val="24"/>
          <w:szCs w:val="24"/>
        </w:rPr>
      </w:pPr>
      <w:r w:rsidRPr="00610A03">
        <w:rPr>
          <w:rStyle w:val="EndnoteReference"/>
        </w:rPr>
        <w:endnoteRef/>
      </w:r>
      <w:r w:rsidRPr="00610A03">
        <w:t xml:space="preserve"> </w:t>
      </w:r>
      <w:r w:rsidR="00C01804">
        <w:rPr>
          <w:sz w:val="24"/>
          <w:szCs w:val="24"/>
        </w:rPr>
        <w:t>H: 2 ft. 8 in., W: 3 ft. 9 in., D: 1 ft. 8 7/8 in. (81.5 x.114.5 x 53 cm</w:t>
      </w:r>
      <w:r w:rsidR="00573B9B">
        <w:rPr>
          <w:sz w:val="24"/>
          <w:szCs w:val="24"/>
        </w:rPr>
        <w:t>)</w:t>
      </w:r>
      <w:r w:rsidR="00C01804">
        <w:rPr>
          <w:sz w:val="24"/>
          <w:szCs w:val="24"/>
        </w:rPr>
        <w:t>; s</w:t>
      </w:r>
      <w:r w:rsidRPr="00610A03">
        <w:rPr>
          <w:sz w:val="24"/>
          <w:szCs w:val="24"/>
        </w:rPr>
        <w:t xml:space="preserve">old, </w:t>
      </w:r>
      <w:r w:rsidR="00E040FD" w:rsidRPr="00476E50">
        <w:rPr>
          <w:sz w:val="24"/>
          <w:szCs w:val="24"/>
        </w:rPr>
        <w:t>Christie’s</w:t>
      </w:r>
      <w:r w:rsidR="00E040FD">
        <w:rPr>
          <w:sz w:val="24"/>
          <w:szCs w:val="24"/>
        </w:rPr>
        <w:t>,</w:t>
      </w:r>
      <w:r w:rsidR="00E040FD" w:rsidRPr="00476E50">
        <w:rPr>
          <w:sz w:val="24"/>
          <w:szCs w:val="24"/>
        </w:rPr>
        <w:t xml:space="preserve"> </w:t>
      </w:r>
      <w:r w:rsidR="00E040FD" w:rsidRPr="00476E50">
        <w:rPr>
          <w:i/>
          <w:sz w:val="24"/>
          <w:szCs w:val="24"/>
        </w:rPr>
        <w:t>Important Mobilier, Orfèvrerie et Objets d’art dont une collection provenant d’une villa du Cap Ferrat, June 16, 2001</w:t>
      </w:r>
      <w:r w:rsidR="00E040FD" w:rsidRPr="00476E50">
        <w:rPr>
          <w:sz w:val="24"/>
          <w:szCs w:val="24"/>
        </w:rPr>
        <w:t xml:space="preserve"> </w:t>
      </w:r>
      <w:r w:rsidR="00E040FD">
        <w:rPr>
          <w:sz w:val="24"/>
          <w:szCs w:val="24"/>
        </w:rPr>
        <w:t>(</w:t>
      </w:r>
      <w:r w:rsidR="00E040FD" w:rsidRPr="00476E50">
        <w:rPr>
          <w:sz w:val="24"/>
          <w:szCs w:val="24"/>
        </w:rPr>
        <w:t>Monaco: Christie’s, 2001</w:t>
      </w:r>
      <w:r w:rsidR="00E040FD">
        <w:rPr>
          <w:sz w:val="24"/>
          <w:szCs w:val="24"/>
        </w:rPr>
        <w:t>),</w:t>
      </w:r>
      <w:r w:rsidRPr="00610A03">
        <w:rPr>
          <w:sz w:val="24"/>
          <w:szCs w:val="24"/>
        </w:rPr>
        <w:t xml:space="preserve"> lot 714. </w:t>
      </w:r>
    </w:p>
  </w:endnote>
  <w:endnote w:id="5">
    <w:p w14:paraId="766EED94" w14:textId="6A3ACBD7" w:rsidR="00DB138E" w:rsidRPr="00610A03" w:rsidRDefault="00DB138E" w:rsidP="00E040FD">
      <w:pPr>
        <w:spacing w:after="0" w:line="480" w:lineRule="auto"/>
        <w:rPr>
          <w:sz w:val="24"/>
          <w:szCs w:val="24"/>
        </w:rPr>
      </w:pPr>
      <w:r w:rsidRPr="00610A03">
        <w:rPr>
          <w:rStyle w:val="EndnoteReference"/>
        </w:rPr>
        <w:endnoteRef/>
      </w:r>
      <w:r w:rsidRPr="00610A03">
        <w:t xml:space="preserve"> </w:t>
      </w:r>
      <w:r w:rsidR="00C01804">
        <w:rPr>
          <w:sz w:val="24"/>
          <w:szCs w:val="24"/>
        </w:rPr>
        <w:t>H: 2 ft. 9 in., W: 3 ft. 8 1/2 in., D: 1 ft. 9 in. (84 x 113 x 53 cm</w:t>
      </w:r>
      <w:r w:rsidR="00573B9B">
        <w:rPr>
          <w:sz w:val="24"/>
          <w:szCs w:val="24"/>
        </w:rPr>
        <w:t>)</w:t>
      </w:r>
      <w:r w:rsidR="00C01804">
        <w:rPr>
          <w:sz w:val="24"/>
          <w:szCs w:val="24"/>
        </w:rPr>
        <w:t xml:space="preserve">; </w:t>
      </w:r>
      <w:r w:rsidR="00E040FD" w:rsidRPr="00476E50">
        <w:rPr>
          <w:sz w:val="24"/>
          <w:szCs w:val="24"/>
        </w:rPr>
        <w:t>Partridge Fine Arts Ltd.</w:t>
      </w:r>
      <w:r w:rsidR="00E040FD">
        <w:rPr>
          <w:sz w:val="24"/>
          <w:szCs w:val="24"/>
        </w:rPr>
        <w:t>,</w:t>
      </w:r>
      <w:r w:rsidR="00E040FD" w:rsidRPr="00476E50">
        <w:rPr>
          <w:sz w:val="24"/>
          <w:szCs w:val="24"/>
        </w:rPr>
        <w:t xml:space="preserve"> </w:t>
      </w:r>
      <w:r w:rsidR="00E040FD" w:rsidRPr="00476E50">
        <w:rPr>
          <w:i/>
          <w:sz w:val="24"/>
          <w:szCs w:val="24"/>
        </w:rPr>
        <w:t>Summer Exhibition 1984, June 4</w:t>
      </w:r>
      <w:r w:rsidR="00E040FD">
        <w:rPr>
          <w:i/>
          <w:sz w:val="24"/>
          <w:szCs w:val="24"/>
        </w:rPr>
        <w:t>–</w:t>
      </w:r>
      <w:r w:rsidR="00E040FD" w:rsidRPr="00476E50">
        <w:rPr>
          <w:i/>
          <w:sz w:val="24"/>
          <w:szCs w:val="24"/>
        </w:rPr>
        <w:t>July 28, 1984</w:t>
      </w:r>
      <w:r w:rsidR="00E040FD" w:rsidRPr="00476E50">
        <w:rPr>
          <w:sz w:val="24"/>
          <w:szCs w:val="24"/>
        </w:rPr>
        <w:t xml:space="preserve"> </w:t>
      </w:r>
      <w:r w:rsidR="00E040FD">
        <w:rPr>
          <w:sz w:val="24"/>
          <w:szCs w:val="24"/>
        </w:rPr>
        <w:t>(</w:t>
      </w:r>
      <w:r w:rsidR="00E040FD" w:rsidRPr="00476E50">
        <w:rPr>
          <w:sz w:val="24"/>
          <w:szCs w:val="24"/>
        </w:rPr>
        <w:t>London: Partridge Fine Arts Ltd., 1984</w:t>
      </w:r>
      <w:r w:rsidR="00E040FD">
        <w:rPr>
          <w:sz w:val="24"/>
          <w:szCs w:val="24"/>
        </w:rPr>
        <w:t>),</w:t>
      </w:r>
      <w:r w:rsidRPr="00610A03">
        <w:rPr>
          <w:sz w:val="24"/>
          <w:szCs w:val="24"/>
        </w:rPr>
        <w:t xml:space="preserve"> no. 23. </w:t>
      </w:r>
    </w:p>
  </w:endnote>
  <w:endnote w:id="6">
    <w:p w14:paraId="189D3626" w14:textId="6ABC99FC" w:rsidR="00DB138E" w:rsidRPr="00610A03" w:rsidRDefault="00DB138E" w:rsidP="00B30244">
      <w:pPr>
        <w:pStyle w:val="EndnoteText"/>
        <w:spacing w:line="480" w:lineRule="auto"/>
        <w:rPr>
          <w:sz w:val="24"/>
          <w:szCs w:val="24"/>
        </w:rPr>
      </w:pPr>
      <w:r w:rsidRPr="00610A03">
        <w:rPr>
          <w:rStyle w:val="EndnoteReference"/>
        </w:rPr>
        <w:endnoteRef/>
      </w:r>
      <w:r w:rsidRPr="00610A03">
        <w:rPr>
          <w:sz w:val="24"/>
          <w:szCs w:val="24"/>
        </w:rPr>
        <w:t xml:space="preserve"> </w:t>
      </w:r>
      <w:r w:rsidR="00C01804">
        <w:rPr>
          <w:sz w:val="24"/>
          <w:szCs w:val="24"/>
        </w:rPr>
        <w:t xml:space="preserve">82.5 x 125.5 x 54 cm; </w:t>
      </w:r>
      <w:r w:rsidR="00E040FD" w:rsidRPr="00476E50">
        <w:rPr>
          <w:sz w:val="24"/>
          <w:szCs w:val="24"/>
        </w:rPr>
        <w:t>Artcurial</w:t>
      </w:r>
      <w:r w:rsidR="00E040FD">
        <w:rPr>
          <w:sz w:val="24"/>
          <w:szCs w:val="24"/>
        </w:rPr>
        <w:t>,</w:t>
      </w:r>
      <w:r w:rsidR="00E040FD" w:rsidRPr="00476E50">
        <w:rPr>
          <w:sz w:val="24"/>
          <w:szCs w:val="24"/>
        </w:rPr>
        <w:t xml:space="preserve"> </w:t>
      </w:r>
      <w:r w:rsidR="00E040FD" w:rsidRPr="00476E50">
        <w:rPr>
          <w:i/>
          <w:sz w:val="24"/>
          <w:szCs w:val="24"/>
        </w:rPr>
        <w:t>Collection Jean Rossignol, tableaux anciens, objets d’art et bel ameublement du XVIIIe siècle, December 13, 2005</w:t>
      </w:r>
      <w:r w:rsidR="00E040FD" w:rsidRPr="00476E50">
        <w:rPr>
          <w:sz w:val="24"/>
          <w:szCs w:val="24"/>
        </w:rPr>
        <w:t xml:space="preserve"> </w:t>
      </w:r>
      <w:r w:rsidR="00E040FD">
        <w:rPr>
          <w:sz w:val="24"/>
          <w:szCs w:val="24"/>
        </w:rPr>
        <w:t>(</w:t>
      </w:r>
      <w:r w:rsidR="00E040FD" w:rsidRPr="00476E50">
        <w:rPr>
          <w:sz w:val="24"/>
          <w:szCs w:val="24"/>
        </w:rPr>
        <w:t>Paris: Artcurial, 2005</w:t>
      </w:r>
      <w:r w:rsidR="00E040FD">
        <w:rPr>
          <w:sz w:val="24"/>
          <w:szCs w:val="24"/>
        </w:rPr>
        <w:t>)</w:t>
      </w:r>
      <w:r w:rsidRPr="00610A03">
        <w:rPr>
          <w:sz w:val="24"/>
          <w:szCs w:val="24"/>
        </w:rPr>
        <w:t xml:space="preserve">, lot 119; </w:t>
      </w:r>
      <w:r w:rsidR="00E040FD">
        <w:rPr>
          <w:sz w:val="24"/>
          <w:szCs w:val="24"/>
        </w:rPr>
        <w:t>i</w:t>
      </w:r>
      <w:r w:rsidRPr="00610A03">
        <w:rPr>
          <w:sz w:val="24"/>
          <w:szCs w:val="24"/>
        </w:rPr>
        <w:t xml:space="preserve">nv. </w:t>
      </w:r>
      <w:r w:rsidR="00E040FD">
        <w:rPr>
          <w:sz w:val="24"/>
          <w:szCs w:val="24"/>
        </w:rPr>
        <w:t>n</w:t>
      </w:r>
      <w:r w:rsidRPr="00610A03">
        <w:rPr>
          <w:sz w:val="24"/>
          <w:szCs w:val="24"/>
        </w:rPr>
        <w:t>o. 2005.14.1</w:t>
      </w:r>
      <w:r w:rsidR="00573B9B">
        <w:rPr>
          <w:sz w:val="24"/>
          <w:szCs w:val="24"/>
        </w:rPr>
        <w:t>;</w:t>
      </w:r>
      <w:r w:rsidRPr="00610A03">
        <w:rPr>
          <w:sz w:val="24"/>
          <w:szCs w:val="24"/>
        </w:rPr>
        <w:t xml:space="preserve"> </w:t>
      </w:r>
      <w:r>
        <w:rPr>
          <w:sz w:val="24"/>
          <w:szCs w:val="24"/>
        </w:rPr>
        <w:t>{{</w:t>
      </w:r>
      <w:r w:rsidRPr="00610A03">
        <w:rPr>
          <w:i/>
          <w:sz w:val="24"/>
          <w:szCs w:val="24"/>
        </w:rPr>
        <w:t>18</w:t>
      </w:r>
      <w:r w:rsidR="00E040FD">
        <w:rPr>
          <w:i/>
          <w:sz w:val="24"/>
          <w:szCs w:val="24"/>
        </w:rPr>
        <w:t>th</w:t>
      </w:r>
      <w:r w:rsidRPr="00610A03">
        <w:rPr>
          <w:i/>
          <w:sz w:val="24"/>
          <w:szCs w:val="24"/>
        </w:rPr>
        <w:t xml:space="preserve"> Century: Birth of Design </w:t>
      </w:r>
      <w:r w:rsidRPr="00610A03">
        <w:rPr>
          <w:sz w:val="24"/>
          <w:szCs w:val="24"/>
        </w:rPr>
        <w:t>2014</w:t>
      </w:r>
      <w:r>
        <w:rPr>
          <w:sz w:val="24"/>
          <w:szCs w:val="24"/>
        </w:rPr>
        <w:t>}}</w:t>
      </w:r>
      <w:r w:rsidRPr="00610A03">
        <w:rPr>
          <w:sz w:val="24"/>
          <w:szCs w:val="24"/>
        </w:rPr>
        <w:t>, 134</w:t>
      </w:r>
      <w:r>
        <w:rPr>
          <w:sz w:val="24"/>
          <w:szCs w:val="24"/>
        </w:rPr>
        <w:t>–</w:t>
      </w:r>
      <w:r w:rsidRPr="00610A03">
        <w:rPr>
          <w:sz w:val="24"/>
          <w:szCs w:val="24"/>
        </w:rPr>
        <w:t>35, no. 32.</w:t>
      </w:r>
    </w:p>
  </w:endnote>
  <w:endnote w:id="7">
    <w:p w14:paraId="623316E9" w14:textId="38FC6BEC" w:rsidR="00DB138E" w:rsidRPr="00610A03" w:rsidRDefault="00DB138E" w:rsidP="00B30244">
      <w:pPr>
        <w:pStyle w:val="EndnoteText"/>
        <w:spacing w:line="480" w:lineRule="auto"/>
      </w:pPr>
      <w:r w:rsidRPr="00610A03">
        <w:rPr>
          <w:rStyle w:val="FootnoteCharacters"/>
        </w:rPr>
        <w:endnoteRef/>
      </w:r>
      <w:r w:rsidRPr="00610A03">
        <w:rPr>
          <w:sz w:val="24"/>
          <w:szCs w:val="24"/>
        </w:rPr>
        <w:t xml:space="preserve"> </w:t>
      </w:r>
      <w:r w:rsidR="00C01804">
        <w:rPr>
          <w:sz w:val="24"/>
          <w:szCs w:val="24"/>
        </w:rPr>
        <w:t xml:space="preserve">82.5 x 119 x 50.5 cm; </w:t>
      </w:r>
      <w:r w:rsidR="00FA60B0" w:rsidRPr="00476E50">
        <w:rPr>
          <w:sz w:val="24"/>
          <w:szCs w:val="24"/>
        </w:rPr>
        <w:t>Palais Galliéra</w:t>
      </w:r>
      <w:r w:rsidR="00FA60B0">
        <w:rPr>
          <w:sz w:val="24"/>
          <w:szCs w:val="24"/>
        </w:rPr>
        <w:t>,</w:t>
      </w:r>
      <w:r w:rsidR="00FA60B0" w:rsidRPr="00476E50">
        <w:rPr>
          <w:sz w:val="24"/>
          <w:szCs w:val="24"/>
        </w:rPr>
        <w:t xml:space="preserve"> </w:t>
      </w:r>
      <w:r w:rsidR="00FA60B0" w:rsidRPr="00476E50">
        <w:rPr>
          <w:i/>
          <w:sz w:val="24"/>
          <w:szCs w:val="24"/>
        </w:rPr>
        <w:t>Tableaux anciens, objets d’art et de bel ameublement du XVIIIe siècle, June 18 and 19, 1964</w:t>
      </w:r>
      <w:r w:rsidR="00FA60B0">
        <w:rPr>
          <w:i/>
          <w:sz w:val="24"/>
          <w:szCs w:val="24"/>
        </w:rPr>
        <w:t xml:space="preserve"> </w:t>
      </w:r>
      <w:r w:rsidR="00FA60B0">
        <w:rPr>
          <w:iCs/>
          <w:sz w:val="24"/>
          <w:szCs w:val="24"/>
        </w:rPr>
        <w:t>(</w:t>
      </w:r>
      <w:r w:rsidR="00FA60B0" w:rsidRPr="00476E50">
        <w:rPr>
          <w:sz w:val="24"/>
          <w:szCs w:val="24"/>
        </w:rPr>
        <w:t>Paris: Palais Galliéra, 1964</w:t>
      </w:r>
      <w:r w:rsidR="00FA60B0">
        <w:rPr>
          <w:sz w:val="24"/>
          <w:szCs w:val="24"/>
        </w:rPr>
        <w:t>)</w:t>
      </w:r>
      <w:r w:rsidRPr="00610A03">
        <w:rPr>
          <w:sz w:val="24"/>
          <w:szCs w:val="24"/>
        </w:rPr>
        <w:t>, lot 184</w:t>
      </w:r>
      <w:r>
        <w:rPr>
          <w:sz w:val="24"/>
          <w:szCs w:val="24"/>
        </w:rPr>
        <w:t>.</w:t>
      </w:r>
      <w:r w:rsidRPr="00610A03">
        <w:rPr>
          <w:sz w:val="24"/>
          <w:szCs w:val="24"/>
        </w:rPr>
        <w:t xml:space="preserve"> See also </w:t>
      </w:r>
      <w:r>
        <w:rPr>
          <w:sz w:val="24"/>
          <w:szCs w:val="24"/>
        </w:rPr>
        <w:t>{{</w:t>
      </w:r>
      <w:r w:rsidRPr="00610A03">
        <w:rPr>
          <w:sz w:val="24"/>
          <w:szCs w:val="24"/>
        </w:rPr>
        <w:t>Pradère 1989</w:t>
      </w:r>
      <w:r w:rsidR="00B80A8A">
        <w:rPr>
          <w:sz w:val="24"/>
          <w:szCs w:val="24"/>
        </w:rPr>
        <w:t>a</w:t>
      </w:r>
      <w:r>
        <w:rPr>
          <w:sz w:val="24"/>
          <w:szCs w:val="24"/>
        </w:rPr>
        <w:t>}}</w:t>
      </w:r>
      <w:r w:rsidRPr="00610A03">
        <w:rPr>
          <w:sz w:val="24"/>
          <w:szCs w:val="24"/>
        </w:rPr>
        <w:t>, 180, fig. 164.</w:t>
      </w:r>
    </w:p>
  </w:endnote>
  <w:endnote w:id="8">
    <w:p w14:paraId="5D02D0F1" w14:textId="315410F7" w:rsidR="00DB138E" w:rsidRPr="00610A03" w:rsidRDefault="00DB138E" w:rsidP="00FA60B0">
      <w:pPr>
        <w:spacing w:after="0" w:line="480" w:lineRule="auto"/>
      </w:pPr>
      <w:r w:rsidRPr="00610A03">
        <w:rPr>
          <w:rStyle w:val="FootnoteCharacters"/>
        </w:rPr>
        <w:endnoteRef/>
      </w:r>
      <w:r w:rsidRPr="00610A03">
        <w:t xml:space="preserve"> </w:t>
      </w:r>
      <w:r w:rsidR="00C01804">
        <w:rPr>
          <w:sz w:val="24"/>
          <w:szCs w:val="24"/>
        </w:rPr>
        <w:t xml:space="preserve">H: 2 ft. 10 </w:t>
      </w:r>
      <w:r w:rsidR="00EB6C66">
        <w:rPr>
          <w:sz w:val="24"/>
          <w:szCs w:val="24"/>
        </w:rPr>
        <w:t>1/4</w:t>
      </w:r>
      <w:r w:rsidR="00C01804">
        <w:rPr>
          <w:sz w:val="24"/>
          <w:szCs w:val="24"/>
        </w:rPr>
        <w:t xml:space="preserve"> in., W: 3 ft. 8 </w:t>
      </w:r>
      <w:r w:rsidR="00EB6C66">
        <w:rPr>
          <w:sz w:val="24"/>
          <w:szCs w:val="24"/>
        </w:rPr>
        <w:t>1/2</w:t>
      </w:r>
      <w:r w:rsidR="00C01804">
        <w:rPr>
          <w:sz w:val="24"/>
          <w:szCs w:val="24"/>
        </w:rPr>
        <w:t xml:space="preserve"> in., D: 1 ft. 9 </w:t>
      </w:r>
      <w:r w:rsidR="00EB6C66">
        <w:rPr>
          <w:sz w:val="24"/>
          <w:szCs w:val="24"/>
        </w:rPr>
        <w:t>1/4</w:t>
      </w:r>
      <w:r w:rsidR="00C01804">
        <w:rPr>
          <w:sz w:val="24"/>
          <w:szCs w:val="24"/>
        </w:rPr>
        <w:t xml:space="preserve"> in. (</w:t>
      </w:r>
      <w:r w:rsidR="00C01804" w:rsidRPr="00227758">
        <w:rPr>
          <w:sz w:val="24"/>
          <w:szCs w:val="24"/>
        </w:rPr>
        <w:t>87 x 112</w:t>
      </w:r>
      <w:r w:rsidR="00C01804">
        <w:rPr>
          <w:sz w:val="24"/>
          <w:szCs w:val="24"/>
        </w:rPr>
        <w:t xml:space="preserve">.5 x 54 cm); </w:t>
      </w:r>
      <w:r w:rsidR="00FA60B0" w:rsidRPr="00476E50">
        <w:rPr>
          <w:sz w:val="24"/>
          <w:szCs w:val="24"/>
        </w:rPr>
        <w:t>Christie’s</w:t>
      </w:r>
      <w:r w:rsidR="00FA60B0">
        <w:rPr>
          <w:sz w:val="24"/>
          <w:szCs w:val="24"/>
        </w:rPr>
        <w:t>,</w:t>
      </w:r>
      <w:r w:rsidR="00FA60B0" w:rsidRPr="00476E50">
        <w:rPr>
          <w:sz w:val="24"/>
          <w:szCs w:val="24"/>
        </w:rPr>
        <w:t xml:space="preserve"> </w:t>
      </w:r>
      <w:r w:rsidR="00FA60B0" w:rsidRPr="00476E50">
        <w:rPr>
          <w:i/>
          <w:sz w:val="24"/>
          <w:szCs w:val="24"/>
        </w:rPr>
        <w:t>Important French Furniture from a Private Collection, May 21, 1996</w:t>
      </w:r>
      <w:r w:rsidR="00FA60B0" w:rsidRPr="00476E50">
        <w:rPr>
          <w:sz w:val="24"/>
          <w:szCs w:val="24"/>
        </w:rPr>
        <w:t xml:space="preserve"> </w:t>
      </w:r>
      <w:r w:rsidR="00FA60B0">
        <w:rPr>
          <w:sz w:val="24"/>
          <w:szCs w:val="24"/>
        </w:rPr>
        <w:t>(</w:t>
      </w:r>
      <w:r w:rsidR="00FA60B0" w:rsidRPr="00476E50">
        <w:rPr>
          <w:sz w:val="24"/>
          <w:szCs w:val="24"/>
        </w:rPr>
        <w:t>New York: Christie’s, 1996</w:t>
      </w:r>
      <w:r w:rsidR="00FA60B0">
        <w:rPr>
          <w:sz w:val="24"/>
          <w:szCs w:val="24"/>
        </w:rPr>
        <w:t>)</w:t>
      </w:r>
      <w:r w:rsidRPr="00610A03">
        <w:rPr>
          <w:sz w:val="24"/>
          <w:szCs w:val="24"/>
        </w:rPr>
        <w:t xml:space="preserve">, lot 323; </w:t>
      </w:r>
      <w:r w:rsidR="008D3CAB" w:rsidRPr="00476E50">
        <w:rPr>
          <w:sz w:val="24"/>
          <w:szCs w:val="24"/>
        </w:rPr>
        <w:t>Christie</w:t>
      </w:r>
      <w:r w:rsidR="008D3CAB">
        <w:rPr>
          <w:sz w:val="24"/>
          <w:szCs w:val="24"/>
        </w:rPr>
        <w:t>’</w:t>
      </w:r>
      <w:r w:rsidR="008D3CAB" w:rsidRPr="00476E50">
        <w:rPr>
          <w:sz w:val="24"/>
          <w:szCs w:val="24"/>
        </w:rPr>
        <w:t>s</w:t>
      </w:r>
      <w:r w:rsidR="008D3CAB">
        <w:rPr>
          <w:sz w:val="24"/>
          <w:szCs w:val="24"/>
        </w:rPr>
        <w:t>,</w:t>
      </w:r>
      <w:r w:rsidR="008D3CAB" w:rsidRPr="00476E50">
        <w:rPr>
          <w:i/>
          <w:sz w:val="24"/>
          <w:szCs w:val="24"/>
        </w:rPr>
        <w:t xml:space="preserve"> Important French Furniture, Objects of Art and Sculpture, October 26, 1994</w:t>
      </w:r>
      <w:r w:rsidR="008D3CAB" w:rsidRPr="00476E50">
        <w:rPr>
          <w:sz w:val="24"/>
          <w:szCs w:val="24"/>
        </w:rPr>
        <w:t xml:space="preserve"> </w:t>
      </w:r>
      <w:r w:rsidR="008D3CAB">
        <w:rPr>
          <w:sz w:val="24"/>
          <w:szCs w:val="24"/>
        </w:rPr>
        <w:t>(</w:t>
      </w:r>
      <w:r w:rsidR="008D3CAB" w:rsidRPr="00476E50">
        <w:rPr>
          <w:sz w:val="24"/>
          <w:szCs w:val="24"/>
        </w:rPr>
        <w:t>New York: Christie</w:t>
      </w:r>
      <w:r w:rsidR="008D3CAB">
        <w:rPr>
          <w:sz w:val="24"/>
          <w:szCs w:val="24"/>
        </w:rPr>
        <w:t>’</w:t>
      </w:r>
      <w:r w:rsidR="008D3CAB" w:rsidRPr="00476E50">
        <w:rPr>
          <w:sz w:val="24"/>
          <w:szCs w:val="24"/>
        </w:rPr>
        <w:t>s, 1994</w:t>
      </w:r>
      <w:r w:rsidR="008D3CAB">
        <w:rPr>
          <w:sz w:val="24"/>
          <w:szCs w:val="24"/>
        </w:rPr>
        <w:t>)</w:t>
      </w:r>
      <w:r w:rsidRPr="00610A03">
        <w:rPr>
          <w:sz w:val="24"/>
          <w:szCs w:val="24"/>
        </w:rPr>
        <w:t xml:space="preserve">, lot 87; </w:t>
      </w:r>
      <w:r w:rsidR="008D3CAB" w:rsidRPr="00476E50">
        <w:rPr>
          <w:sz w:val="24"/>
          <w:szCs w:val="24"/>
        </w:rPr>
        <w:t>Sotheby’s</w:t>
      </w:r>
      <w:r w:rsidR="008D3CAB">
        <w:rPr>
          <w:sz w:val="24"/>
          <w:szCs w:val="24"/>
        </w:rPr>
        <w:t>,</w:t>
      </w:r>
      <w:r w:rsidR="008D3CAB" w:rsidRPr="00476E50">
        <w:rPr>
          <w:sz w:val="24"/>
          <w:szCs w:val="24"/>
        </w:rPr>
        <w:t xml:space="preserve"> </w:t>
      </w:r>
      <w:r w:rsidR="008D3CAB" w:rsidRPr="00476E50">
        <w:rPr>
          <w:i/>
          <w:sz w:val="24"/>
          <w:szCs w:val="24"/>
        </w:rPr>
        <w:t>Important French Furniture, Decorations and Clocks, November 6, 1982</w:t>
      </w:r>
      <w:r w:rsidR="008D3CAB" w:rsidRPr="00476E50">
        <w:rPr>
          <w:sz w:val="24"/>
          <w:szCs w:val="24"/>
        </w:rPr>
        <w:t xml:space="preserve"> </w:t>
      </w:r>
      <w:r w:rsidR="008D3CAB">
        <w:rPr>
          <w:sz w:val="24"/>
          <w:szCs w:val="24"/>
        </w:rPr>
        <w:t>(</w:t>
      </w:r>
      <w:r w:rsidR="008D3CAB" w:rsidRPr="00476E50">
        <w:rPr>
          <w:sz w:val="24"/>
          <w:szCs w:val="24"/>
        </w:rPr>
        <w:t>New York: Sotheby’s, 1982</w:t>
      </w:r>
      <w:r w:rsidR="008D3CAB">
        <w:rPr>
          <w:sz w:val="24"/>
          <w:szCs w:val="24"/>
        </w:rPr>
        <w:t>),</w:t>
      </w:r>
      <w:r w:rsidRPr="00610A03">
        <w:rPr>
          <w:sz w:val="24"/>
          <w:szCs w:val="24"/>
        </w:rPr>
        <w:t xml:space="preserve"> lot 186</w:t>
      </w:r>
      <w:r>
        <w:rPr>
          <w:sz w:val="24"/>
          <w:szCs w:val="24"/>
        </w:rPr>
        <w:t>.</w:t>
      </w:r>
      <w:r w:rsidRPr="00610A03">
        <w:rPr>
          <w:sz w:val="24"/>
          <w:szCs w:val="24"/>
        </w:rPr>
        <w:t xml:space="preserve"> See also </w:t>
      </w:r>
      <w:r>
        <w:rPr>
          <w:sz w:val="24"/>
          <w:szCs w:val="24"/>
        </w:rPr>
        <w:t>{{</w:t>
      </w:r>
      <w:r w:rsidRPr="00610A03">
        <w:rPr>
          <w:sz w:val="24"/>
          <w:szCs w:val="24"/>
        </w:rPr>
        <w:t>Pradère 1989</w:t>
      </w:r>
      <w:r w:rsidR="00B80A8A">
        <w:rPr>
          <w:sz w:val="24"/>
          <w:szCs w:val="24"/>
        </w:rPr>
        <w:t>a</w:t>
      </w:r>
      <w:r>
        <w:rPr>
          <w:sz w:val="24"/>
          <w:szCs w:val="24"/>
        </w:rPr>
        <w:t>}}</w:t>
      </w:r>
      <w:r w:rsidRPr="00610A03">
        <w:rPr>
          <w:sz w:val="24"/>
          <w:szCs w:val="24"/>
        </w:rPr>
        <w:t>, 190, fig. 176.</w:t>
      </w:r>
    </w:p>
  </w:endnote>
  <w:endnote w:id="9">
    <w:p w14:paraId="5016A7C2" w14:textId="40B0705A" w:rsidR="00DB138E" w:rsidRPr="00610A03" w:rsidRDefault="00DB138E" w:rsidP="00B30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610A03">
        <w:rPr>
          <w:rStyle w:val="FootnoteCharacters"/>
        </w:rPr>
        <w:endnoteRef/>
      </w:r>
      <w:r w:rsidRPr="00610A03">
        <w:t xml:space="preserve"> </w:t>
      </w:r>
      <w:r w:rsidRPr="00610A03">
        <w:rPr>
          <w:sz w:val="24"/>
          <w:szCs w:val="24"/>
        </w:rPr>
        <w:t>1) Musée des Beaux-Arts, Dijon</w:t>
      </w:r>
      <w:r w:rsidR="007832BB">
        <w:rPr>
          <w:sz w:val="24"/>
          <w:szCs w:val="24"/>
        </w:rPr>
        <w:t>,</w:t>
      </w:r>
      <w:r w:rsidRPr="00610A03">
        <w:rPr>
          <w:sz w:val="24"/>
          <w:szCs w:val="24"/>
        </w:rPr>
        <w:t xml:space="preserve"> from the Collection Trimolet. See </w:t>
      </w:r>
      <w:r>
        <w:rPr>
          <w:sz w:val="24"/>
          <w:szCs w:val="24"/>
        </w:rPr>
        <w:t>{{</w:t>
      </w:r>
      <w:r w:rsidRPr="00610A03">
        <w:rPr>
          <w:sz w:val="24"/>
          <w:szCs w:val="24"/>
        </w:rPr>
        <w:t>Boutemy 1957</w:t>
      </w:r>
      <w:r>
        <w:rPr>
          <w:sz w:val="24"/>
          <w:szCs w:val="24"/>
        </w:rPr>
        <w:t>}}</w:t>
      </w:r>
      <w:r w:rsidRPr="00610A03">
        <w:rPr>
          <w:sz w:val="24"/>
          <w:szCs w:val="24"/>
        </w:rPr>
        <w:t xml:space="preserve">, 169, fig. 3. The European lacquer decoration on the front of the </w:t>
      </w:r>
      <w:r w:rsidRPr="00573B9B">
        <w:rPr>
          <w:iCs/>
          <w:sz w:val="24"/>
          <w:szCs w:val="24"/>
        </w:rPr>
        <w:t>commode</w:t>
      </w:r>
      <w:r w:rsidRPr="007832BB">
        <w:rPr>
          <w:iCs/>
          <w:sz w:val="24"/>
          <w:szCs w:val="24"/>
        </w:rPr>
        <w:t xml:space="preserve"> </w:t>
      </w:r>
      <w:r w:rsidRPr="00610A03">
        <w:rPr>
          <w:sz w:val="24"/>
          <w:szCs w:val="24"/>
        </w:rPr>
        <w:t>differs in some respects from that on the Museum</w:t>
      </w:r>
      <w:r w:rsidR="007832BB">
        <w:rPr>
          <w:sz w:val="24"/>
          <w:szCs w:val="24"/>
        </w:rPr>
        <w:t>’</w:t>
      </w:r>
      <w:r w:rsidRPr="00610A03">
        <w:rPr>
          <w:sz w:val="24"/>
          <w:szCs w:val="24"/>
        </w:rPr>
        <w:t>s example. The carpet in the mid</w:t>
      </w:r>
      <w:r w:rsidR="007832BB">
        <w:rPr>
          <w:sz w:val="24"/>
          <w:szCs w:val="24"/>
        </w:rPr>
        <w:t>dle</w:t>
      </w:r>
      <w:r w:rsidRPr="00610A03">
        <w:rPr>
          <w:sz w:val="24"/>
          <w:szCs w:val="24"/>
        </w:rPr>
        <w:t xml:space="preserve"> ground is shown in true perspective, and the low screen below it extends beyond the confines of the lower gilt bronze frame to cover the area of the apron. The flying crane does not carry a ribbon-bound double scroll in its beak. </w:t>
      </w:r>
    </w:p>
    <w:p w14:paraId="102EA122" w14:textId="628C30DD" w:rsidR="00DB138E" w:rsidRPr="00610A03" w:rsidRDefault="00DB138E" w:rsidP="00B30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610A03">
        <w:rPr>
          <w:sz w:val="24"/>
          <w:szCs w:val="24"/>
        </w:rPr>
        <w:t xml:space="preserve">2 and 3) Sold, </w:t>
      </w:r>
      <w:r w:rsidR="008D3CAB" w:rsidRPr="00476E50">
        <w:rPr>
          <w:sz w:val="24"/>
          <w:szCs w:val="24"/>
        </w:rPr>
        <w:t>Sotheby’s</w:t>
      </w:r>
      <w:r w:rsidR="008D3CAB">
        <w:rPr>
          <w:sz w:val="24"/>
          <w:szCs w:val="24"/>
        </w:rPr>
        <w:t>,</w:t>
      </w:r>
      <w:r w:rsidR="008D3CAB" w:rsidRPr="00476E50">
        <w:rPr>
          <w:sz w:val="24"/>
          <w:szCs w:val="24"/>
        </w:rPr>
        <w:t xml:space="preserve"> </w:t>
      </w:r>
      <w:r w:rsidR="008D3CAB" w:rsidRPr="00476E50">
        <w:rPr>
          <w:i/>
          <w:sz w:val="24"/>
          <w:szCs w:val="24"/>
        </w:rPr>
        <w:t>Bel ameublement: Collection de M. et Mme Delplace, ancienne collection René Weiller et divers amateurs, June 15, 1996</w:t>
      </w:r>
      <w:r w:rsidR="008D3CAB" w:rsidRPr="00476E50">
        <w:rPr>
          <w:sz w:val="24"/>
          <w:szCs w:val="24"/>
        </w:rPr>
        <w:t xml:space="preserve"> </w:t>
      </w:r>
      <w:r w:rsidR="008D3CAB">
        <w:rPr>
          <w:sz w:val="24"/>
          <w:szCs w:val="24"/>
        </w:rPr>
        <w:t>(</w:t>
      </w:r>
      <w:r w:rsidR="008D3CAB" w:rsidRPr="00476E50">
        <w:rPr>
          <w:sz w:val="24"/>
          <w:szCs w:val="24"/>
        </w:rPr>
        <w:t>Monaco: Sotheby’s, 1996</w:t>
      </w:r>
      <w:r w:rsidR="008D3CAB">
        <w:rPr>
          <w:sz w:val="24"/>
          <w:szCs w:val="24"/>
        </w:rPr>
        <w:t xml:space="preserve">), </w:t>
      </w:r>
      <w:r w:rsidRPr="00610A03">
        <w:rPr>
          <w:sz w:val="24"/>
          <w:szCs w:val="24"/>
        </w:rPr>
        <w:t xml:space="preserve">lots 132 and 133, a pair, formerly in the collection of the </w:t>
      </w:r>
      <w:r w:rsidR="007832BB">
        <w:rPr>
          <w:sz w:val="24"/>
          <w:szCs w:val="24"/>
        </w:rPr>
        <w:t>d</w:t>
      </w:r>
      <w:r w:rsidRPr="00610A03">
        <w:rPr>
          <w:sz w:val="24"/>
          <w:szCs w:val="24"/>
        </w:rPr>
        <w:t>uc de la Rochefoucauld-Doudeauville. They are painted with European lacquer</w:t>
      </w:r>
      <w:r w:rsidR="007832BB">
        <w:rPr>
          <w:sz w:val="24"/>
          <w:szCs w:val="24"/>
        </w:rPr>
        <w:t>,</w:t>
      </w:r>
      <w:r w:rsidRPr="00610A03">
        <w:rPr>
          <w:sz w:val="24"/>
          <w:szCs w:val="24"/>
        </w:rPr>
        <w:t xml:space="preserve"> and in both examples the painted decoration extends beyond the lower framing mount over the surface of the apron. These </w:t>
      </w:r>
      <w:r w:rsidRPr="00573B9B">
        <w:rPr>
          <w:iCs/>
          <w:sz w:val="24"/>
          <w:szCs w:val="24"/>
        </w:rPr>
        <w:t>commodes</w:t>
      </w:r>
      <w:r w:rsidRPr="00610A03">
        <w:rPr>
          <w:sz w:val="24"/>
          <w:szCs w:val="24"/>
        </w:rPr>
        <w:t xml:space="preserve"> are now in a private New York collection. They are also illustrated in </w:t>
      </w:r>
      <w:r>
        <w:rPr>
          <w:sz w:val="24"/>
          <w:szCs w:val="24"/>
        </w:rPr>
        <w:t>{{</w:t>
      </w:r>
      <w:r w:rsidRPr="00610A03">
        <w:rPr>
          <w:sz w:val="24"/>
          <w:szCs w:val="24"/>
        </w:rPr>
        <w:t>Vacquier 1910</w:t>
      </w:r>
      <w:r>
        <w:rPr>
          <w:sz w:val="24"/>
          <w:szCs w:val="24"/>
        </w:rPr>
        <w:t>}}</w:t>
      </w:r>
      <w:r w:rsidRPr="00610A03">
        <w:rPr>
          <w:sz w:val="24"/>
          <w:szCs w:val="24"/>
        </w:rPr>
        <w:t>, pl</w:t>
      </w:r>
      <w:r w:rsidR="008D3CAB">
        <w:rPr>
          <w:sz w:val="24"/>
          <w:szCs w:val="24"/>
        </w:rPr>
        <w:t>.</w:t>
      </w:r>
      <w:r w:rsidRPr="00610A03">
        <w:rPr>
          <w:sz w:val="24"/>
          <w:szCs w:val="24"/>
        </w:rPr>
        <w:t xml:space="preserve"> 31. </w:t>
      </w:r>
    </w:p>
    <w:p w14:paraId="67E85F27" w14:textId="77777777" w:rsidR="00DB138E" w:rsidRPr="00610A03" w:rsidRDefault="00DB138E" w:rsidP="00B30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610A03">
        <w:rPr>
          <w:sz w:val="24"/>
          <w:szCs w:val="24"/>
        </w:rPr>
        <w:t>4) Another example is reputed to be in a private collection in Le Mans, France.</w:t>
      </w:r>
    </w:p>
  </w:endnote>
  <w:endnote w:id="10">
    <w:p w14:paraId="58975826" w14:textId="079E5DB2" w:rsidR="00DB138E" w:rsidRPr="00610A03" w:rsidRDefault="00DB138E" w:rsidP="00B30244">
      <w:pPr>
        <w:pStyle w:val="EndnoteText"/>
        <w:spacing w:line="480" w:lineRule="auto"/>
      </w:pPr>
      <w:r w:rsidRPr="00610A03">
        <w:rPr>
          <w:rStyle w:val="EndnoteReference"/>
        </w:rPr>
        <w:endnoteRef/>
      </w:r>
      <w:r w:rsidRPr="00610A03">
        <w:t xml:space="preserve"> </w:t>
      </w:r>
      <w:r w:rsidRPr="00610A03">
        <w:rPr>
          <w:sz w:val="24"/>
          <w:szCs w:val="24"/>
        </w:rPr>
        <w:t>Now in the collection of Louvre Abu Dhabi. H</w:t>
      </w:r>
      <w:r>
        <w:rPr>
          <w:sz w:val="24"/>
          <w:szCs w:val="24"/>
        </w:rPr>
        <w:t>:</w:t>
      </w:r>
      <w:r w:rsidRPr="00610A03">
        <w:rPr>
          <w:sz w:val="24"/>
          <w:szCs w:val="24"/>
        </w:rPr>
        <w:t xml:space="preserve"> 33 in., L</w:t>
      </w:r>
      <w:r>
        <w:rPr>
          <w:sz w:val="24"/>
          <w:szCs w:val="24"/>
        </w:rPr>
        <w:t>:</w:t>
      </w:r>
      <w:r w:rsidRPr="00610A03">
        <w:rPr>
          <w:sz w:val="24"/>
          <w:szCs w:val="24"/>
        </w:rPr>
        <w:t xml:space="preserve"> 45 </w:t>
      </w:r>
      <w:r w:rsidR="00992A9E">
        <w:rPr>
          <w:sz w:val="24"/>
          <w:szCs w:val="24"/>
        </w:rPr>
        <w:t>3/4</w:t>
      </w:r>
      <w:r w:rsidRPr="00610A03">
        <w:rPr>
          <w:sz w:val="24"/>
          <w:szCs w:val="24"/>
        </w:rPr>
        <w:t xml:space="preserve"> in., D</w:t>
      </w:r>
      <w:r>
        <w:rPr>
          <w:sz w:val="24"/>
          <w:szCs w:val="24"/>
        </w:rPr>
        <w:t>:</w:t>
      </w:r>
      <w:r w:rsidRPr="00610A03">
        <w:rPr>
          <w:sz w:val="24"/>
          <w:szCs w:val="24"/>
        </w:rPr>
        <w:t xml:space="preserve"> 21 </w:t>
      </w:r>
      <w:r w:rsidR="00992A9E">
        <w:rPr>
          <w:sz w:val="24"/>
          <w:szCs w:val="24"/>
        </w:rPr>
        <w:t>1/2</w:t>
      </w:r>
      <w:r w:rsidRPr="00610A03">
        <w:rPr>
          <w:sz w:val="24"/>
          <w:szCs w:val="24"/>
        </w:rPr>
        <w:t xml:space="preserve"> in. (84 x 116 x 54.5 cm). I thank Alexis and Nicolas Kugel for this information and the photograph of the </w:t>
      </w:r>
      <w:r w:rsidRPr="00573B9B">
        <w:rPr>
          <w:iCs/>
          <w:sz w:val="24"/>
          <w:szCs w:val="24"/>
        </w:rPr>
        <w:t>commode</w:t>
      </w:r>
      <w:r w:rsidRPr="00610A03">
        <w:rPr>
          <w:sz w:val="24"/>
          <w:szCs w:val="24"/>
        </w:rPr>
        <w:t>.</w:t>
      </w:r>
    </w:p>
  </w:endnote>
  <w:endnote w:id="11">
    <w:p w14:paraId="411D82BF" w14:textId="590B6897" w:rsidR="00DB138E" w:rsidRPr="00610A03" w:rsidRDefault="00DB138E" w:rsidP="00B30244">
      <w:pPr>
        <w:pStyle w:val="EndnoteText"/>
        <w:spacing w:line="480" w:lineRule="auto"/>
        <w:rPr>
          <w:sz w:val="24"/>
          <w:szCs w:val="24"/>
        </w:rPr>
      </w:pPr>
      <w:r w:rsidRPr="00610A03">
        <w:rPr>
          <w:rStyle w:val="EndnoteReference"/>
        </w:rPr>
        <w:endnoteRef/>
      </w:r>
      <w:r w:rsidRPr="00610A03">
        <w:t xml:space="preserve"> </w:t>
      </w:r>
      <w:r w:rsidRPr="00610A03">
        <w:rPr>
          <w:sz w:val="24"/>
          <w:szCs w:val="24"/>
        </w:rPr>
        <w:t xml:space="preserve">See </w:t>
      </w:r>
      <w:r>
        <w:rPr>
          <w:sz w:val="24"/>
          <w:szCs w:val="24"/>
        </w:rPr>
        <w:t xml:space="preserve">note </w:t>
      </w:r>
      <w:r w:rsidR="00C01804">
        <w:rPr>
          <w:sz w:val="24"/>
          <w:szCs w:val="24"/>
        </w:rPr>
        <w:t>9</w:t>
      </w:r>
      <w:r>
        <w:rPr>
          <w:sz w:val="24"/>
          <w:szCs w:val="24"/>
        </w:rPr>
        <w:t xml:space="preserve"> above.</w:t>
      </w:r>
      <w:r w:rsidRPr="00610A03">
        <w:rPr>
          <w:sz w:val="24"/>
          <w:szCs w:val="24"/>
        </w:rPr>
        <w:t xml:space="preserve"> </w:t>
      </w:r>
    </w:p>
  </w:endnote>
  <w:endnote w:id="12">
    <w:p w14:paraId="242DA42B" w14:textId="77777777" w:rsidR="00DB138E" w:rsidRPr="00610A03" w:rsidRDefault="00DB138E" w:rsidP="00B30244">
      <w:pPr>
        <w:pStyle w:val="EndnoteText"/>
        <w:spacing w:line="480" w:lineRule="auto"/>
      </w:pPr>
      <w:r w:rsidRPr="00610A03">
        <w:rPr>
          <w:rStyle w:val="EndnoteReference"/>
        </w:rPr>
        <w:endnoteRef/>
      </w:r>
      <w:r w:rsidRPr="00610A03">
        <w:t xml:space="preserve"> </w:t>
      </w:r>
      <w:r>
        <w:t>{{</w:t>
      </w:r>
      <w:r w:rsidRPr="00610A03">
        <w:rPr>
          <w:sz w:val="24"/>
          <w:szCs w:val="24"/>
        </w:rPr>
        <w:t>Duvaux 1873</w:t>
      </w:r>
      <w:r>
        <w:rPr>
          <w:sz w:val="24"/>
          <w:szCs w:val="24"/>
        </w:rPr>
        <w:t>}}</w:t>
      </w:r>
      <w:r w:rsidRPr="00610A03">
        <w:rPr>
          <w:sz w:val="24"/>
          <w:szCs w:val="24"/>
        </w:rPr>
        <w:t xml:space="preserve">, 200, no. 1771. </w:t>
      </w:r>
    </w:p>
  </w:endnote>
  <w:endnote w:id="13">
    <w:p w14:paraId="05FFC3BE" w14:textId="77777777" w:rsidR="00DB138E" w:rsidRPr="00610A03" w:rsidRDefault="00DB138E" w:rsidP="00B30244">
      <w:pPr>
        <w:pStyle w:val="EndnoteText"/>
        <w:spacing w:line="480" w:lineRule="auto"/>
        <w:rPr>
          <w:sz w:val="24"/>
          <w:szCs w:val="24"/>
        </w:rPr>
      </w:pPr>
      <w:r w:rsidRPr="00610A03">
        <w:rPr>
          <w:rStyle w:val="EndnoteReference"/>
        </w:rPr>
        <w:endnoteRef/>
      </w:r>
      <w:r w:rsidRPr="00610A03">
        <w:rPr>
          <w:sz w:val="24"/>
          <w:szCs w:val="24"/>
        </w:rPr>
        <w:t xml:space="preserve"> </w:t>
      </w:r>
      <w:r>
        <w:t>{{</w:t>
      </w:r>
      <w:r w:rsidRPr="00610A03">
        <w:rPr>
          <w:sz w:val="24"/>
          <w:szCs w:val="24"/>
        </w:rPr>
        <w:t>Duvaux 1873</w:t>
      </w:r>
      <w:r>
        <w:rPr>
          <w:sz w:val="24"/>
          <w:szCs w:val="24"/>
        </w:rPr>
        <w:t xml:space="preserve">}} </w:t>
      </w:r>
      <w:r w:rsidRPr="00610A03">
        <w:rPr>
          <w:sz w:val="24"/>
          <w:szCs w:val="24"/>
        </w:rPr>
        <w:t xml:space="preserve">205, no. 1814. </w:t>
      </w:r>
    </w:p>
  </w:endnote>
  <w:endnote w:id="14">
    <w:p w14:paraId="4004F364" w14:textId="77777777" w:rsidR="00DB138E" w:rsidRPr="00610A03" w:rsidRDefault="00DB138E" w:rsidP="00B30244">
      <w:pPr>
        <w:pStyle w:val="EndnoteText"/>
        <w:spacing w:line="480" w:lineRule="auto"/>
        <w:rPr>
          <w:sz w:val="24"/>
          <w:szCs w:val="24"/>
        </w:rPr>
      </w:pPr>
      <w:r w:rsidRPr="00610A03">
        <w:rPr>
          <w:rStyle w:val="EndnoteReference"/>
        </w:rPr>
        <w:endnoteRef/>
      </w:r>
      <w:r w:rsidRPr="00610A03">
        <w:t xml:space="preserve"> </w:t>
      </w:r>
      <w:r>
        <w:t>{{</w:t>
      </w:r>
      <w:r w:rsidRPr="00610A03">
        <w:rPr>
          <w:sz w:val="24"/>
          <w:szCs w:val="24"/>
        </w:rPr>
        <w:t>Duvaux 1873</w:t>
      </w:r>
      <w:r>
        <w:rPr>
          <w:sz w:val="24"/>
          <w:szCs w:val="24"/>
        </w:rPr>
        <w:t xml:space="preserve">}} </w:t>
      </w:r>
      <w:r w:rsidRPr="00610A03">
        <w:rPr>
          <w:sz w:val="24"/>
          <w:szCs w:val="24"/>
        </w:rPr>
        <w:t>298, no. 2606.</w:t>
      </w:r>
    </w:p>
  </w:endnote>
  <w:endnote w:id="15">
    <w:p w14:paraId="18FA12FB" w14:textId="77777777" w:rsidR="00DB138E" w:rsidRPr="00610A03" w:rsidRDefault="00DB138E" w:rsidP="00B30244">
      <w:pPr>
        <w:pStyle w:val="EndnoteText"/>
        <w:spacing w:line="480" w:lineRule="auto"/>
        <w:rPr>
          <w:sz w:val="24"/>
          <w:szCs w:val="24"/>
        </w:rPr>
      </w:pPr>
      <w:r w:rsidRPr="00610A03">
        <w:rPr>
          <w:rStyle w:val="EndnoteReference"/>
        </w:rPr>
        <w:endnoteRef/>
      </w:r>
      <w:r w:rsidRPr="00610A03">
        <w:t xml:space="preserve"> </w:t>
      </w:r>
      <w:r>
        <w:t>{{</w:t>
      </w:r>
      <w:r w:rsidRPr="00610A03">
        <w:rPr>
          <w:sz w:val="24"/>
          <w:szCs w:val="24"/>
        </w:rPr>
        <w:t>Duvaux 1873</w:t>
      </w:r>
      <w:r>
        <w:rPr>
          <w:sz w:val="24"/>
          <w:szCs w:val="24"/>
        </w:rPr>
        <w:t xml:space="preserve">}} </w:t>
      </w:r>
      <w:r w:rsidRPr="00610A03">
        <w:rPr>
          <w:sz w:val="24"/>
          <w:szCs w:val="24"/>
        </w:rPr>
        <w:t xml:space="preserve">305, no. 2675. </w:t>
      </w:r>
    </w:p>
  </w:endnote>
  <w:endnote w:id="16">
    <w:p w14:paraId="4CB6DDE1" w14:textId="77777777" w:rsidR="00DB138E" w:rsidRPr="00402A84" w:rsidRDefault="00DB138E" w:rsidP="00B30244">
      <w:pPr>
        <w:pStyle w:val="EndnoteText"/>
        <w:spacing w:line="480" w:lineRule="auto"/>
        <w:rPr>
          <w:lang w:val="es-MX"/>
        </w:rPr>
      </w:pPr>
      <w:r w:rsidRPr="00610A03">
        <w:rPr>
          <w:rStyle w:val="FootnoteCharacters"/>
        </w:rPr>
        <w:endnoteRef/>
      </w:r>
      <w:r w:rsidRPr="00402A84">
        <w:rPr>
          <w:lang w:val="es-MX"/>
        </w:rPr>
        <w:t xml:space="preserve"> {{</w:t>
      </w:r>
      <w:r w:rsidRPr="00402A84">
        <w:rPr>
          <w:sz w:val="24"/>
          <w:szCs w:val="24"/>
          <w:lang w:val="es-MX"/>
        </w:rPr>
        <w:t>Duvaux 1873}} 353, no. 3061.</w:t>
      </w:r>
    </w:p>
  </w:endnote>
  <w:endnote w:id="17">
    <w:p w14:paraId="2C7BEDED" w14:textId="54DE6EA3" w:rsidR="00DB138E" w:rsidRDefault="00DB138E" w:rsidP="00020873">
      <w:pPr>
        <w:pStyle w:val="EndnoteText"/>
        <w:spacing w:after="0" w:line="480" w:lineRule="auto"/>
      </w:pPr>
      <w:r>
        <w:rPr>
          <w:rStyle w:val="EndnoteReference"/>
        </w:rPr>
        <w:endnoteRef/>
      </w:r>
      <w:r>
        <w:t xml:space="preserve"> </w:t>
      </w:r>
      <w:r w:rsidRPr="001A336F">
        <w:rPr>
          <w:color w:val="000000"/>
          <w:sz w:val="24"/>
          <w:szCs w:val="24"/>
        </w:rPr>
        <w:t>French and Company invoice, March 16, 1972</w:t>
      </w:r>
      <w:r>
        <w:rPr>
          <w:color w:val="000000"/>
          <w:sz w:val="24"/>
          <w:szCs w:val="24"/>
        </w:rPr>
        <w:t>,</w:t>
      </w:r>
      <w:r w:rsidRPr="001A336F">
        <w:rPr>
          <w:color w:val="000000"/>
          <w:sz w:val="24"/>
          <w:szCs w:val="24"/>
        </w:rPr>
        <w:t xml:space="preserve"> </w:t>
      </w:r>
      <w:r w:rsidR="008C7FB5">
        <w:rPr>
          <w:color w:val="000000"/>
          <w:sz w:val="24"/>
          <w:szCs w:val="24"/>
        </w:rPr>
        <w:t>in the files of the Sculpture and Decorative Arts Department, J. Paul Getty Museum</w:t>
      </w:r>
      <w:r w:rsidRPr="001A336F">
        <w:rPr>
          <w:color w:val="000000"/>
          <w:sz w:val="24"/>
          <w:szCs w:val="24"/>
        </w:rPr>
        <w:t>.</w:t>
      </w:r>
    </w:p>
  </w:endnote>
  <w:endnote w:id="18">
    <w:p w14:paraId="1E6AF182" w14:textId="77777777" w:rsidR="00DB138E" w:rsidRPr="00402A84" w:rsidRDefault="00DB138E" w:rsidP="00020873">
      <w:pPr>
        <w:pStyle w:val="EndnoteText"/>
        <w:spacing w:after="0" w:line="480" w:lineRule="auto"/>
        <w:rPr>
          <w:lang w:val="es-MX"/>
        </w:rPr>
      </w:pPr>
      <w:r>
        <w:rPr>
          <w:rStyle w:val="EndnoteReference"/>
        </w:rPr>
        <w:endnoteRef/>
      </w:r>
      <w:r w:rsidRPr="00402A84">
        <w:rPr>
          <w:lang w:val="es-MX"/>
        </w:rPr>
        <w:t xml:space="preserve"> {{</w:t>
      </w:r>
      <w:r w:rsidRPr="00B46965">
        <w:rPr>
          <w:sz w:val="24"/>
          <w:szCs w:val="24"/>
        </w:rPr>
        <w:fldChar w:fldCharType="begin"/>
      </w:r>
      <w:r w:rsidRPr="00402A84">
        <w:rPr>
          <w:sz w:val="24"/>
          <w:szCs w:val="24"/>
          <w:lang w:val="es-MX"/>
        </w:rPr>
        <w:instrText xml:space="preserve"> ADDIN ZOTERO_ITEM CSL_CITATION {"citationID":"wAE02Wg3","properties":{"formattedCitation":"Heginbotham et al., \\uc0\\u8220{}Some Observations on the Composition of Chinese Lacquer\\uc0\\u8221{}; Petisca et al., \\uc0\\u8220{}Chinese Export Lacquerware: Characterization of a Group of Canton Lacquer Pieces from the 18th and 19th Centuries\\uc0\\u8221{}; Matsen, Petisca, and Auffret, \\uc0\\u8220{}When Science Reveals Craft Practices: Recent Findings in the Py-GC/MS Analysis of Chinese Export Lacquer.\\uc0\\u8221{}","plainCitation":"Heginbotham et al., “Some Observations on the Composition of Chinese Lacquer”; Petisca et al., “Chinese Export Lacquerware: Characterization of a Group of Canton Lacquer Pieces from the 18th and 19th Centuries”; Matsen, Petisca, and Auffret, “When Science Reveals Craft Practices: Recent Findings in the Py-GC/MS Analysis of Chinese Export Lacquer.”","noteIndex":1},"citationItems":[{"id":84,"uris":["http://zotero.org/users/4304701/items/ANZ4CFDN"],"uri":["http://zotero.org/users/4304701/items/ANZ4CFDN"],"itemData":{"id":84,"type":"article-journal","title":"Some observations on the composition of Chinese lacquer","container-title":"Studies in Conservation","page":"28-37","volume":"61","issue":"sup3","DOI":"10.1080/00393630.2016.1230979","author":[{"family":"Heginbotham","given":"Arlen"},{"family":"Chang","given":"Julie"},{"family":"Khanjian","given":"Herant"},{"family":"Schilling","given":"Michael R."}],"issued":{"date-parts":[["2016"]]}}},{"id":462,"uris":["http://zotero.org/users/4304701/items/774N4EAV"],"uri":["http://zotero.org/users/4304701/items/774N4EAV"],"itemData":{"id":462,"type":"chapter","title":"Chinese export lacquerware: characterization of a group of Canton lacquer pieces from the 18th and 19th centuries","container-title":"ICOM-CC 16th triennial conference Lisbon 19-23 September 2011: preprints","publisher":"Critério--Produção Grafica, Lda.","publisher-place":"Lisbon, Portugal","page":"10","event-place":"Lisbon, Portugal","abstract":"This work aims at characterizing a group of lacquerware objects attributed to the region of Canton, in south China, some of which form part of the Portuguese royal collections dating from the 18th and 19th centuries. Laboratory analyses have allowed the identification of materials and manufacturing techniques of these objects. Analytical results have shown close correspondence with the accounts of merchants and travelers dating from that period.","note":"editor: Bridgland, Janet","author":[{"family":"Petisca","given":"Maria João"},{"family":"Frade","given":"José"},{"family":"Cavaco","given":"Margarida"},{"family":"Ribeiro","given":"Isabel"},{"family":"Candeias","given":"Antónió José"},{"family":"Graça","given":"José"},{"family":"Rodrigues","given":"José Carlos"}],"issued":{"date-parts":[["2011"]]}}},{"id":615,"uris":["http://zotero.org/users/4304701/items/A8THDM64"],"uri":["http://zotero.org/users/4304701/items/A8THDM64"],"itemData":{"id":615,"type":"paper-conference","title":"When science reveals craft practices: Recent findings in the py-GC/MS analysis of Chinese export lacquer","container-title":"ICOMCC 18th Triennial Conference Preprints: \"Linking Past and Future,\" Copenhagen, 4-8 September 2017","publisher":"ICOM-CC","publisher-place":"Copenhagen","event":"ICOMCC 18th Triennial Conference","event-place":"Copenhagen","abstract":"Matsen, Catherine, Maria João Petisca, and Stephanie Auffret. 2017. When science reveals craft\npractices: Recent findings in the py-GC/MS analysis of Chinese export lacquer. In ICOMCC\n18th Triennial Conference Preprints: \"Linking Past and Future,\" Copenhagen, 4-8\nSeptember 2017, ed. Janet Bridgland, art. 2102. Paris: ICOM-CC. http://icom-ccpublications-online.org/PublicationDetail.aspx?cid=c8114b75-2c09-4782-aa27-\na4b32b539abf","author":[{"family":"Matsen","given":"Catherine"},{"family":"Petisca","given":"Maria João"},{"family":"Auffret","given":"Stephanie"}],"issued":{"date-parts":[["2017",9,4]]}}}],"schema":"https://github.com/citation-style-language/schema/raw/master/csl-citation.json"} </w:instrText>
      </w:r>
      <w:r w:rsidRPr="00B46965">
        <w:rPr>
          <w:sz w:val="24"/>
          <w:szCs w:val="24"/>
        </w:rPr>
        <w:fldChar w:fldCharType="separate"/>
      </w:r>
      <w:r w:rsidRPr="00402A84">
        <w:rPr>
          <w:sz w:val="24"/>
          <w:szCs w:val="24"/>
          <w:lang w:val="es-MX"/>
        </w:rPr>
        <w:t>Heginbotham et al. 2016</w:t>
      </w:r>
      <w:r w:rsidRPr="00402A84">
        <w:rPr>
          <w:lang w:val="es-MX"/>
        </w:rPr>
        <w:t>}}</w:t>
      </w:r>
      <w:r w:rsidRPr="00402A84">
        <w:rPr>
          <w:sz w:val="24"/>
          <w:szCs w:val="24"/>
          <w:lang w:val="es-MX"/>
        </w:rPr>
        <w:t xml:space="preserve">; {{Petisca et al. 2011}}; {{Matsen, Petisca, and Auffret 2017}}. </w:t>
      </w:r>
      <w:r w:rsidRPr="00B46965">
        <w:rPr>
          <w:sz w:val="24"/>
          <w:szCs w:val="24"/>
        </w:rPr>
        <w:fldChar w:fldCharType="end"/>
      </w:r>
    </w:p>
  </w:endnote>
  <w:endnote w:id="19">
    <w:p w14:paraId="07BFC9DE" w14:textId="74475494" w:rsidR="00DB138E" w:rsidRPr="00240E04" w:rsidRDefault="00DB138E" w:rsidP="00B46965">
      <w:pPr>
        <w:pStyle w:val="EndnoteText"/>
        <w:spacing w:line="480" w:lineRule="auto"/>
      </w:pPr>
      <w:r w:rsidRPr="00240E04">
        <w:rPr>
          <w:rStyle w:val="EndnoteReference"/>
        </w:rPr>
        <w:endnoteRef/>
      </w:r>
      <w:r w:rsidRPr="001B2FA3">
        <w:t xml:space="preserve"> </w:t>
      </w:r>
      <w:r w:rsidRPr="00B46965">
        <w:rPr>
          <w:sz w:val="24"/>
          <w:szCs w:val="24"/>
        </w:rPr>
        <w:t xml:space="preserve">For instance, </w:t>
      </w:r>
      <w:r>
        <w:rPr>
          <w:sz w:val="24"/>
          <w:szCs w:val="24"/>
        </w:rPr>
        <w:t>{{</w:t>
      </w:r>
      <w:r w:rsidRPr="00B46965">
        <w:rPr>
          <w:sz w:val="24"/>
          <w:szCs w:val="24"/>
        </w:rPr>
        <w:t>Bonanni 1723</w:t>
      </w:r>
      <w:r>
        <w:rPr>
          <w:sz w:val="24"/>
          <w:szCs w:val="24"/>
        </w:rPr>
        <w:t>}}</w:t>
      </w:r>
      <w:r w:rsidRPr="00B46965">
        <w:rPr>
          <w:sz w:val="24"/>
          <w:szCs w:val="24"/>
        </w:rPr>
        <w:t>, 33</w:t>
      </w:r>
      <w:r>
        <w:rPr>
          <w:sz w:val="24"/>
          <w:szCs w:val="24"/>
        </w:rPr>
        <w:t>–</w:t>
      </w:r>
      <w:r w:rsidRPr="00B46965">
        <w:rPr>
          <w:sz w:val="24"/>
          <w:szCs w:val="24"/>
        </w:rPr>
        <w:t>34</w:t>
      </w:r>
      <w:r>
        <w:rPr>
          <w:sz w:val="24"/>
          <w:szCs w:val="24"/>
        </w:rPr>
        <w:t>,</w:t>
      </w:r>
      <w:r w:rsidRPr="00B46965">
        <w:rPr>
          <w:sz w:val="24"/>
          <w:szCs w:val="24"/>
        </w:rPr>
        <w:t xml:space="preserve"> describes a recipe of Father Zahn that calls for “ten ounces of wine spirit, two ounces of sandarac, and two of common Terebentine or Venice; the latter is best</w:t>
      </w:r>
      <w:r w:rsidR="007832BB">
        <w:rPr>
          <w:sz w:val="24"/>
          <w:szCs w:val="24"/>
        </w:rPr>
        <w:t>.</w:t>
      </w:r>
      <w:r w:rsidRPr="00B46965">
        <w:rPr>
          <w:sz w:val="24"/>
          <w:szCs w:val="24"/>
        </w:rPr>
        <w:t xml:space="preserve">” </w:t>
      </w:r>
      <w:r>
        <w:rPr>
          <w:sz w:val="24"/>
          <w:szCs w:val="24"/>
        </w:rPr>
        <w:t>{{</w:t>
      </w:r>
      <w:r w:rsidRPr="00B46965">
        <w:rPr>
          <w:sz w:val="24"/>
          <w:szCs w:val="24"/>
        </w:rPr>
        <w:t>Watin 1772</w:t>
      </w:r>
      <w:r>
        <w:rPr>
          <w:sz w:val="24"/>
          <w:szCs w:val="24"/>
        </w:rPr>
        <w:t>}}</w:t>
      </w:r>
      <w:r w:rsidRPr="00B46965">
        <w:rPr>
          <w:sz w:val="24"/>
          <w:szCs w:val="24"/>
        </w:rPr>
        <w:t xml:space="preserve"> also discusses the use of gum elemi and camphor in many sections.</w:t>
      </w:r>
    </w:p>
  </w:endnote>
  <w:endnote w:id="20">
    <w:p w14:paraId="63B0019E" w14:textId="09F6B310" w:rsidR="00DB138E" w:rsidRPr="00240E04" w:rsidRDefault="00DB138E" w:rsidP="00B46965">
      <w:pPr>
        <w:pStyle w:val="EndnoteText"/>
        <w:spacing w:line="480" w:lineRule="auto"/>
      </w:pPr>
      <w:r w:rsidRPr="00240E04">
        <w:rPr>
          <w:rStyle w:val="EndnoteReference"/>
        </w:rPr>
        <w:endnoteRef/>
      </w:r>
      <w:r w:rsidRPr="00240E04">
        <w:t xml:space="preserve"> </w:t>
      </w:r>
      <w:r>
        <w:rPr>
          <w:sz w:val="24"/>
          <w:szCs w:val="24"/>
        </w:rPr>
        <w:t>{{</w:t>
      </w:r>
      <w:r w:rsidRPr="00B46965">
        <w:rPr>
          <w:sz w:val="24"/>
          <w:szCs w:val="24"/>
        </w:rPr>
        <w:t>Walch 1997</w:t>
      </w:r>
      <w:r>
        <w:rPr>
          <w:sz w:val="24"/>
          <w:szCs w:val="24"/>
        </w:rPr>
        <w:t>}}</w:t>
      </w:r>
      <w:r w:rsidRPr="00B46965">
        <w:rPr>
          <w:sz w:val="24"/>
          <w:szCs w:val="24"/>
        </w:rPr>
        <w:t>, 28</w:t>
      </w:r>
      <w:r>
        <w:rPr>
          <w:sz w:val="24"/>
          <w:szCs w:val="24"/>
        </w:rPr>
        <w:t>.</w:t>
      </w:r>
    </w:p>
  </w:endnote>
  <w:endnote w:id="21">
    <w:p w14:paraId="723AFE89" w14:textId="4F2FA04E" w:rsidR="00DB138E" w:rsidRPr="00240E04" w:rsidRDefault="00DB138E" w:rsidP="00B46965">
      <w:pPr>
        <w:pStyle w:val="EndnoteText"/>
        <w:spacing w:line="480" w:lineRule="auto"/>
      </w:pPr>
      <w:r w:rsidRPr="00240E04">
        <w:rPr>
          <w:rStyle w:val="EndnoteReference"/>
        </w:rPr>
        <w:endnoteRef/>
      </w:r>
      <w:r w:rsidRPr="00240E04">
        <w:t xml:space="preserve"> </w:t>
      </w:r>
      <w:r>
        <w:rPr>
          <w:sz w:val="24"/>
          <w:szCs w:val="24"/>
        </w:rPr>
        <w:t>{{</w:t>
      </w:r>
      <w:r w:rsidRPr="00B46965">
        <w:rPr>
          <w:sz w:val="24"/>
          <w:szCs w:val="24"/>
        </w:rPr>
        <w:t>Webb 2000</w:t>
      </w:r>
      <w:r>
        <w:rPr>
          <w:sz w:val="24"/>
          <w:szCs w:val="24"/>
        </w:rPr>
        <w:t>}}</w:t>
      </w:r>
      <w:r w:rsidRPr="00B46965">
        <w:rPr>
          <w:sz w:val="24"/>
          <w:szCs w:val="24"/>
        </w:rPr>
        <w:t>, 105</w:t>
      </w:r>
      <w:r>
        <w:rPr>
          <w:sz w:val="24"/>
          <w:szCs w:val="24"/>
        </w:rPr>
        <w:t>;</w:t>
      </w:r>
      <w:r w:rsidRPr="00B46965">
        <w:rPr>
          <w:sz w:val="24"/>
          <w:szCs w:val="24"/>
        </w:rPr>
        <w:t xml:space="preserve"> </w:t>
      </w:r>
      <w:r>
        <w:rPr>
          <w:sz w:val="24"/>
          <w:szCs w:val="24"/>
        </w:rPr>
        <w:t>{{</w:t>
      </w:r>
      <w:r w:rsidRPr="00B46965">
        <w:rPr>
          <w:sz w:val="24"/>
          <w:szCs w:val="24"/>
        </w:rPr>
        <w:t>Koller and Baumer 1997</w:t>
      </w:r>
      <w:r>
        <w:rPr>
          <w:sz w:val="24"/>
          <w:szCs w:val="24"/>
        </w:rPr>
        <w:t>}}</w:t>
      </w:r>
      <w:r w:rsidRPr="00B46965">
        <w:rPr>
          <w:sz w:val="24"/>
          <w:szCs w:val="24"/>
        </w:rPr>
        <w:t>, 55</w:t>
      </w:r>
      <w:r>
        <w:rPr>
          <w:sz w:val="24"/>
          <w:szCs w:val="24"/>
        </w:rPr>
        <w:t>.</w:t>
      </w:r>
    </w:p>
  </w:endnote>
  <w:endnote w:id="22">
    <w:p w14:paraId="5C43BC70" w14:textId="7125C0F3" w:rsidR="00DB138E" w:rsidRDefault="00DB138E" w:rsidP="00B46965">
      <w:pPr>
        <w:pStyle w:val="EndnoteText"/>
        <w:spacing w:line="480" w:lineRule="auto"/>
      </w:pPr>
      <w:r w:rsidRPr="00240E04">
        <w:rPr>
          <w:rStyle w:val="EndnoteReference"/>
        </w:rPr>
        <w:endnoteRef/>
      </w:r>
      <w:r w:rsidRPr="00240E04">
        <w:t xml:space="preserve"> </w:t>
      </w:r>
      <w:r>
        <w:rPr>
          <w:sz w:val="24"/>
          <w:szCs w:val="24"/>
        </w:rPr>
        <w:t>{{</w:t>
      </w:r>
      <w:r w:rsidRPr="00B46965">
        <w:rPr>
          <w:sz w:val="24"/>
          <w:szCs w:val="24"/>
        </w:rPr>
        <w:t>Walch 1997</w:t>
      </w:r>
      <w:r>
        <w:rPr>
          <w:sz w:val="24"/>
          <w:szCs w:val="24"/>
        </w:rPr>
        <w:t>}}</w:t>
      </w:r>
      <w:r w:rsidRPr="00B46965">
        <w:rPr>
          <w:sz w:val="24"/>
          <w:szCs w:val="24"/>
        </w:rPr>
        <w:t>, 134</w:t>
      </w:r>
      <w:r>
        <w:rPr>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DF5DB" w14:textId="77777777" w:rsidR="00DB138E" w:rsidRPr="00552729" w:rsidRDefault="00DB138E">
    <w:pPr>
      <w:pStyle w:val="Footer"/>
      <w:jc w:val="right"/>
      <w:rPr>
        <w:sz w:val="24"/>
        <w:szCs w:val="24"/>
      </w:rPr>
    </w:pPr>
    <w:r w:rsidRPr="00552729">
      <w:rPr>
        <w:sz w:val="24"/>
        <w:szCs w:val="24"/>
      </w:rPr>
      <w:fldChar w:fldCharType="begin"/>
    </w:r>
    <w:r w:rsidRPr="00552729">
      <w:rPr>
        <w:sz w:val="24"/>
        <w:szCs w:val="24"/>
      </w:rPr>
      <w:instrText xml:space="preserve"> PAGE   \* MERGEFORMAT </w:instrText>
    </w:r>
    <w:r w:rsidRPr="00552729">
      <w:rPr>
        <w:sz w:val="24"/>
        <w:szCs w:val="24"/>
      </w:rPr>
      <w:fldChar w:fldCharType="separate"/>
    </w:r>
    <w:r>
      <w:rPr>
        <w:noProof/>
        <w:sz w:val="24"/>
        <w:szCs w:val="24"/>
      </w:rPr>
      <w:t>19</w:t>
    </w:r>
    <w:r w:rsidRPr="00552729">
      <w:rPr>
        <w:noProof/>
        <w:sz w:val="24"/>
        <w:szCs w:val="24"/>
      </w:rPr>
      <w:fldChar w:fldCharType="end"/>
    </w:r>
  </w:p>
  <w:p w14:paraId="303DAD39" w14:textId="77777777" w:rsidR="00DB138E" w:rsidRDefault="00DB1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71B21" w14:textId="77777777" w:rsidR="00FE700E" w:rsidRDefault="00FE700E">
      <w:pPr>
        <w:spacing w:after="0" w:line="240" w:lineRule="auto"/>
      </w:pPr>
      <w:r>
        <w:separator/>
      </w:r>
    </w:p>
  </w:footnote>
  <w:footnote w:type="continuationSeparator" w:id="0">
    <w:p w14:paraId="5BC13F01" w14:textId="77777777" w:rsidR="00FE700E" w:rsidRDefault="00FE7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3C8"/>
    <w:rsid w:val="000008D7"/>
    <w:rsid w:val="00006A62"/>
    <w:rsid w:val="00014670"/>
    <w:rsid w:val="00020873"/>
    <w:rsid w:val="000320EF"/>
    <w:rsid w:val="0003757F"/>
    <w:rsid w:val="00046764"/>
    <w:rsid w:val="000703BD"/>
    <w:rsid w:val="00074253"/>
    <w:rsid w:val="00096222"/>
    <w:rsid w:val="000A15EA"/>
    <w:rsid w:val="000B1C81"/>
    <w:rsid w:val="000C24B6"/>
    <w:rsid w:val="000F1AFD"/>
    <w:rsid w:val="000F4BD2"/>
    <w:rsid w:val="0010166B"/>
    <w:rsid w:val="00111E77"/>
    <w:rsid w:val="001140F3"/>
    <w:rsid w:val="001145C4"/>
    <w:rsid w:val="001256BA"/>
    <w:rsid w:val="00166DFA"/>
    <w:rsid w:val="001817E3"/>
    <w:rsid w:val="00183919"/>
    <w:rsid w:val="001A19DA"/>
    <w:rsid w:val="001A336F"/>
    <w:rsid w:val="001A7BB9"/>
    <w:rsid w:val="001B5DAD"/>
    <w:rsid w:val="001B71FA"/>
    <w:rsid w:val="001C184F"/>
    <w:rsid w:val="001C5F63"/>
    <w:rsid w:val="001E2B43"/>
    <w:rsid w:val="001E2F91"/>
    <w:rsid w:val="001E7D61"/>
    <w:rsid w:val="001F0CC1"/>
    <w:rsid w:val="001F6C19"/>
    <w:rsid w:val="00201091"/>
    <w:rsid w:val="00205250"/>
    <w:rsid w:val="00225EA0"/>
    <w:rsid w:val="00227758"/>
    <w:rsid w:val="00241B2A"/>
    <w:rsid w:val="00247347"/>
    <w:rsid w:val="00255D0D"/>
    <w:rsid w:val="0026047D"/>
    <w:rsid w:val="00271176"/>
    <w:rsid w:val="0027611D"/>
    <w:rsid w:val="002763FF"/>
    <w:rsid w:val="002D1CDB"/>
    <w:rsid w:val="002D72B7"/>
    <w:rsid w:val="002E27FF"/>
    <w:rsid w:val="002E3FF5"/>
    <w:rsid w:val="002F0429"/>
    <w:rsid w:val="002F11C7"/>
    <w:rsid w:val="0030008E"/>
    <w:rsid w:val="003365EA"/>
    <w:rsid w:val="00354901"/>
    <w:rsid w:val="003770CE"/>
    <w:rsid w:val="003944F5"/>
    <w:rsid w:val="003B053E"/>
    <w:rsid w:val="003D48D9"/>
    <w:rsid w:val="003D7B14"/>
    <w:rsid w:val="003E145F"/>
    <w:rsid w:val="003E5835"/>
    <w:rsid w:val="003F2083"/>
    <w:rsid w:val="003F237C"/>
    <w:rsid w:val="003F46B1"/>
    <w:rsid w:val="004010C4"/>
    <w:rsid w:val="00402A84"/>
    <w:rsid w:val="00416005"/>
    <w:rsid w:val="0045270C"/>
    <w:rsid w:val="004631EF"/>
    <w:rsid w:val="0048586C"/>
    <w:rsid w:val="00487DDF"/>
    <w:rsid w:val="0049647C"/>
    <w:rsid w:val="004A12F6"/>
    <w:rsid w:val="004A6728"/>
    <w:rsid w:val="004D032C"/>
    <w:rsid w:val="004D1CF7"/>
    <w:rsid w:val="00513F25"/>
    <w:rsid w:val="005218B7"/>
    <w:rsid w:val="00525D60"/>
    <w:rsid w:val="00552729"/>
    <w:rsid w:val="00573B9B"/>
    <w:rsid w:val="0057676C"/>
    <w:rsid w:val="00597572"/>
    <w:rsid w:val="005A597B"/>
    <w:rsid w:val="005A6B64"/>
    <w:rsid w:val="005B38D7"/>
    <w:rsid w:val="005C301A"/>
    <w:rsid w:val="005E196A"/>
    <w:rsid w:val="005F6A67"/>
    <w:rsid w:val="00610A03"/>
    <w:rsid w:val="00616327"/>
    <w:rsid w:val="00644FC8"/>
    <w:rsid w:val="0066610A"/>
    <w:rsid w:val="00695DE4"/>
    <w:rsid w:val="006A5D7F"/>
    <w:rsid w:val="006B509B"/>
    <w:rsid w:val="006B602F"/>
    <w:rsid w:val="006C0151"/>
    <w:rsid w:val="006F4F32"/>
    <w:rsid w:val="006F5D48"/>
    <w:rsid w:val="007105D8"/>
    <w:rsid w:val="00720C64"/>
    <w:rsid w:val="00741F93"/>
    <w:rsid w:val="0074354D"/>
    <w:rsid w:val="007639EB"/>
    <w:rsid w:val="00765D24"/>
    <w:rsid w:val="007832BB"/>
    <w:rsid w:val="00790B90"/>
    <w:rsid w:val="007A1DD7"/>
    <w:rsid w:val="007A5D32"/>
    <w:rsid w:val="007B5710"/>
    <w:rsid w:val="007D5A4E"/>
    <w:rsid w:val="007D7C69"/>
    <w:rsid w:val="007F2E77"/>
    <w:rsid w:val="00801CB4"/>
    <w:rsid w:val="008356A0"/>
    <w:rsid w:val="00843902"/>
    <w:rsid w:val="00850E2F"/>
    <w:rsid w:val="008536FC"/>
    <w:rsid w:val="00856C26"/>
    <w:rsid w:val="0087502D"/>
    <w:rsid w:val="00894473"/>
    <w:rsid w:val="008A18EC"/>
    <w:rsid w:val="008B5133"/>
    <w:rsid w:val="008C7FB5"/>
    <w:rsid w:val="008D3CAB"/>
    <w:rsid w:val="008D5A54"/>
    <w:rsid w:val="008D612A"/>
    <w:rsid w:val="008F6138"/>
    <w:rsid w:val="0091217F"/>
    <w:rsid w:val="00927421"/>
    <w:rsid w:val="00944B21"/>
    <w:rsid w:val="00960240"/>
    <w:rsid w:val="0096578E"/>
    <w:rsid w:val="009660EC"/>
    <w:rsid w:val="0097358C"/>
    <w:rsid w:val="0097361D"/>
    <w:rsid w:val="009867D7"/>
    <w:rsid w:val="00992A9E"/>
    <w:rsid w:val="009A6F53"/>
    <w:rsid w:val="009B431B"/>
    <w:rsid w:val="009D01B7"/>
    <w:rsid w:val="009D1675"/>
    <w:rsid w:val="009D2600"/>
    <w:rsid w:val="009D7252"/>
    <w:rsid w:val="009E47AA"/>
    <w:rsid w:val="00A11577"/>
    <w:rsid w:val="00A22B0C"/>
    <w:rsid w:val="00A4232A"/>
    <w:rsid w:val="00A5450B"/>
    <w:rsid w:val="00A63CE7"/>
    <w:rsid w:val="00A65A1F"/>
    <w:rsid w:val="00A740C9"/>
    <w:rsid w:val="00A9112D"/>
    <w:rsid w:val="00A97E0E"/>
    <w:rsid w:val="00AA3FEB"/>
    <w:rsid w:val="00AE7D54"/>
    <w:rsid w:val="00B00053"/>
    <w:rsid w:val="00B073D9"/>
    <w:rsid w:val="00B15658"/>
    <w:rsid w:val="00B217C0"/>
    <w:rsid w:val="00B21D7D"/>
    <w:rsid w:val="00B273C2"/>
    <w:rsid w:val="00B27A0F"/>
    <w:rsid w:val="00B27EE7"/>
    <w:rsid w:val="00B30244"/>
    <w:rsid w:val="00B32C59"/>
    <w:rsid w:val="00B46965"/>
    <w:rsid w:val="00B70093"/>
    <w:rsid w:val="00B717D5"/>
    <w:rsid w:val="00B757BA"/>
    <w:rsid w:val="00B76681"/>
    <w:rsid w:val="00B8086D"/>
    <w:rsid w:val="00B80A8A"/>
    <w:rsid w:val="00BA0DD9"/>
    <w:rsid w:val="00BC0960"/>
    <w:rsid w:val="00BD1407"/>
    <w:rsid w:val="00C01804"/>
    <w:rsid w:val="00C1737A"/>
    <w:rsid w:val="00C173C8"/>
    <w:rsid w:val="00C20C98"/>
    <w:rsid w:val="00C3598B"/>
    <w:rsid w:val="00C412EE"/>
    <w:rsid w:val="00C459A1"/>
    <w:rsid w:val="00C604FE"/>
    <w:rsid w:val="00C7408F"/>
    <w:rsid w:val="00C94DC9"/>
    <w:rsid w:val="00CA3C3D"/>
    <w:rsid w:val="00CC0CB3"/>
    <w:rsid w:val="00CC60A6"/>
    <w:rsid w:val="00CE0358"/>
    <w:rsid w:val="00CE5704"/>
    <w:rsid w:val="00D06E30"/>
    <w:rsid w:val="00D105CD"/>
    <w:rsid w:val="00D153B7"/>
    <w:rsid w:val="00D2149E"/>
    <w:rsid w:val="00D34A71"/>
    <w:rsid w:val="00D50BE3"/>
    <w:rsid w:val="00D62BE6"/>
    <w:rsid w:val="00DA1136"/>
    <w:rsid w:val="00DB138E"/>
    <w:rsid w:val="00DC4688"/>
    <w:rsid w:val="00DD0D7B"/>
    <w:rsid w:val="00DD376E"/>
    <w:rsid w:val="00DD4725"/>
    <w:rsid w:val="00DE67A8"/>
    <w:rsid w:val="00E040FD"/>
    <w:rsid w:val="00E071CF"/>
    <w:rsid w:val="00E150D1"/>
    <w:rsid w:val="00E15CA2"/>
    <w:rsid w:val="00E33356"/>
    <w:rsid w:val="00E85AF5"/>
    <w:rsid w:val="00E86A8F"/>
    <w:rsid w:val="00EB6C66"/>
    <w:rsid w:val="00EC199C"/>
    <w:rsid w:val="00EC6BCE"/>
    <w:rsid w:val="00ED10DF"/>
    <w:rsid w:val="00ED1E1B"/>
    <w:rsid w:val="00ED578E"/>
    <w:rsid w:val="00ED706A"/>
    <w:rsid w:val="00EF473E"/>
    <w:rsid w:val="00EF788A"/>
    <w:rsid w:val="00F313DD"/>
    <w:rsid w:val="00F33194"/>
    <w:rsid w:val="00F44F8C"/>
    <w:rsid w:val="00F8364E"/>
    <w:rsid w:val="00F86A83"/>
    <w:rsid w:val="00FA14E4"/>
    <w:rsid w:val="00FA2639"/>
    <w:rsid w:val="00FA53AA"/>
    <w:rsid w:val="00FA60B0"/>
    <w:rsid w:val="00FA6C88"/>
    <w:rsid w:val="00FB55B4"/>
    <w:rsid w:val="00FD07B3"/>
    <w:rsid w:val="00FD193A"/>
    <w:rsid w:val="00FE0C70"/>
    <w:rsid w:val="00FE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72AE3E7"/>
  <w14:defaultImageDpi w14:val="300"/>
  <w15:chartTrackingRefBased/>
  <w15:docId w15:val="{5D45FB8D-0999-4814-B670-F673BF9E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4" w:lineRule="auto"/>
    </w:pPr>
  </w:style>
  <w:style w:type="paragraph" w:styleId="Heading2">
    <w:name w:val="heading 2"/>
    <w:basedOn w:val="Normal"/>
    <w:next w:val="Normal"/>
    <w:link w:val="Heading2Char"/>
    <w:uiPriority w:val="9"/>
    <w:unhideWhenUsed/>
    <w:qFormat/>
    <w:rsid w:val="00B76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uiPriority w:val="99"/>
    <w:rPr>
      <w:vertAlign w:val="superscript"/>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FootnoteText">
    <w:name w:val="footnote text"/>
    <w:basedOn w:val="Normal"/>
  </w:style>
  <w:style w:type="paragraph" w:styleId="BalloonText">
    <w:name w:val="Balloon Text"/>
    <w:basedOn w:val="Normal"/>
    <w:link w:val="BalloonTextChar"/>
    <w:uiPriority w:val="99"/>
    <w:semiHidden/>
    <w:unhideWhenUsed/>
    <w:rsid w:val="00C173C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C173C8"/>
    <w:rPr>
      <w:rFonts w:ascii="Lucida Grande" w:hAnsi="Lucida Grande" w:cs="Lucida Grande"/>
      <w:sz w:val="18"/>
      <w:szCs w:val="18"/>
    </w:rPr>
  </w:style>
  <w:style w:type="paragraph" w:styleId="Header">
    <w:name w:val="header"/>
    <w:basedOn w:val="Normal"/>
    <w:link w:val="HeaderChar"/>
    <w:uiPriority w:val="99"/>
    <w:unhideWhenUsed/>
    <w:rsid w:val="00552729"/>
    <w:pPr>
      <w:tabs>
        <w:tab w:val="center" w:pos="4680"/>
        <w:tab w:val="right" w:pos="9360"/>
      </w:tabs>
    </w:pPr>
  </w:style>
  <w:style w:type="character" w:customStyle="1" w:styleId="HeaderChar">
    <w:name w:val="Header Char"/>
    <w:basedOn w:val="DefaultParagraphFont"/>
    <w:link w:val="Header"/>
    <w:uiPriority w:val="99"/>
    <w:rsid w:val="00552729"/>
  </w:style>
  <w:style w:type="paragraph" w:styleId="Footer">
    <w:name w:val="footer"/>
    <w:basedOn w:val="Normal"/>
    <w:link w:val="FooterChar"/>
    <w:uiPriority w:val="99"/>
    <w:unhideWhenUsed/>
    <w:rsid w:val="00552729"/>
    <w:pPr>
      <w:tabs>
        <w:tab w:val="center" w:pos="4680"/>
        <w:tab w:val="right" w:pos="9360"/>
      </w:tabs>
    </w:pPr>
  </w:style>
  <w:style w:type="character" w:customStyle="1" w:styleId="FooterChar">
    <w:name w:val="Footer Char"/>
    <w:basedOn w:val="DefaultParagraphFont"/>
    <w:link w:val="Footer"/>
    <w:uiPriority w:val="99"/>
    <w:rsid w:val="00552729"/>
  </w:style>
  <w:style w:type="paragraph" w:styleId="Revision">
    <w:name w:val="Revision"/>
    <w:hidden/>
    <w:uiPriority w:val="71"/>
    <w:rsid w:val="00227758"/>
  </w:style>
  <w:style w:type="paragraph" w:styleId="EndnoteText">
    <w:name w:val="endnote text"/>
    <w:basedOn w:val="Normal"/>
    <w:link w:val="EndnoteTextChar"/>
    <w:uiPriority w:val="99"/>
    <w:unhideWhenUsed/>
    <w:rsid w:val="00790B90"/>
  </w:style>
  <w:style w:type="character" w:customStyle="1" w:styleId="EndnoteTextChar">
    <w:name w:val="Endnote Text Char"/>
    <w:basedOn w:val="DefaultParagraphFont"/>
    <w:link w:val="EndnoteText"/>
    <w:uiPriority w:val="99"/>
    <w:rsid w:val="00790B90"/>
  </w:style>
  <w:style w:type="character" w:styleId="Hyperlink">
    <w:name w:val="Hyperlink"/>
    <w:basedOn w:val="DefaultParagraphFont"/>
    <w:uiPriority w:val="99"/>
    <w:unhideWhenUsed/>
    <w:rsid w:val="000008D7"/>
    <w:rPr>
      <w:color w:val="0000FF"/>
      <w:u w:val="single"/>
    </w:rPr>
  </w:style>
  <w:style w:type="character" w:styleId="FollowedHyperlink">
    <w:name w:val="FollowedHyperlink"/>
    <w:basedOn w:val="DefaultParagraphFont"/>
    <w:uiPriority w:val="99"/>
    <w:semiHidden/>
    <w:unhideWhenUsed/>
    <w:rsid w:val="00205250"/>
    <w:rPr>
      <w:color w:val="954F72" w:themeColor="followedHyperlink"/>
      <w:u w:val="single"/>
    </w:rPr>
  </w:style>
  <w:style w:type="paragraph" w:styleId="Bibliography">
    <w:name w:val="Bibliography"/>
    <w:basedOn w:val="Normal"/>
    <w:next w:val="Normal"/>
    <w:uiPriority w:val="70"/>
    <w:rsid w:val="005F6A67"/>
  </w:style>
  <w:style w:type="character" w:styleId="PlaceholderText">
    <w:name w:val="Placeholder Text"/>
    <w:basedOn w:val="DefaultParagraphFont"/>
    <w:uiPriority w:val="99"/>
    <w:unhideWhenUsed/>
    <w:rsid w:val="00B76681"/>
    <w:rPr>
      <w:color w:val="808080"/>
    </w:rPr>
  </w:style>
  <w:style w:type="character" w:customStyle="1" w:styleId="Heading2Char">
    <w:name w:val="Heading 2 Char"/>
    <w:basedOn w:val="DefaultParagraphFont"/>
    <w:link w:val="Heading2"/>
    <w:uiPriority w:val="9"/>
    <w:rsid w:val="00B7668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76681"/>
    <w:rPr>
      <w:sz w:val="16"/>
      <w:szCs w:val="16"/>
    </w:rPr>
  </w:style>
  <w:style w:type="paragraph" w:styleId="CommentText">
    <w:name w:val="annotation text"/>
    <w:basedOn w:val="Normal"/>
    <w:link w:val="CommentTextChar"/>
    <w:uiPriority w:val="99"/>
    <w:semiHidden/>
    <w:unhideWhenUsed/>
    <w:rsid w:val="00B76681"/>
    <w:pPr>
      <w:spacing w:line="240" w:lineRule="auto"/>
    </w:pPr>
  </w:style>
  <w:style w:type="character" w:customStyle="1" w:styleId="CommentTextChar">
    <w:name w:val="Comment Text Char"/>
    <w:basedOn w:val="DefaultParagraphFont"/>
    <w:link w:val="CommentText"/>
    <w:uiPriority w:val="99"/>
    <w:semiHidden/>
    <w:rsid w:val="00B76681"/>
  </w:style>
  <w:style w:type="paragraph" w:styleId="CommentSubject">
    <w:name w:val="annotation subject"/>
    <w:basedOn w:val="CommentText"/>
    <w:next w:val="CommentText"/>
    <w:link w:val="CommentSubjectChar"/>
    <w:uiPriority w:val="99"/>
    <w:semiHidden/>
    <w:unhideWhenUsed/>
    <w:rsid w:val="00B76681"/>
    <w:rPr>
      <w:b/>
      <w:bCs/>
    </w:rPr>
  </w:style>
  <w:style w:type="character" w:customStyle="1" w:styleId="CommentSubjectChar">
    <w:name w:val="Comment Subject Char"/>
    <w:basedOn w:val="CommentTextChar"/>
    <w:link w:val="CommentSubject"/>
    <w:uiPriority w:val="99"/>
    <w:semiHidden/>
    <w:rsid w:val="00B76681"/>
    <w:rPr>
      <w:b/>
      <w:bCs/>
    </w:rPr>
  </w:style>
  <w:style w:type="character" w:styleId="UnresolvedMention">
    <w:name w:val="Unresolved Mention"/>
    <w:basedOn w:val="DefaultParagraphFont"/>
    <w:uiPriority w:val="99"/>
    <w:semiHidden/>
    <w:unhideWhenUsed/>
    <w:rsid w:val="00B273C2"/>
    <w:rPr>
      <w:color w:val="605E5C"/>
      <w:shd w:val="clear" w:color="auto" w:fill="E1DFDD"/>
    </w:rPr>
  </w:style>
  <w:style w:type="character" w:customStyle="1" w:styleId="item-name">
    <w:name w:val="item-name"/>
    <w:basedOn w:val="DefaultParagraphFont"/>
    <w:rsid w:val="009D7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10533">
      <w:bodyDiv w:val="1"/>
      <w:marLeft w:val="0"/>
      <w:marRight w:val="0"/>
      <w:marTop w:val="0"/>
      <w:marBottom w:val="0"/>
      <w:divBdr>
        <w:top w:val="none" w:sz="0" w:space="0" w:color="auto"/>
        <w:left w:val="none" w:sz="0" w:space="0" w:color="auto"/>
        <w:bottom w:val="none" w:sz="0" w:space="0" w:color="auto"/>
        <w:right w:val="none" w:sz="0" w:space="0" w:color="auto"/>
      </w:divBdr>
    </w:div>
    <w:div w:id="1182817368">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13" TargetMode="External"/><Relationship Id="rId4" Type="http://schemas.openxmlformats.org/officeDocument/2006/relationships/webSettings" Target="webSettings.xml"/><Relationship Id="rId9" Type="http://schemas.openxmlformats.org/officeDocument/2006/relationships/hyperlink" Target="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CC39D-67F9-4426-BCFB-07E65DC0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cp:lastModifiedBy>sheila berg</cp:lastModifiedBy>
  <cp:revision>63</cp:revision>
  <cp:lastPrinted>2018-10-29T16:37:00Z</cp:lastPrinted>
  <dcterms:created xsi:type="dcterms:W3CDTF">2018-10-29T15:39:00Z</dcterms:created>
  <dcterms:modified xsi:type="dcterms:W3CDTF">2020-06-03T23:20:00Z</dcterms:modified>
</cp:coreProperties>
</file>