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52002" w14:textId="39514AB3" w:rsidR="00CE699D" w:rsidRDefault="00CE699D" w:rsidP="00CE699D">
      <w:pPr>
        <w:rPr>
          <w:b/>
          <w:bCs/>
        </w:rPr>
      </w:pPr>
      <w:r>
        <w:rPr>
          <w:b/>
          <w:bCs/>
        </w:rPr>
        <w:t>Anthony Shewmake</w:t>
      </w:r>
    </w:p>
    <w:p w14:paraId="1458A60F" w14:textId="229746F9" w:rsidR="00CE699D" w:rsidRDefault="00CE699D" w:rsidP="00CE699D">
      <w:pPr>
        <w:rPr>
          <w:b/>
          <w:bCs/>
        </w:rPr>
      </w:pPr>
      <w:r>
        <w:rPr>
          <w:b/>
          <w:bCs/>
        </w:rPr>
        <w:t>06/06/2026</w:t>
      </w:r>
    </w:p>
    <w:p w14:paraId="5E1F2A39" w14:textId="77777777" w:rsidR="00A43C72" w:rsidRPr="00A43C72" w:rsidRDefault="00A43C72" w:rsidP="00A43C72">
      <w:pPr>
        <w:rPr>
          <w:b/>
          <w:bCs/>
        </w:rPr>
      </w:pPr>
      <w:r w:rsidRPr="00A43C72">
        <w:rPr>
          <w:b/>
          <w:bCs/>
        </w:rPr>
        <w:t>5-2 Milestone Four: Enhancement Three: Databases</w:t>
      </w:r>
    </w:p>
    <w:p w14:paraId="7EFEB8EB" w14:textId="77777777" w:rsidR="00CE699D" w:rsidRDefault="00CE699D" w:rsidP="00CE699D">
      <w:pPr>
        <w:rPr>
          <w:b/>
          <w:bCs/>
        </w:rPr>
      </w:pPr>
    </w:p>
    <w:p w14:paraId="04082110" w14:textId="7A36750B" w:rsidR="00CE699D" w:rsidRPr="00CE699D" w:rsidRDefault="00CE699D" w:rsidP="00CE699D">
      <w:pPr>
        <w:rPr>
          <w:b/>
          <w:bCs/>
        </w:rPr>
      </w:pPr>
      <w:r w:rsidRPr="00CE699D">
        <w:rPr>
          <w:b/>
          <w:bCs/>
        </w:rPr>
        <w:t>1. Description of the Artifact</w:t>
      </w:r>
    </w:p>
    <w:p w14:paraId="46E913D1" w14:textId="77777777" w:rsidR="00CE699D" w:rsidRPr="00CE699D" w:rsidRDefault="00CE699D" w:rsidP="00CE699D">
      <w:r w:rsidRPr="00CE699D">
        <w:t>The artifact chosen for this structural database enhancement is a multi-component backend service layer consisting of three primary domain modules: Appointment, Contact, and Task. This system operates as an enterprise backend engine designed to validate, mutate, persist, and recover complex business data structures within client tracking and scheduling ecosystems.</w:t>
      </w:r>
    </w:p>
    <w:p w14:paraId="76AA0AD2" w14:textId="77777777" w:rsidR="00CE699D" w:rsidRPr="00CE699D" w:rsidRDefault="00CE699D" w:rsidP="00CE699D">
      <w:r w:rsidRPr="00CE699D">
        <w:t xml:space="preserve">The baseline architecture was originally constructed as a final project submission during previous undergraduate coursework in </w:t>
      </w:r>
      <w:r w:rsidRPr="00CE699D">
        <w:rPr>
          <w:b/>
          <w:bCs/>
        </w:rPr>
        <w:t>CS-320 (Software Test Automation and QA)</w:t>
      </w:r>
      <w:r w:rsidRPr="00CE699D">
        <w:t>. In its initial state, the backend application entirely lacked persistent storage mechanics. Data lifecycle states were completely volatile and transient, relying on standard Java HashMap collections to track records within system memory. Consequently, any records created or modified existed only within volatile RAM and vanished completely upon application termination or system failure.</w:t>
      </w:r>
    </w:p>
    <w:p w14:paraId="746E0895" w14:textId="77777777" w:rsidR="00CE699D" w:rsidRPr="00CE699D" w:rsidRDefault="00CE699D" w:rsidP="00CE699D">
      <w:pPr>
        <w:rPr>
          <w:b/>
          <w:bCs/>
        </w:rPr>
      </w:pPr>
      <w:r w:rsidRPr="00CE699D">
        <w:rPr>
          <w:b/>
          <w:bCs/>
        </w:rPr>
        <w:t>2. Justification for Inclusion and Skill Showcase</w:t>
      </w:r>
    </w:p>
    <w:p w14:paraId="3C4C245B" w14:textId="77777777" w:rsidR="00CE699D" w:rsidRPr="00CE699D" w:rsidRDefault="00CE699D" w:rsidP="00CE699D">
      <w:r w:rsidRPr="00CE699D">
        <w:t xml:space="preserve">This artifact is included in my professional </w:t>
      </w:r>
      <w:proofErr w:type="spellStart"/>
      <w:r w:rsidRPr="00CE699D">
        <w:t>ePortfolio</w:t>
      </w:r>
      <w:proofErr w:type="spellEnd"/>
      <w:r w:rsidRPr="00CE699D">
        <w:t xml:space="preserve"> to demonstrate advanced competency in Object-Relational Mapping (ORM) frameworks, database schema construction, transactional boundary controls, and the defensive management of data persistence integrity. Transforming a transient in-memory utility script into a production-ready, relational database backend highlights my ability to implement durable computing practices that scale efficiently and deliver measurable industry value.</w:t>
      </w:r>
    </w:p>
    <w:p w14:paraId="501B8402" w14:textId="77777777" w:rsidR="00CE699D" w:rsidRPr="00CE699D" w:rsidRDefault="00CE699D" w:rsidP="00CE699D">
      <w:pPr>
        <w:rPr>
          <w:b/>
          <w:bCs/>
        </w:rPr>
      </w:pPr>
      <w:r w:rsidRPr="00CE699D">
        <w:rPr>
          <w:b/>
          <w:bCs/>
        </w:rPr>
        <w:t>Component-Specific Enhancements &amp; Showcased Skills</w:t>
      </w:r>
    </w:p>
    <w:p w14:paraId="4AA42F78" w14:textId="77777777" w:rsidR="00CE699D" w:rsidRPr="00CE699D" w:rsidRDefault="00CE699D" w:rsidP="00CE699D">
      <w:pPr>
        <w:numPr>
          <w:ilvl w:val="0"/>
          <w:numId w:val="5"/>
        </w:numPr>
      </w:pPr>
      <w:r w:rsidRPr="00CE699D">
        <w:rPr>
          <w:b/>
          <w:bCs/>
        </w:rPr>
        <w:t>Transition to Durable relational Architecture:</w:t>
      </w:r>
      <w:r w:rsidRPr="00CE699D">
        <w:t xml:space="preserve"> I completely stripped out the legacy HashMap storage variables from the service layer. By integrating standard Spring Data JPA and Hibernate ORM frameworks, the application connects directly to a relational schema, guaranteeing total data durability across system lifecycles.</w:t>
      </w:r>
    </w:p>
    <w:p w14:paraId="17BDFA45" w14:textId="77777777" w:rsidR="00CE699D" w:rsidRPr="00CE699D" w:rsidRDefault="00CE699D" w:rsidP="00CE699D">
      <w:pPr>
        <w:numPr>
          <w:ilvl w:val="0"/>
          <w:numId w:val="5"/>
        </w:numPr>
      </w:pPr>
      <w:r w:rsidRPr="00CE699D">
        <w:rPr>
          <w:b/>
          <w:bCs/>
        </w:rPr>
        <w:t>Object-Relational Mapping (ORM) Implementation:</w:t>
      </w:r>
      <w:r w:rsidRPr="00CE699D">
        <w:t xml:space="preserve"> The plain Java model classes were refactored into fully managed @Entity structures mapped to physical SQL database tables (appointments, contacts, tasks). Using standard annotations such </w:t>
      </w:r>
      <w:r w:rsidRPr="00CE699D">
        <w:lastRenderedPageBreak/>
        <w:t>as @Id and @Table, I bridged object-oriented domain states straight to relational storage schemas.</w:t>
      </w:r>
    </w:p>
    <w:p w14:paraId="6E36DD37" w14:textId="77777777" w:rsidR="00CE699D" w:rsidRPr="00CE699D" w:rsidRDefault="00CE699D" w:rsidP="00CE699D">
      <w:pPr>
        <w:numPr>
          <w:ilvl w:val="0"/>
          <w:numId w:val="5"/>
        </w:numPr>
      </w:pPr>
      <w:r w:rsidRPr="00CE699D">
        <w:rPr>
          <w:b/>
          <w:bCs/>
        </w:rPr>
        <w:t>Schema Boundary and Constraint Enforcement:</w:t>
      </w:r>
      <w:r w:rsidRPr="00CE699D">
        <w:t xml:space="preserve"> To secure data integrity at the persistent database tier, I explicitly declared column limits and nullability parameters using annotations </w:t>
      </w:r>
      <w:proofErr w:type="gramStart"/>
      <w:r w:rsidRPr="00CE699D">
        <w:t>like @Column(</w:t>
      </w:r>
      <w:proofErr w:type="gramEnd"/>
      <w:r w:rsidRPr="00CE699D">
        <w:t>length = X, nullable = false). These schema-level boundaries mirror my application-layer validations, ensuring corrupted or malicious arguments are rejected at the data perimeter.</w:t>
      </w:r>
    </w:p>
    <w:p w14:paraId="49D17101" w14:textId="77777777" w:rsidR="00CE699D" w:rsidRPr="00CE699D" w:rsidRDefault="00CE699D" w:rsidP="00CE699D">
      <w:pPr>
        <w:numPr>
          <w:ilvl w:val="0"/>
          <w:numId w:val="5"/>
        </w:numPr>
      </w:pPr>
      <w:r w:rsidRPr="00CE699D">
        <w:rPr>
          <w:b/>
          <w:bCs/>
        </w:rPr>
        <w:t>Declarative Transaction Management:</w:t>
      </w:r>
      <w:r w:rsidRPr="00CE699D">
        <w:t xml:space="preserve"> I applied @Transactional boundaries directly across the service classes to guarantee strict compliance with </w:t>
      </w:r>
      <w:r w:rsidRPr="00CE699D">
        <w:rPr>
          <w:b/>
          <w:bCs/>
        </w:rPr>
        <w:t>ACID (Atomicity, Consistency, Isolation, Durability)</w:t>
      </w:r>
      <w:r w:rsidRPr="00CE699D">
        <w:t xml:space="preserve"> principles. If an error or execution fault occurs midway through a multi-step update pipeline, the transaction manager issues an automatic database ROLLBACK, preventing partial writes and structural data corruption.</w:t>
      </w:r>
    </w:p>
    <w:p w14:paraId="02E90E1B" w14:textId="77777777" w:rsidR="00CE699D" w:rsidRPr="00CE699D" w:rsidRDefault="00CE699D" w:rsidP="00CE699D">
      <w:pPr>
        <w:numPr>
          <w:ilvl w:val="0"/>
          <w:numId w:val="5"/>
        </w:numPr>
      </w:pPr>
      <w:r w:rsidRPr="00CE699D">
        <w:rPr>
          <w:b/>
          <w:bCs/>
        </w:rPr>
        <w:t>Defensive Error Handling and API Refactoring:</w:t>
      </w:r>
      <w:r w:rsidRPr="00CE699D">
        <w:t xml:space="preserve"> In this milestone phase, I replaced generic runtime exceptions with a custom domain exception hierarchy consisting of </w:t>
      </w:r>
      <w:proofErr w:type="spellStart"/>
      <w:r w:rsidRPr="00CE699D">
        <w:t>EntityNotFoundException</w:t>
      </w:r>
      <w:proofErr w:type="spellEnd"/>
      <w:r w:rsidRPr="00CE699D">
        <w:t xml:space="preserve"> and </w:t>
      </w:r>
      <w:proofErr w:type="spellStart"/>
      <w:r w:rsidRPr="00CE699D">
        <w:t>DuplicateEntityException</w:t>
      </w:r>
      <w:proofErr w:type="spellEnd"/>
      <w:r w:rsidRPr="00CE699D">
        <w:t>. Intercepting lookups and mutation errors with explicit, custom exceptions ensures that the application layer handles relational failures cleanly, avoiding the leakage of native JVM stack traces to the end user.</w:t>
      </w:r>
    </w:p>
    <w:p w14:paraId="41CED403" w14:textId="77777777" w:rsidR="00CE699D" w:rsidRPr="00CE699D" w:rsidRDefault="00CE699D" w:rsidP="00CE699D">
      <w:pPr>
        <w:numPr>
          <w:ilvl w:val="0"/>
          <w:numId w:val="5"/>
        </w:numPr>
      </w:pPr>
      <w:r w:rsidRPr="00CE699D">
        <w:rPr>
          <w:b/>
          <w:bCs/>
        </w:rPr>
        <w:t>Query Performance Optimization:</w:t>
      </w:r>
      <w:r w:rsidRPr="00CE699D">
        <w:t xml:space="preserve"> By inheriting Spring’s </w:t>
      </w:r>
      <w:proofErr w:type="spellStart"/>
      <w:r w:rsidRPr="00CE699D">
        <w:t>JpaRepository</w:t>
      </w:r>
      <w:proofErr w:type="spellEnd"/>
      <w:r w:rsidRPr="00CE699D">
        <w:t xml:space="preserve"> interface, I replaced legacy, linear-time sequential search loops ($O(n)$ complexity) with index-backed SQL lookup queries. This leverages the database engine's internal B-Tree configurations to find records in logarithmic time ($</w:t>
      </w:r>
      <w:proofErr w:type="gramStart"/>
      <w:r w:rsidRPr="00CE699D">
        <w:t>O(</w:t>
      </w:r>
      <w:proofErr w:type="gramEnd"/>
      <w:r w:rsidRPr="00CE699D">
        <w:t xml:space="preserve">\log </w:t>
      </w:r>
      <w:proofErr w:type="gramStart"/>
      <w:r w:rsidRPr="00CE699D">
        <w:t>n)$</w:t>
      </w:r>
      <w:proofErr w:type="gramEnd"/>
      <w:r w:rsidRPr="00CE699D">
        <w:t>), maximizing data retrieval efficiency.</w:t>
      </w:r>
    </w:p>
    <w:p w14:paraId="36A84565" w14:textId="77777777" w:rsidR="00CE699D" w:rsidRPr="00CE699D" w:rsidRDefault="00CE699D" w:rsidP="00CE699D">
      <w:pPr>
        <w:rPr>
          <w:b/>
          <w:bCs/>
        </w:rPr>
      </w:pPr>
      <w:r w:rsidRPr="00CE699D">
        <w:rPr>
          <w:b/>
          <w:bCs/>
        </w:rPr>
        <w:t>3. Analysis of Course Outcomes Coverage</w:t>
      </w:r>
    </w:p>
    <w:p w14:paraId="707AF70D" w14:textId="77777777" w:rsidR="00CE699D" w:rsidRPr="00CE699D" w:rsidRDefault="00CE699D" w:rsidP="00CE699D">
      <w:r w:rsidRPr="00CE699D">
        <w:t>The technical database and persistence layer enhancements completed during this milestone phase demonstrate measurable progress toward satisfying several core SNHU Computer Science Program Outcomes:</w:t>
      </w:r>
    </w:p>
    <w:p w14:paraId="386492E0" w14:textId="77777777" w:rsidR="00CE699D" w:rsidRPr="00CE699D" w:rsidRDefault="00CE699D" w:rsidP="00CE699D">
      <w:pPr>
        <w:numPr>
          <w:ilvl w:val="0"/>
          <w:numId w:val="6"/>
        </w:numPr>
      </w:pPr>
      <w:r w:rsidRPr="00CE699D">
        <w:rPr>
          <w:b/>
          <w:bCs/>
        </w:rPr>
        <w:t>Demonstrate an ability to use well-founded and innovative techniques, skills, and tools in computing practices for the purpose of implementing computer solutions that deliver value and accomplish industry-specific goals (Outcome 4):</w:t>
      </w:r>
      <w:r w:rsidRPr="00CE699D">
        <w:t xml:space="preserve"> This outcome was directly met by refactoring out volatile, memory-bound variables and incorporating Spring Data JPA, Maven dependency lifecycles, and Hibernate ORM tools (Southern New Hampshire University, 2026). Migrating the </w:t>
      </w:r>
      <w:r w:rsidRPr="00CE699D">
        <w:lastRenderedPageBreak/>
        <w:t xml:space="preserve">application to an automated, persistent SQL data tier implements industry-standard software patterns necessary for real-world enterprise deployments. </w:t>
      </w:r>
    </w:p>
    <w:p w14:paraId="05637D9C" w14:textId="77777777" w:rsidR="00CE699D" w:rsidRPr="00CE699D" w:rsidRDefault="00CE699D" w:rsidP="00CE699D">
      <w:pPr>
        <w:numPr>
          <w:ilvl w:val="0"/>
          <w:numId w:val="6"/>
        </w:numPr>
      </w:pPr>
      <w:r w:rsidRPr="00CE699D">
        <w:rPr>
          <w:b/>
          <w:bCs/>
        </w:rPr>
        <w:t>Develop a security mindset that anticipates adversarial exploits in software architecture and designs to expose potential vulnerabilities, mitigate design flaws, and ensure privacy and enhanced security of data and resources (Outcome 5):</w:t>
      </w:r>
      <w:r w:rsidRPr="00CE699D">
        <w:t xml:space="preserve"> Securing application records inside an index-backed relational layer significantly improves data privacy and system resilience. Enforcing data types, field lengths, and nullability properties directly within the physical database schema provides a vital second line of defense that neutralizes unauthorized data manipulation or SQL parameter injection attempts.</w:t>
      </w:r>
    </w:p>
    <w:p w14:paraId="54D6822B" w14:textId="77777777" w:rsidR="00CE699D" w:rsidRPr="00CE699D" w:rsidRDefault="00CE699D" w:rsidP="00CE699D">
      <w:pPr>
        <w:numPr>
          <w:ilvl w:val="0"/>
          <w:numId w:val="6"/>
        </w:numPr>
      </w:pPr>
      <w:r w:rsidRPr="00CE699D">
        <w:rPr>
          <w:b/>
          <w:bCs/>
        </w:rPr>
        <w:t>Design, develop, and deliver professional-quality oral, written, and visual communications that are coherent, technically sound, and appropriately adapted to specific audiences and contexts (Outcome 2):</w:t>
      </w:r>
      <w:r w:rsidRPr="00CE699D">
        <w:t xml:space="preserve"> Documenting this complete persistence migration lifecycle using explicit </w:t>
      </w:r>
      <w:proofErr w:type="spellStart"/>
      <w:r w:rsidRPr="00CE699D">
        <w:t>JavaDoc</w:t>
      </w:r>
      <w:proofErr w:type="spellEnd"/>
      <w:r w:rsidRPr="00CE699D">
        <w:t xml:space="preserve"> notations, structured exception-mapping hierarchies, and decoupled testing paradigms demonstrates a clear capacity to deliver technically sound communications tailored for professional software engineering audiences.</w:t>
      </w:r>
    </w:p>
    <w:p w14:paraId="444C83D0" w14:textId="77777777" w:rsidR="00CE699D" w:rsidRPr="00CE699D" w:rsidRDefault="00CE699D" w:rsidP="00CE699D">
      <w:pPr>
        <w:rPr>
          <w:b/>
          <w:bCs/>
        </w:rPr>
      </w:pPr>
      <w:r w:rsidRPr="00CE699D">
        <w:rPr>
          <w:b/>
          <w:bCs/>
        </w:rPr>
        <w:t>4. Reflection on the Modification Process</w:t>
      </w:r>
    </w:p>
    <w:p w14:paraId="46699462" w14:textId="77777777" w:rsidR="00CE699D" w:rsidRPr="00CE699D" w:rsidRDefault="00CE699D" w:rsidP="00CE699D">
      <w:r w:rsidRPr="00CE699D">
        <w:t>Refactoring the core data engine from an in-memory prototype to a persistent database model provided critical insights into software decoupling and data tier safety boundaries.</w:t>
      </w:r>
    </w:p>
    <w:p w14:paraId="5B6E5AED" w14:textId="77777777" w:rsidR="00CE699D" w:rsidRPr="00CE699D" w:rsidRDefault="00CE699D" w:rsidP="00CE699D">
      <w:pPr>
        <w:rPr>
          <w:b/>
          <w:bCs/>
        </w:rPr>
      </w:pPr>
      <w:r w:rsidRPr="00CE699D">
        <w:rPr>
          <w:b/>
          <w:bCs/>
        </w:rPr>
        <w:t>Key Learnings</w:t>
      </w:r>
    </w:p>
    <w:p w14:paraId="33A32272" w14:textId="77777777" w:rsidR="00CE699D" w:rsidRPr="00CE699D" w:rsidRDefault="00CE699D" w:rsidP="00CE699D">
      <w:pPr>
        <w:numPr>
          <w:ilvl w:val="0"/>
          <w:numId w:val="7"/>
        </w:numPr>
      </w:pPr>
      <w:r w:rsidRPr="00CE699D">
        <w:rPr>
          <w:b/>
          <w:bCs/>
        </w:rPr>
        <w:t>Decoupling Business Logic from Storage:</w:t>
      </w:r>
      <w:r w:rsidRPr="00CE699D">
        <w:t xml:space="preserve"> Working through the database integration reinforced the importance of the Single Responsibility Principle and the Separation of Concerns. Moving storage duties into a dedicated repository layer leaves the service tier completely free to handle data processing and validation rules.</w:t>
      </w:r>
    </w:p>
    <w:p w14:paraId="146D3BEB" w14:textId="77777777" w:rsidR="00CE699D" w:rsidRPr="00CE699D" w:rsidRDefault="00CE699D" w:rsidP="00CE699D">
      <w:pPr>
        <w:numPr>
          <w:ilvl w:val="0"/>
          <w:numId w:val="7"/>
        </w:numPr>
      </w:pPr>
      <w:r w:rsidRPr="00CE699D">
        <w:rPr>
          <w:b/>
          <w:bCs/>
        </w:rPr>
        <w:t>ORM Entity Lifecycle States:</w:t>
      </w:r>
      <w:r w:rsidRPr="00CE699D">
        <w:t xml:space="preserve"> I gained a much deeper understanding of how ORM frameworks track entity state changes, manage active connection pools, auto-generate relational schemas, and enforce structural data validations between Java runtimes and database tables (Richardson, 2018).</w:t>
      </w:r>
    </w:p>
    <w:p w14:paraId="3DA06B4E" w14:textId="77777777" w:rsidR="00CE699D" w:rsidRPr="00CE699D" w:rsidRDefault="00CE699D" w:rsidP="00CE699D">
      <w:pPr>
        <w:rPr>
          <w:b/>
          <w:bCs/>
        </w:rPr>
      </w:pPr>
      <w:r w:rsidRPr="00CE699D">
        <w:rPr>
          <w:b/>
          <w:bCs/>
        </w:rPr>
        <w:t>Overcoming Technical Challenges</w:t>
      </w:r>
    </w:p>
    <w:p w14:paraId="4E416D5F" w14:textId="77777777" w:rsidR="00CE699D" w:rsidRPr="00CE699D" w:rsidRDefault="00CE699D" w:rsidP="00CE699D">
      <w:pPr>
        <w:numPr>
          <w:ilvl w:val="0"/>
          <w:numId w:val="8"/>
        </w:numPr>
      </w:pPr>
      <w:r w:rsidRPr="00CE699D">
        <w:rPr>
          <w:b/>
          <w:bCs/>
        </w:rPr>
        <w:t>Ensuring Database Transaction Rollback Safety:</w:t>
      </w:r>
      <w:r w:rsidRPr="00CE699D">
        <w:t xml:space="preserve"> One of the main challenges I faced during this database integration was handling transaction boundaries over multi-tier modification tasks. If a service operation partially updated an entity but </w:t>
      </w:r>
      <w:r w:rsidRPr="00CE699D">
        <w:lastRenderedPageBreak/>
        <w:t>failed midway due to a subsequent length rule or constraint violation, the relational data tier risked getting trapped in a corrupted or asymmetrical state. I resolved this design vulnerability by applying atomic, declarative @Transactional management filters across the entire service structure. This forces full commit-or-rollback execution routines that guarantee database safety across all service endpoints.</w:t>
      </w:r>
    </w:p>
    <w:p w14:paraId="3F0DADC7" w14:textId="77777777" w:rsidR="00CE699D" w:rsidRDefault="00CE699D" w:rsidP="00CE699D">
      <w:pPr>
        <w:numPr>
          <w:ilvl w:val="0"/>
          <w:numId w:val="8"/>
        </w:numPr>
      </w:pPr>
      <w:r w:rsidRPr="00CE699D">
        <w:rPr>
          <w:b/>
          <w:bCs/>
        </w:rPr>
        <w:t>Isolating Unit Tests from Database Overhead:</w:t>
      </w:r>
      <w:r w:rsidRPr="00CE699D">
        <w:t xml:space="preserve"> Another obstacle was preventing my automated testing suites from requiring a live, external database server during every local test compilation run, which can cause slow testing execution or test brittleness. I resolved this by leveraging Mockito frameworks inside my service test files (</w:t>
      </w:r>
      <w:proofErr w:type="spellStart"/>
      <w:r w:rsidRPr="00CE699D">
        <w:t>AppointmentServiceTest</w:t>
      </w:r>
      <w:proofErr w:type="spellEnd"/>
      <w:r w:rsidRPr="00CE699D">
        <w:t xml:space="preserve">, </w:t>
      </w:r>
      <w:proofErr w:type="spellStart"/>
      <w:r w:rsidRPr="00CE699D">
        <w:t>ContactServiceTest</w:t>
      </w:r>
      <w:proofErr w:type="spellEnd"/>
      <w:r w:rsidRPr="00CE699D">
        <w:t xml:space="preserve">, </w:t>
      </w:r>
      <w:proofErr w:type="spellStart"/>
      <w:r w:rsidRPr="00CE699D">
        <w:t>TaskServiceTest</w:t>
      </w:r>
      <w:proofErr w:type="spellEnd"/>
      <w:r w:rsidRPr="00CE699D">
        <w:t>) to isolate our business logic checking. This allows the unit tests to mock repository behavior and verify application workflows flawlessly without any real disk-access or network overhead.</w:t>
      </w:r>
    </w:p>
    <w:p w14:paraId="5F8486DB" w14:textId="77777777" w:rsidR="00CE699D" w:rsidRPr="00CE699D" w:rsidRDefault="00CE699D" w:rsidP="000C22C2">
      <w:pPr>
        <w:ind w:left="720"/>
      </w:pPr>
    </w:p>
    <w:p w14:paraId="0AD08416" w14:textId="77777777" w:rsidR="00CE699D" w:rsidRPr="00CE699D" w:rsidRDefault="00CE699D" w:rsidP="00CE699D">
      <w:pPr>
        <w:rPr>
          <w:b/>
          <w:bCs/>
        </w:rPr>
      </w:pPr>
      <w:r w:rsidRPr="00CE699D">
        <w:rPr>
          <w:b/>
          <w:bCs/>
        </w:rPr>
        <w:t>References</w:t>
      </w:r>
    </w:p>
    <w:p w14:paraId="7C67FCD5" w14:textId="77777777" w:rsidR="00CE699D" w:rsidRPr="00CE699D" w:rsidRDefault="00CE699D" w:rsidP="00CE699D">
      <w:r w:rsidRPr="00CE699D">
        <w:t xml:space="preserve">Nakamoto, S. (2008). </w:t>
      </w:r>
      <w:r w:rsidRPr="00CE699D">
        <w:rPr>
          <w:i/>
          <w:iCs/>
        </w:rPr>
        <w:t>Bitcoin: A peer-to-peer electronic cash system</w:t>
      </w:r>
      <w:r w:rsidRPr="00CE699D">
        <w:t xml:space="preserve">. Bitcoin.org. </w:t>
      </w:r>
      <w:hyperlink r:id="rId5" w:tgtFrame="_blank" w:history="1">
        <w:r w:rsidRPr="00CE699D">
          <w:rPr>
            <w:rStyle w:val="Hyperlink"/>
          </w:rPr>
          <w:t>https://bitcoin.org/bitcoin.pdf</w:t>
        </w:r>
      </w:hyperlink>
    </w:p>
    <w:p w14:paraId="3C5B641A" w14:textId="77777777" w:rsidR="00CE699D" w:rsidRPr="00CE699D" w:rsidRDefault="00CE699D" w:rsidP="00CE699D">
      <w:r w:rsidRPr="00CE699D">
        <w:t xml:space="preserve">Richardson, C. (2018). </w:t>
      </w:r>
      <w:r w:rsidRPr="00CE699D">
        <w:rPr>
          <w:i/>
          <w:iCs/>
        </w:rPr>
        <w:t>Microservices patterns: With examples in Java</w:t>
      </w:r>
      <w:r w:rsidRPr="00CE699D">
        <w:t>. Manning Publications.</w:t>
      </w:r>
    </w:p>
    <w:p w14:paraId="191C0281" w14:textId="77777777" w:rsidR="00CE699D" w:rsidRPr="00CE699D" w:rsidRDefault="00CE699D" w:rsidP="00CE699D">
      <w:r w:rsidRPr="00CE699D">
        <w:t xml:space="preserve">Southern New Hampshire University. (2026). </w:t>
      </w:r>
      <w:r w:rsidRPr="00CE699D">
        <w:rPr>
          <w:i/>
          <w:iCs/>
        </w:rPr>
        <w:t>CS 499: Computer science capstone final project guidelines and rubric</w:t>
      </w:r>
      <w:r w:rsidRPr="00CE699D">
        <w:t>. SNHU Academic Archive.</w:t>
      </w:r>
    </w:p>
    <w:p w14:paraId="55368C05" w14:textId="77777777" w:rsidR="00073B82" w:rsidRDefault="00073B82"/>
    <w:sectPr w:rsidR="00073B82" w:rsidSect="003C32D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C408E"/>
    <w:multiLevelType w:val="multilevel"/>
    <w:tmpl w:val="A38A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31EDD"/>
    <w:multiLevelType w:val="multilevel"/>
    <w:tmpl w:val="977E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4643D"/>
    <w:multiLevelType w:val="multilevel"/>
    <w:tmpl w:val="6A04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C4304"/>
    <w:multiLevelType w:val="multilevel"/>
    <w:tmpl w:val="413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B6413"/>
    <w:multiLevelType w:val="multilevel"/>
    <w:tmpl w:val="D32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64690"/>
    <w:multiLevelType w:val="multilevel"/>
    <w:tmpl w:val="9DE2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C558A9"/>
    <w:multiLevelType w:val="multilevel"/>
    <w:tmpl w:val="077A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67490"/>
    <w:multiLevelType w:val="multilevel"/>
    <w:tmpl w:val="EFBA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180945">
    <w:abstractNumId w:val="1"/>
  </w:num>
  <w:num w:numId="2" w16cid:durableId="1977681283">
    <w:abstractNumId w:val="5"/>
  </w:num>
  <w:num w:numId="3" w16cid:durableId="243302037">
    <w:abstractNumId w:val="0"/>
  </w:num>
  <w:num w:numId="4" w16cid:durableId="1732727736">
    <w:abstractNumId w:val="7"/>
  </w:num>
  <w:num w:numId="5" w16cid:durableId="1351296297">
    <w:abstractNumId w:val="3"/>
  </w:num>
  <w:num w:numId="6" w16cid:durableId="371810928">
    <w:abstractNumId w:val="6"/>
  </w:num>
  <w:num w:numId="7" w16cid:durableId="1136987407">
    <w:abstractNumId w:val="4"/>
  </w:num>
  <w:num w:numId="8" w16cid:durableId="1651786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F3A"/>
    <w:rsid w:val="00073B82"/>
    <w:rsid w:val="000C22C2"/>
    <w:rsid w:val="000F3F3A"/>
    <w:rsid w:val="001F7956"/>
    <w:rsid w:val="003C32D6"/>
    <w:rsid w:val="008B509D"/>
    <w:rsid w:val="00A43C72"/>
    <w:rsid w:val="00BE39A1"/>
    <w:rsid w:val="00CE699D"/>
    <w:rsid w:val="00D10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3CBF4"/>
  <w15:chartTrackingRefBased/>
  <w15:docId w15:val="{9752ABF3-FA0E-47A3-BE81-11EA319E2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F3A"/>
    <w:rPr>
      <w:rFonts w:eastAsiaTheme="majorEastAsia" w:cstheme="majorBidi"/>
      <w:color w:val="272727" w:themeColor="text1" w:themeTint="D8"/>
    </w:rPr>
  </w:style>
  <w:style w:type="paragraph" w:styleId="Title">
    <w:name w:val="Title"/>
    <w:basedOn w:val="Normal"/>
    <w:next w:val="Normal"/>
    <w:link w:val="TitleChar"/>
    <w:uiPriority w:val="10"/>
    <w:qFormat/>
    <w:rsid w:val="000F3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F3A"/>
    <w:pPr>
      <w:spacing w:before="160"/>
      <w:jc w:val="center"/>
    </w:pPr>
    <w:rPr>
      <w:i/>
      <w:iCs/>
      <w:color w:val="404040" w:themeColor="text1" w:themeTint="BF"/>
    </w:rPr>
  </w:style>
  <w:style w:type="character" w:customStyle="1" w:styleId="QuoteChar">
    <w:name w:val="Quote Char"/>
    <w:basedOn w:val="DefaultParagraphFont"/>
    <w:link w:val="Quote"/>
    <w:uiPriority w:val="29"/>
    <w:rsid w:val="000F3F3A"/>
    <w:rPr>
      <w:i/>
      <w:iCs/>
      <w:color w:val="404040" w:themeColor="text1" w:themeTint="BF"/>
    </w:rPr>
  </w:style>
  <w:style w:type="paragraph" w:styleId="ListParagraph">
    <w:name w:val="List Paragraph"/>
    <w:basedOn w:val="Normal"/>
    <w:uiPriority w:val="34"/>
    <w:qFormat/>
    <w:rsid w:val="000F3F3A"/>
    <w:pPr>
      <w:ind w:left="720"/>
      <w:contextualSpacing/>
    </w:pPr>
  </w:style>
  <w:style w:type="character" w:styleId="IntenseEmphasis">
    <w:name w:val="Intense Emphasis"/>
    <w:basedOn w:val="DefaultParagraphFont"/>
    <w:uiPriority w:val="21"/>
    <w:qFormat/>
    <w:rsid w:val="000F3F3A"/>
    <w:rPr>
      <w:i/>
      <w:iCs/>
      <w:color w:val="0F4761" w:themeColor="accent1" w:themeShade="BF"/>
    </w:rPr>
  </w:style>
  <w:style w:type="paragraph" w:styleId="IntenseQuote">
    <w:name w:val="Intense Quote"/>
    <w:basedOn w:val="Normal"/>
    <w:next w:val="Normal"/>
    <w:link w:val="IntenseQuoteChar"/>
    <w:uiPriority w:val="30"/>
    <w:qFormat/>
    <w:rsid w:val="000F3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F3A"/>
    <w:rPr>
      <w:i/>
      <w:iCs/>
      <w:color w:val="0F4761" w:themeColor="accent1" w:themeShade="BF"/>
    </w:rPr>
  </w:style>
  <w:style w:type="character" w:styleId="IntenseReference">
    <w:name w:val="Intense Reference"/>
    <w:basedOn w:val="DefaultParagraphFont"/>
    <w:uiPriority w:val="32"/>
    <w:qFormat/>
    <w:rsid w:val="000F3F3A"/>
    <w:rPr>
      <w:b/>
      <w:bCs/>
      <w:smallCaps/>
      <w:color w:val="0F4761" w:themeColor="accent1" w:themeShade="BF"/>
      <w:spacing w:val="5"/>
    </w:rPr>
  </w:style>
  <w:style w:type="character" w:styleId="Hyperlink">
    <w:name w:val="Hyperlink"/>
    <w:basedOn w:val="DefaultParagraphFont"/>
    <w:uiPriority w:val="99"/>
    <w:unhideWhenUsed/>
    <w:rsid w:val="00CE699D"/>
    <w:rPr>
      <w:color w:val="467886" w:themeColor="hyperlink"/>
      <w:u w:val="single"/>
    </w:rPr>
  </w:style>
  <w:style w:type="character" w:styleId="UnresolvedMention">
    <w:name w:val="Unresolved Mention"/>
    <w:basedOn w:val="DefaultParagraphFont"/>
    <w:uiPriority w:val="99"/>
    <w:semiHidden/>
    <w:unhideWhenUsed/>
    <w:rsid w:val="00CE69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itcoin.org/bitcoi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1242</Words>
  <Characters>7082</Characters>
  <Application>Microsoft Office Word</Application>
  <DocSecurity>0</DocSecurity>
  <Lines>59</Lines>
  <Paragraphs>16</Paragraphs>
  <ScaleCrop>false</ScaleCrop>
  <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 Anthony</dc:creator>
  <cp:keywords/>
  <dc:description/>
  <cp:lastModifiedBy>Shewmake, Anthony</cp:lastModifiedBy>
  <cp:revision>6</cp:revision>
  <dcterms:created xsi:type="dcterms:W3CDTF">2026-06-07T18:16:00Z</dcterms:created>
  <dcterms:modified xsi:type="dcterms:W3CDTF">2026-06-07T18:22:00Z</dcterms:modified>
</cp:coreProperties>
</file>