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96A" w:rsidRPr="00631569" w:rsidRDefault="00631569" w:rsidP="00631569">
      <w:pPr>
        <w:jc w:val="center"/>
        <w:rPr>
          <w:sz w:val="20"/>
          <w:szCs w:val="20"/>
        </w:rPr>
      </w:pPr>
      <w:r>
        <w:rPr>
          <w:sz w:val="20"/>
          <w:szCs w:val="20"/>
        </w:rPr>
        <w:br/>
      </w:r>
      <w:r w:rsidR="00CF150D" w:rsidRPr="00631569">
        <w:rPr>
          <w:noProof/>
          <w:sz w:val="20"/>
          <w:szCs w:val="20"/>
        </w:rPr>
        <w:drawing>
          <wp:anchor distT="0" distB="0" distL="114300" distR="114300" simplePos="0" relativeHeight="251662336" behindDoc="0" locked="0" layoutInCell="1" allowOverlap="1">
            <wp:simplePos x="0" y="0"/>
            <wp:positionH relativeFrom="column">
              <wp:posOffset>6851650</wp:posOffset>
            </wp:positionH>
            <wp:positionV relativeFrom="paragraph">
              <wp:posOffset>-307377</wp:posOffset>
            </wp:positionV>
            <wp:extent cx="393533" cy="54864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zheimer's awareness.png"/>
                    <pic:cNvPicPr/>
                  </pic:nvPicPr>
                  <pic:blipFill>
                    <a:blip r:embed="rId7">
                      <a:alphaModFix amt="85000"/>
                      <a:extLst>
                        <a:ext uri="{28A0092B-C50C-407E-A947-70E740481C1C}">
                          <a14:useLocalDpi xmlns:a14="http://schemas.microsoft.com/office/drawing/2010/main" val="0"/>
                        </a:ext>
                      </a:extLst>
                    </a:blip>
                    <a:stretch>
                      <a:fillRect/>
                    </a:stretch>
                  </pic:blipFill>
                  <pic:spPr>
                    <a:xfrm>
                      <a:off x="0" y="0"/>
                      <a:ext cx="393533" cy="548640"/>
                    </a:xfrm>
                    <a:prstGeom prst="rect">
                      <a:avLst/>
                    </a:prstGeom>
                  </pic:spPr>
                </pic:pic>
              </a:graphicData>
            </a:graphic>
            <wp14:sizeRelH relativeFrom="page">
              <wp14:pctWidth>0</wp14:pctWidth>
            </wp14:sizeRelH>
            <wp14:sizeRelV relativeFrom="page">
              <wp14:pctHeight>0</wp14:pctHeight>
            </wp14:sizeRelV>
          </wp:anchor>
        </w:drawing>
      </w:r>
      <w:r w:rsidR="001579E2" w:rsidRPr="00631569">
        <w:rPr>
          <w:sz w:val="20"/>
          <w:szCs w:val="20"/>
        </w:rPr>
        <w:t xml:space="preserve">When evaluating risk perceptions, defined as </w:t>
      </w:r>
      <w:r w:rsidR="00C73DB0" w:rsidRPr="00631569">
        <w:rPr>
          <w:sz w:val="20"/>
          <w:szCs w:val="20"/>
        </w:rPr>
        <w:t xml:space="preserve">one’s </w:t>
      </w:r>
      <w:r w:rsidR="001579E2" w:rsidRPr="00631569">
        <w:rPr>
          <w:sz w:val="20"/>
          <w:szCs w:val="20"/>
        </w:rPr>
        <w:t xml:space="preserve">“subjective judgment about the likelihood of negative occurrences” (Kim &amp; Choi, 2017, p. </w:t>
      </w:r>
      <w:r w:rsidR="006502FB" w:rsidRPr="00631569">
        <w:rPr>
          <w:sz w:val="20"/>
          <w:szCs w:val="20"/>
        </w:rPr>
        <w:t>773</w:t>
      </w:r>
      <w:r w:rsidR="00ED290B" w:rsidRPr="00631569">
        <w:rPr>
          <w:sz w:val="20"/>
          <w:szCs w:val="20"/>
        </w:rPr>
        <w:t xml:space="preserve">), </w:t>
      </w:r>
      <w:r w:rsidR="00FC198D" w:rsidRPr="00631569">
        <w:rPr>
          <w:sz w:val="20"/>
          <w:szCs w:val="20"/>
        </w:rPr>
        <w:t xml:space="preserve">of individuals, </w:t>
      </w:r>
      <w:r w:rsidR="00C73DB0" w:rsidRPr="00631569">
        <w:rPr>
          <w:sz w:val="20"/>
          <w:szCs w:val="20"/>
        </w:rPr>
        <w:t>physicians must take into consideration statistics, emotions, individual circumstances, and quality of information (Spencer, 2017).  Alzheimer</w:t>
      </w:r>
      <w:r w:rsidR="00C73DB0" w:rsidRPr="00631569">
        <w:rPr>
          <w:sz w:val="20"/>
          <w:szCs w:val="20"/>
        </w:rPr>
        <w:t xml:space="preserve"> </w:t>
      </w:r>
      <w:r w:rsidR="00FC198D" w:rsidRPr="00631569">
        <w:rPr>
          <w:sz w:val="20"/>
          <w:szCs w:val="20"/>
        </w:rPr>
        <w:t>(</w:t>
      </w:r>
      <w:r w:rsidR="00C73DB0" w:rsidRPr="00631569">
        <w:rPr>
          <w:sz w:val="20"/>
          <w:szCs w:val="20"/>
        </w:rPr>
        <w:t>a form of Dementia</w:t>
      </w:r>
      <w:r w:rsidR="00FC198D" w:rsidRPr="00631569">
        <w:rPr>
          <w:sz w:val="20"/>
          <w:szCs w:val="20"/>
        </w:rPr>
        <w:t>)</w:t>
      </w:r>
      <w:r w:rsidR="00C73DB0" w:rsidRPr="00631569">
        <w:rPr>
          <w:sz w:val="20"/>
          <w:szCs w:val="20"/>
        </w:rPr>
        <w:t xml:space="preserve"> patients experience debilitating symptoms effecting behavior, memory, and thinking (Spencer, 2017) and Alzheimer patients must be treated thoughtfully and with care by physicians when receiving information regarding themselves and associated risks.</w:t>
      </w:r>
    </w:p>
    <w:p w:rsidR="006A096A" w:rsidRPr="006A096A" w:rsidRDefault="003D548D" w:rsidP="006A096A">
      <w:pPr>
        <w:rPr>
          <w:b/>
          <w:color w:val="7030A0"/>
        </w:rPr>
      </w:pPr>
      <w:r w:rsidRPr="006A096A">
        <w:rPr>
          <w:b/>
          <w:color w:val="7030A0"/>
        </w:rPr>
        <w:t>Survival Rates</w:t>
      </w:r>
    </w:p>
    <w:p w:rsidR="006F15FA" w:rsidRPr="008F65BE" w:rsidRDefault="006F15FA" w:rsidP="006A096A">
      <w:pPr>
        <w:ind w:left="720"/>
        <w:rPr>
          <w:sz w:val="20"/>
          <w:szCs w:val="20"/>
        </w:rPr>
      </w:pPr>
      <w:r w:rsidRPr="001110DD">
        <w:rPr>
          <w:sz w:val="20"/>
          <w:szCs w:val="20"/>
        </w:rPr>
        <w:t>When communicating with Dementia patients, phy</w:t>
      </w:r>
      <w:r w:rsidR="001110DD" w:rsidRPr="001110DD">
        <w:rPr>
          <w:sz w:val="20"/>
          <w:szCs w:val="20"/>
        </w:rPr>
        <w:t>sicians should communicate with percentiles and ranks</w:t>
      </w:r>
      <w:r w:rsidR="00EA11F7">
        <w:rPr>
          <w:sz w:val="20"/>
          <w:szCs w:val="20"/>
        </w:rPr>
        <w:t>, related to survival,</w:t>
      </w:r>
      <w:r w:rsidR="001110DD" w:rsidRPr="001110DD">
        <w:rPr>
          <w:sz w:val="20"/>
          <w:szCs w:val="20"/>
        </w:rPr>
        <w:t xml:space="preserve"> to effectively convey the options and/or solutions decision-makers (the patients) are presented with (Harris, Lowenkamp, &amp; Hilton, 2015).  </w:t>
      </w:r>
      <w:r w:rsidR="001110DD">
        <w:rPr>
          <w:sz w:val="20"/>
          <w:szCs w:val="20"/>
        </w:rPr>
        <w:t>Since Dementia patients, specifically Alzheimer patients, are more than likely going to be accompanied to doctor visits by a loved one</w:t>
      </w:r>
      <w:r w:rsidR="005B4204">
        <w:rPr>
          <w:sz w:val="20"/>
          <w:szCs w:val="20"/>
        </w:rPr>
        <w:t xml:space="preserve"> or caregiver, the risks of treatments, alternate living options, and life expectancy should be relayed in a rate</w:t>
      </w:r>
      <w:r w:rsidR="00EA11F7">
        <w:rPr>
          <w:sz w:val="20"/>
          <w:szCs w:val="20"/>
        </w:rPr>
        <w:t>,</w:t>
      </w:r>
      <w:r w:rsidR="005B4204">
        <w:rPr>
          <w:sz w:val="20"/>
          <w:szCs w:val="20"/>
        </w:rPr>
        <w:t xml:space="preserve"> or percentage form, accompanied by temporary solutions/treatment options, as Alzheimer’s is not a curable disease (Spencer, 2017).  </w:t>
      </w:r>
      <w:r w:rsidR="00EA11F7">
        <w:rPr>
          <w:sz w:val="20"/>
          <w:szCs w:val="20"/>
        </w:rPr>
        <w:t xml:space="preserve">By communicating survival rates to caregiver/patient duos, physicians can be sure that accurate information has been received, and presented in a positive light, as “survival rates” are much easier to fathom when discussing a loved one than “death rates” and this relative risk reduction, framed encouragingly, </w:t>
      </w:r>
      <w:r w:rsidR="00B7513E">
        <w:rPr>
          <w:sz w:val="20"/>
          <w:szCs w:val="20"/>
        </w:rPr>
        <w:t xml:space="preserve">can create hope and confidence among family members/caregivers </w:t>
      </w:r>
      <w:r w:rsidR="00EA11F7">
        <w:rPr>
          <w:sz w:val="20"/>
          <w:szCs w:val="20"/>
        </w:rPr>
        <w:t xml:space="preserve">(Hoffrage &amp; Koller, 2015). </w:t>
      </w:r>
      <w:r w:rsidR="008F65BE">
        <w:rPr>
          <w:sz w:val="20"/>
          <w:szCs w:val="20"/>
        </w:rPr>
        <w:br/>
      </w:r>
    </w:p>
    <w:p w:rsidR="00CF150D" w:rsidRPr="006A096A" w:rsidRDefault="00D84AC7" w:rsidP="006A096A">
      <w:pPr>
        <w:ind w:left="720" w:hanging="720"/>
        <w:rPr>
          <w:b/>
          <w:color w:val="7030A0"/>
        </w:rPr>
      </w:pPr>
      <w:r w:rsidRPr="006A096A">
        <w:rPr>
          <w:b/>
          <w:color w:val="7030A0"/>
        </w:rPr>
        <w:t>Emotional Appeals</w:t>
      </w:r>
    </w:p>
    <w:p w:rsidR="00CF150D" w:rsidRPr="00EA11F7" w:rsidRDefault="00B7513E" w:rsidP="006A096A">
      <w:pPr>
        <w:ind w:left="720"/>
        <w:rPr>
          <w:sz w:val="20"/>
          <w:szCs w:val="20"/>
        </w:rPr>
      </w:pPr>
      <w:r>
        <w:rPr>
          <w:sz w:val="20"/>
          <w:szCs w:val="20"/>
        </w:rPr>
        <w:t>When perceiving risks, emotional appeals are important to consider as well (Kim &amp; Choi, 2017).  According to Kim and Choi (2017) “</w:t>
      </w:r>
      <w:r w:rsidRPr="00B7513E">
        <w:rPr>
          <w:sz w:val="20"/>
          <w:szCs w:val="20"/>
        </w:rPr>
        <w:t>Feelings of dread, perceived lack of control, and the extent to which a hazard is judged to be unknown are used as cues for the estimation of risks, influencing people’s risk perc</w:t>
      </w:r>
      <w:r>
        <w:rPr>
          <w:sz w:val="20"/>
          <w:szCs w:val="20"/>
        </w:rPr>
        <w:t>eption and subsequent decisions”.  These perceived feelings, whether reflective of the actual gravity of the situation, or not, are important to consider in patients</w:t>
      </w:r>
      <w:r w:rsidR="007E20D2">
        <w:rPr>
          <w:sz w:val="20"/>
          <w:szCs w:val="20"/>
        </w:rPr>
        <w:t>, because however a patient perceives a situation reflects their reality, and a physician cannot ar</w:t>
      </w:r>
      <w:r w:rsidR="008F65BE">
        <w:rPr>
          <w:sz w:val="20"/>
          <w:szCs w:val="20"/>
        </w:rPr>
        <w:t>gue how someone else perceives any given situation</w:t>
      </w:r>
      <w:r w:rsidR="007E20D2">
        <w:rPr>
          <w:sz w:val="20"/>
          <w:szCs w:val="20"/>
        </w:rPr>
        <w:t xml:space="preserve">.  </w:t>
      </w:r>
      <w:r w:rsidR="008F65BE">
        <w:rPr>
          <w:sz w:val="20"/>
          <w:szCs w:val="20"/>
        </w:rPr>
        <w:t xml:space="preserve">When assessing one’s emotional appeal in a doctor/patient scenario, logic is not always the correct solution.  Because Alzheimer’s patients present such a unique communication situation, as a physician, one </w:t>
      </w:r>
      <w:r w:rsidR="008F65BE" w:rsidRPr="008F65BE">
        <w:rPr>
          <w:i/>
          <w:sz w:val="20"/>
          <w:szCs w:val="20"/>
        </w:rPr>
        <w:t>must</w:t>
      </w:r>
      <w:r w:rsidR="008F65BE">
        <w:rPr>
          <w:sz w:val="20"/>
          <w:szCs w:val="20"/>
        </w:rPr>
        <w:t xml:space="preserve"> genuinely take into consideration the patients feelings at all times, even when the patient’s feel</w:t>
      </w:r>
      <w:r w:rsidR="006A096A">
        <w:rPr>
          <w:sz w:val="20"/>
          <w:szCs w:val="20"/>
        </w:rPr>
        <w:t>ings do not seem to make sense or</w:t>
      </w:r>
      <w:r w:rsidR="008F65BE">
        <w:rPr>
          <w:sz w:val="20"/>
          <w:szCs w:val="20"/>
        </w:rPr>
        <w:t xml:space="preserve"> match the current tone of the message being conveyed.  </w:t>
      </w:r>
    </w:p>
    <w:p w:rsidR="00A036DE" w:rsidRPr="00EA11F7" w:rsidRDefault="00A036DE" w:rsidP="006A096A">
      <w:pPr>
        <w:ind w:left="720"/>
        <w:rPr>
          <w:sz w:val="20"/>
          <w:szCs w:val="20"/>
        </w:rPr>
      </w:pPr>
    </w:p>
    <w:p w:rsidR="00CF150D" w:rsidRPr="006A096A" w:rsidRDefault="00D84AC7" w:rsidP="006A096A">
      <w:pPr>
        <w:ind w:left="720" w:hanging="720"/>
        <w:rPr>
          <w:b/>
          <w:color w:val="7030A0"/>
        </w:rPr>
      </w:pPr>
      <w:r w:rsidRPr="006A096A">
        <w:rPr>
          <w:b/>
          <w:color w:val="7030A0"/>
        </w:rPr>
        <w:t>Validation Therapy Implication</w:t>
      </w:r>
    </w:p>
    <w:p w:rsidR="00CF150D" w:rsidRPr="00EA11F7" w:rsidRDefault="006A096A" w:rsidP="00DA1520">
      <w:pPr>
        <w:ind w:left="720"/>
        <w:rPr>
          <w:sz w:val="20"/>
          <w:szCs w:val="20"/>
        </w:rPr>
      </w:pPr>
      <w:r>
        <w:rPr>
          <w:sz w:val="20"/>
          <w:szCs w:val="20"/>
        </w:rPr>
        <w:t xml:space="preserve">An extension to emotional appeals (Kim &amp; Choi, 2017), would be introducing validation therapy (Spencer, 2017) into physician/patient situations.  Because in most situations physicians will be communicating with a caregiver, </w:t>
      </w:r>
      <w:r w:rsidR="00DA1520">
        <w:rPr>
          <w:sz w:val="20"/>
          <w:szCs w:val="20"/>
        </w:rPr>
        <w:t>defined as “</w:t>
      </w:r>
      <w:r w:rsidR="00DA1520" w:rsidRPr="00DA1520">
        <w:rPr>
          <w:sz w:val="20"/>
          <w:szCs w:val="20"/>
        </w:rPr>
        <w:t xml:space="preserve">the act of providing physical, psychological, and </w:t>
      </w:r>
      <w:r w:rsidR="00DA1520" w:rsidRPr="00DA1520">
        <w:rPr>
          <w:i/>
          <w:sz w:val="20"/>
          <w:szCs w:val="20"/>
        </w:rPr>
        <w:t>emotional</w:t>
      </w:r>
      <w:r w:rsidR="00DA1520">
        <w:rPr>
          <w:sz w:val="20"/>
          <w:szCs w:val="20"/>
        </w:rPr>
        <w:t xml:space="preserve"> support to another individual” (Spencer, 2017, p. 177), </w:t>
      </w:r>
      <w:r>
        <w:rPr>
          <w:sz w:val="20"/>
          <w:szCs w:val="20"/>
        </w:rPr>
        <w:t>validating the feelings and perceptions of the patient with Alz</w:t>
      </w:r>
      <w:r w:rsidR="00DA1520">
        <w:rPr>
          <w:sz w:val="20"/>
          <w:szCs w:val="20"/>
        </w:rPr>
        <w:t xml:space="preserve">heimer’s is vital to productive communication.  While a Dementia patient may not be able to effectively translate the thoughts from their brains into sentences which accurately convey the information they would like to, physicians cannot underestimate the level of comprehension which may or may not be apparent.  When communicating risk, validating any and all emotions of the patient is necessary in order to maintain a calm patient. </w:t>
      </w:r>
    </w:p>
    <w:p w:rsidR="00A036DE" w:rsidRPr="00EA11F7" w:rsidRDefault="00A036DE" w:rsidP="006A096A">
      <w:pPr>
        <w:ind w:left="720"/>
        <w:rPr>
          <w:sz w:val="20"/>
          <w:szCs w:val="20"/>
        </w:rPr>
      </w:pPr>
    </w:p>
    <w:p w:rsidR="00CF150D" w:rsidRPr="006A096A" w:rsidRDefault="00D84AC7" w:rsidP="006A096A">
      <w:pPr>
        <w:ind w:left="720" w:hanging="720"/>
        <w:rPr>
          <w:b/>
          <w:color w:val="7030A0"/>
        </w:rPr>
      </w:pPr>
      <w:r w:rsidRPr="006A096A">
        <w:rPr>
          <w:b/>
          <w:color w:val="7030A0"/>
        </w:rPr>
        <w:t>Individual Differences</w:t>
      </w:r>
    </w:p>
    <w:p w:rsidR="00CF150D" w:rsidRPr="00EA11F7" w:rsidRDefault="00065D72" w:rsidP="006A096A">
      <w:pPr>
        <w:ind w:left="720"/>
        <w:rPr>
          <w:sz w:val="20"/>
          <w:szCs w:val="20"/>
        </w:rPr>
      </w:pPr>
      <w:r>
        <w:rPr>
          <w:sz w:val="20"/>
          <w:szCs w:val="20"/>
        </w:rPr>
        <w:t xml:space="preserve">Physicians also need to consider the individual differences of patients (Kim &amp; Choi, 2017).  Patients with Alzheimer’s are particularly unique because more likely than not, patients are accompanied by a family member or caregiver, so as a physician, one must be able to communicate with each unique duo in order to best communicate the risks of the patient.  </w:t>
      </w:r>
      <w:r w:rsidR="00F2265C">
        <w:rPr>
          <w:sz w:val="20"/>
          <w:szCs w:val="20"/>
        </w:rPr>
        <w:t>All individuals cope differently, and the physic</w:t>
      </w:r>
      <w:r w:rsidR="00631569">
        <w:rPr>
          <w:sz w:val="20"/>
          <w:szCs w:val="20"/>
        </w:rPr>
        <w:t xml:space="preserve">ian must be able to determine the coping styles of both the patient and the caregiver.  Coping styles can range from “monitors”, who worry about risks, to “blunters” who do not seek detailed information regarding risk and prefer blunt, short statements (Kim &amp; Choi, 2017).  If the Alzheimer’s patient and the caregiver cope differently, as a physician, one must take into consideration both styles and be able to accommodate both. </w:t>
      </w:r>
    </w:p>
    <w:p w:rsidR="00A036DE" w:rsidRPr="00EA11F7" w:rsidRDefault="00A036DE" w:rsidP="006A096A">
      <w:pPr>
        <w:ind w:left="720"/>
        <w:rPr>
          <w:sz w:val="20"/>
          <w:szCs w:val="20"/>
        </w:rPr>
      </w:pPr>
    </w:p>
    <w:p w:rsidR="00CF150D" w:rsidRPr="006A096A" w:rsidRDefault="00D84AC7" w:rsidP="006A096A">
      <w:pPr>
        <w:ind w:left="720" w:hanging="720"/>
        <w:rPr>
          <w:b/>
          <w:color w:val="7030A0"/>
        </w:rPr>
      </w:pPr>
      <w:r w:rsidRPr="006A096A">
        <w:rPr>
          <w:b/>
          <w:color w:val="7030A0"/>
        </w:rPr>
        <w:t xml:space="preserve">Interpersonal Deception Theory </w:t>
      </w:r>
    </w:p>
    <w:p w:rsidR="00CF150D" w:rsidRPr="00EA11F7" w:rsidRDefault="00631569" w:rsidP="00631569">
      <w:pPr>
        <w:ind w:left="720"/>
        <w:rPr>
          <w:sz w:val="20"/>
          <w:szCs w:val="20"/>
        </w:rPr>
      </w:pPr>
      <w:r>
        <w:rPr>
          <w:sz w:val="20"/>
          <w:szCs w:val="20"/>
        </w:rPr>
        <w:t>The interp</w:t>
      </w:r>
      <w:r w:rsidR="006C3414">
        <w:rPr>
          <w:sz w:val="20"/>
          <w:szCs w:val="20"/>
        </w:rPr>
        <w:t>ersonal deception theory, or IDT</w:t>
      </w:r>
      <w:r>
        <w:rPr>
          <w:sz w:val="20"/>
          <w:szCs w:val="20"/>
        </w:rPr>
        <w:t xml:space="preserve">, is also unique to Alzheimer’s patients (Spencer, 2017).  In most cases, telling the whole truth is always the best practice for a physician, however, in many cases with Dementia patients, masking the truth, or leaving out complicated details is required to </w:t>
      </w:r>
      <w:r w:rsidR="000A61BD">
        <w:rPr>
          <w:sz w:val="20"/>
          <w:szCs w:val="20"/>
        </w:rPr>
        <w:t>maintain any understanding from the patient.  Although deception seems unethical, reminding a patient of reality when they are in a world of their own can create “emotional and psychological trauma”</w:t>
      </w:r>
      <w:r w:rsidR="00B803B3">
        <w:rPr>
          <w:sz w:val="20"/>
          <w:szCs w:val="20"/>
        </w:rPr>
        <w:t xml:space="preserve"> (Spencer, 2017, p. 178).  When communicating risk to patients, it is wise for the physician to join the patient in whatever reality they are experiencing in order to best accommodate for potential distress and unnecessary damage</w:t>
      </w:r>
      <w:r w:rsidR="006C3414">
        <w:rPr>
          <w:sz w:val="20"/>
          <w:szCs w:val="20"/>
        </w:rPr>
        <w:t xml:space="preserve">.  Communicating risk through the IDT is a required skill for Dementia physicians to acquire to best </w:t>
      </w:r>
      <w:r w:rsidR="00F54825">
        <w:rPr>
          <w:sz w:val="20"/>
          <w:szCs w:val="20"/>
        </w:rPr>
        <w:t xml:space="preserve">care for patients.  </w:t>
      </w:r>
      <w:bookmarkStart w:id="0" w:name="_GoBack"/>
      <w:bookmarkEnd w:id="0"/>
    </w:p>
    <w:sectPr w:rsidR="00CF150D" w:rsidRPr="00EA11F7" w:rsidSect="005869E8">
      <w:headerReference w:type="first" r:id="rId8"/>
      <w:foot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C21" w:rsidRDefault="00AE1C21" w:rsidP="005869E8">
      <w:r>
        <w:separator/>
      </w:r>
    </w:p>
  </w:endnote>
  <w:endnote w:type="continuationSeparator" w:id="0">
    <w:p w:rsidR="00AE1C21" w:rsidRDefault="00AE1C21" w:rsidP="00586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9E8" w:rsidRPr="00631569" w:rsidRDefault="005869E8" w:rsidP="005869E8">
    <w:pPr>
      <w:ind w:left="720" w:hanging="720"/>
      <w:rPr>
        <w:sz w:val="14"/>
        <w:szCs w:val="14"/>
      </w:rPr>
    </w:pPr>
    <w:r w:rsidRPr="00631569">
      <w:rPr>
        <w:sz w:val="14"/>
        <w:szCs w:val="14"/>
      </w:rPr>
      <w:t xml:space="preserve">Harris, G. T., &amp; Lowenkamp, C. T., Hilton, N. Z. (2015). Evidence for risk estimate precision: Implications for individual risk communication. </w:t>
    </w:r>
    <w:r w:rsidRPr="00631569">
      <w:rPr>
        <w:i/>
        <w:sz w:val="14"/>
        <w:szCs w:val="14"/>
      </w:rPr>
      <w:t>Behavioral Sciences and the Law</w:t>
    </w:r>
    <w:r w:rsidRPr="00631569">
      <w:rPr>
        <w:sz w:val="14"/>
        <w:szCs w:val="14"/>
      </w:rPr>
      <w:t xml:space="preserve">, </w:t>
    </w:r>
    <w:r w:rsidRPr="00631569">
      <w:rPr>
        <w:i/>
        <w:sz w:val="14"/>
        <w:szCs w:val="14"/>
      </w:rPr>
      <w:t>33</w:t>
    </w:r>
    <w:r w:rsidRPr="00631569">
      <w:rPr>
        <w:sz w:val="14"/>
        <w:szCs w:val="14"/>
      </w:rPr>
      <w:t>, 111-127. doi:10.1002/bsl.2158</w:t>
    </w:r>
  </w:p>
  <w:p w:rsidR="005869E8" w:rsidRPr="00631569" w:rsidRDefault="005869E8" w:rsidP="005869E8">
    <w:pPr>
      <w:ind w:left="720" w:hanging="720"/>
      <w:rPr>
        <w:sz w:val="14"/>
        <w:szCs w:val="14"/>
      </w:rPr>
    </w:pPr>
    <w:r w:rsidRPr="00631569">
      <w:rPr>
        <w:sz w:val="14"/>
        <w:szCs w:val="14"/>
      </w:rPr>
      <w:t xml:space="preserve">Hoffrage, U., &amp; Koller, M. (2015). Chances and risks in medical risk communication. </w:t>
    </w:r>
    <w:r w:rsidRPr="00631569">
      <w:rPr>
        <w:i/>
        <w:sz w:val="14"/>
        <w:szCs w:val="14"/>
      </w:rPr>
      <w:t>GMS German Medical Science</w:t>
    </w:r>
    <w:r w:rsidRPr="00631569">
      <w:rPr>
        <w:sz w:val="14"/>
        <w:szCs w:val="14"/>
      </w:rPr>
      <w:t xml:space="preserve">, </w:t>
    </w:r>
    <w:r w:rsidRPr="00631569">
      <w:rPr>
        <w:i/>
        <w:sz w:val="14"/>
        <w:szCs w:val="14"/>
      </w:rPr>
      <w:t>13</w:t>
    </w:r>
    <w:r w:rsidRPr="00631569">
      <w:rPr>
        <w:sz w:val="14"/>
        <w:szCs w:val="14"/>
      </w:rPr>
      <w:t xml:space="preserve">, 1-15. Retrieved from http://www.egms.de/dynamic/en/journals/gms/index.htm </w:t>
    </w:r>
  </w:p>
  <w:p w:rsidR="005869E8" w:rsidRPr="00631569" w:rsidRDefault="005869E8" w:rsidP="005869E8">
    <w:pPr>
      <w:ind w:left="720" w:hanging="720"/>
      <w:rPr>
        <w:sz w:val="14"/>
        <w:szCs w:val="14"/>
      </w:rPr>
    </w:pPr>
    <w:r w:rsidRPr="00631569">
      <w:rPr>
        <w:sz w:val="14"/>
        <w:szCs w:val="14"/>
      </w:rPr>
      <w:t xml:space="preserve">Kim. M., &amp; Choi, Y. (2017). Risk communication: The roles of message appeal and coping style. </w:t>
    </w:r>
    <w:r w:rsidRPr="00631569">
      <w:rPr>
        <w:i/>
        <w:sz w:val="14"/>
        <w:szCs w:val="14"/>
      </w:rPr>
      <w:t>Social Behavior and Personality</w:t>
    </w:r>
    <w:r w:rsidRPr="00631569">
      <w:rPr>
        <w:sz w:val="14"/>
        <w:szCs w:val="14"/>
      </w:rPr>
      <w:t xml:space="preserve">, </w:t>
    </w:r>
    <w:r w:rsidRPr="00631569">
      <w:rPr>
        <w:i/>
        <w:sz w:val="14"/>
        <w:szCs w:val="14"/>
      </w:rPr>
      <w:t>45</w:t>
    </w:r>
    <w:r w:rsidRPr="00631569">
      <w:rPr>
        <w:sz w:val="14"/>
        <w:szCs w:val="14"/>
      </w:rPr>
      <w:t>, 773-784. doi:</w:t>
    </w:r>
    <w:r w:rsidRPr="00631569">
      <w:rPr>
        <w:rFonts w:ascii="Times" w:hAnsi="Times" w:cs="Times"/>
        <w:color w:val="000000"/>
        <w:sz w:val="14"/>
        <w:szCs w:val="14"/>
      </w:rPr>
      <w:t xml:space="preserve"> </w:t>
    </w:r>
    <w:r w:rsidRPr="00631569">
      <w:rPr>
        <w:sz w:val="14"/>
        <w:szCs w:val="14"/>
      </w:rPr>
      <w:t xml:space="preserve">10.2224/sbp.6327 </w:t>
    </w:r>
  </w:p>
  <w:p w:rsidR="005869E8" w:rsidRPr="00631569" w:rsidRDefault="00C73DB0" w:rsidP="005869E8">
    <w:pPr>
      <w:ind w:left="720" w:hanging="720"/>
      <w:rPr>
        <w:sz w:val="14"/>
        <w:szCs w:val="14"/>
      </w:rPr>
    </w:pPr>
    <w:r w:rsidRPr="00631569">
      <w:rPr>
        <w:noProof/>
        <w:sz w:val="14"/>
        <w:szCs w:val="14"/>
      </w:rPr>
      <mc:AlternateContent>
        <mc:Choice Requires="wps">
          <w:drawing>
            <wp:anchor distT="0" distB="0" distL="114300" distR="114300" simplePos="0" relativeHeight="251661312" behindDoc="0" locked="0" layoutInCell="1" allowOverlap="1" wp14:anchorId="7C2AF242" wp14:editId="169CC62A">
              <wp:simplePos x="0" y="0"/>
              <wp:positionH relativeFrom="column">
                <wp:posOffset>-566057</wp:posOffset>
              </wp:positionH>
              <wp:positionV relativeFrom="paragraph">
                <wp:posOffset>373743</wp:posOffset>
              </wp:positionV>
              <wp:extent cx="8260080" cy="426720"/>
              <wp:effectExtent l="0" t="0" r="0" b="5080"/>
              <wp:wrapNone/>
              <wp:docPr id="6" name="Rectangle 6"/>
              <wp:cNvGraphicFramePr/>
              <a:graphic xmlns:a="http://schemas.openxmlformats.org/drawingml/2006/main">
                <a:graphicData uri="http://schemas.microsoft.com/office/word/2010/wordprocessingShape">
                  <wps:wsp>
                    <wps:cNvSpPr/>
                    <wps:spPr>
                      <a:xfrm>
                        <a:off x="0" y="0"/>
                        <a:ext cx="8260080" cy="42672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0684D" id="Rectangle 6" o:spid="_x0000_s1026" style="position:absolute;margin-left:-44.55pt;margin-top:29.45pt;width:650.4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oklAIAAIUFAAAOAAAAZHJzL2Uyb0RvYy54bWysVMFu2zAMvQ/YPwi6r3ayNG2DOEWQosOA&#13;&#10;oi3aDj0rshQbkEWNUuJkXz9KdtyuLXYYloMiiuQj+UxyfrlvDNsp9DXYgo9Ocs6UlVDWdlPwH0/X&#13;&#10;X84580HYUhiwquAH5fnl4vOneetmagwVmFIhIxDrZ60reBWCm2WZl5VqhD8BpywpNWAjAom4yUoU&#13;&#10;LaE3Jhvn+TRrAUuHIJX39HrVKfki4WutZLjT2qvATMEpt5BOTOc6ntliLmYbFK6qZZ+G+IcsGlFb&#13;&#10;CjpAXYkg2Bbrd1BNLRE86HAioclA61qqVANVM8rfVPNYCadSLUSOdwNN/v/BytvdPbK6LPiUMysa&#13;&#10;+kQPRJqwG6PYNNLTOj8jq0d3j73k6Rpr3Wts4j9VwfaJ0sNAqdoHJunxfDzN83NiXpJuMp6ejRPn&#13;&#10;2Yu3Qx++KWhYvBQcKXpiUuxufKCIZHo0icE8mLq8ro1JAm7WK4NsJ+jznuVf8+UR/Q8zY6OxhejW&#13;&#10;IcaXLFbW1ZJu4WBUtDP2QWmihLIfp0xSM6ohjpBS2TDqVJUoVRf+NKdfJIwSHjySlAAjsqb4A3YP&#13;&#10;EBv9PXYH09tHV5V6eXDO/5ZY5zx4pMhgw+Dc1BbwIwBDVfWRO/sjSR01kaU1lAdqGIRukryT1zV9&#13;&#10;txvhw71AGh361LQOwh0d2kBbcOhvnFWAvz56j/bU0aTlrKVRLLj/uRWoODPfLfX6xWgyibObhMlp&#13;&#10;bCGGrzXr1xq7bVZA7TCixeNkukb7YI5XjdA809ZYxqikElZS7ILLgEdhFboVQXtHquUymdG8OhFu&#13;&#10;7KOTETyyGvvyaf8s0PXNG6jtb+E4tmL2poc72+hpYbkNoOvU4C+89nzTrKfG6fdSXCav5WT1sj0X&#13;&#10;vwEAAP//AwBQSwMEFAAGAAgAAAAhAF49f33kAAAAEAEAAA8AAABkcnMvZG93bnJldi54bWxMT8tO&#13;&#10;wzAQvCPxD9YicWudRCUkaZyKh+DWSi1IVW9uvE0C8Tqy3Tb8Pc4JLqtdzew8ytWoe3ZB6zpDAuJ5&#13;&#10;BAypNqqjRsDnx9ssA+a8JCV7QyjgBx2sqtubUhbKXGmLl51vWBAhV0gBrfdDwbmrW9TSzc2AFLCT&#13;&#10;sVr6cNqGKyuvQVz3PImilGvZUXBo5YAvLdbfu7MWYN/36WJR6/xgk/XwvNmu1eHLC3F/N74uw3ha&#13;&#10;AvM4+r8PmDqE/FCFYEdzJuVYL2CW5XGgCnjIcmATIYnjR2DHaUtj4FXJ/xepfgEAAP//AwBQSwEC&#13;&#10;LQAUAAYACAAAACEAtoM4kv4AAADhAQAAEwAAAAAAAAAAAAAAAAAAAAAAW0NvbnRlbnRfVHlwZXNd&#13;&#10;LnhtbFBLAQItABQABgAIAAAAIQA4/SH/1gAAAJQBAAALAAAAAAAAAAAAAAAAAC8BAABfcmVscy8u&#13;&#10;cmVsc1BLAQItABQABgAIAAAAIQA+DvoklAIAAIUFAAAOAAAAAAAAAAAAAAAAAC4CAABkcnMvZTJv&#13;&#10;RG9jLnhtbFBLAQItABQABgAIAAAAIQBePX995AAAABABAAAPAAAAAAAAAAAAAAAAAO4EAABkcnMv&#13;&#10;ZG93bnJldi54bWxQSwUGAAAAAAQABADzAAAA/wUAAAAA&#13;&#10;" fillcolor="#7030a0" stroked="f" strokeweight="1pt"/>
          </w:pict>
        </mc:Fallback>
      </mc:AlternateContent>
    </w:r>
    <w:r w:rsidR="005869E8" w:rsidRPr="00631569">
      <w:rPr>
        <w:sz w:val="14"/>
        <w:szCs w:val="14"/>
      </w:rPr>
      <w:t xml:space="preserve">Spencer, E. A. (2017). The use of deception in interpersonal communication with Alzheimer’s disease patients. </w:t>
    </w:r>
    <w:r w:rsidR="005869E8" w:rsidRPr="00631569">
      <w:rPr>
        <w:i/>
        <w:sz w:val="14"/>
        <w:szCs w:val="14"/>
      </w:rPr>
      <w:t>The Midwest Quarterly</w:t>
    </w:r>
    <w:r w:rsidR="005869E8" w:rsidRPr="00631569">
      <w:rPr>
        <w:sz w:val="14"/>
        <w:szCs w:val="14"/>
      </w:rPr>
      <w:t xml:space="preserve">, </w:t>
    </w:r>
    <w:r w:rsidR="005869E8" w:rsidRPr="00631569">
      <w:rPr>
        <w:i/>
        <w:sz w:val="14"/>
        <w:szCs w:val="14"/>
      </w:rPr>
      <w:t>58</w:t>
    </w:r>
    <w:r w:rsidR="005869E8" w:rsidRPr="00631569">
      <w:rPr>
        <w:sz w:val="14"/>
        <w:szCs w:val="14"/>
      </w:rPr>
      <w:t>, 176-194. Retrieved from http://www.pittstate.edu/info/midwestq/index.dot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C21" w:rsidRDefault="00AE1C21" w:rsidP="005869E8">
      <w:r>
        <w:separator/>
      </w:r>
    </w:p>
  </w:footnote>
  <w:footnote w:type="continuationSeparator" w:id="0">
    <w:p w:rsidR="00AE1C21" w:rsidRDefault="00AE1C21" w:rsidP="00586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E11" w:rsidRPr="006A096A" w:rsidRDefault="00C73DB0" w:rsidP="00886E11">
    <w:pPr>
      <w:pStyle w:val="Header"/>
      <w:tabs>
        <w:tab w:val="clear" w:pos="9360"/>
        <w:tab w:val="right" w:pos="10800"/>
      </w:tabs>
      <w:rPr>
        <w:b/>
        <w:sz w:val="28"/>
        <w:szCs w:val="28"/>
      </w:rPr>
    </w:pPr>
    <w:r w:rsidRPr="006A096A">
      <w:rPr>
        <w:noProof/>
        <w:sz w:val="28"/>
        <w:szCs w:val="28"/>
      </w:rPr>
      <mc:AlternateContent>
        <mc:Choice Requires="wps">
          <w:drawing>
            <wp:anchor distT="0" distB="0" distL="114300" distR="114300" simplePos="0" relativeHeight="251659264" behindDoc="0" locked="0" layoutInCell="1" allowOverlap="1" wp14:anchorId="7C2AF242" wp14:editId="169CC62A">
              <wp:simplePos x="0" y="0"/>
              <wp:positionH relativeFrom="column">
                <wp:posOffset>-566057</wp:posOffset>
              </wp:positionH>
              <wp:positionV relativeFrom="paragraph">
                <wp:posOffset>-566057</wp:posOffset>
              </wp:positionV>
              <wp:extent cx="8260080" cy="426720"/>
              <wp:effectExtent l="0" t="0" r="0" b="5080"/>
              <wp:wrapNone/>
              <wp:docPr id="3" name="Rectangle 3"/>
              <wp:cNvGraphicFramePr/>
              <a:graphic xmlns:a="http://schemas.openxmlformats.org/drawingml/2006/main">
                <a:graphicData uri="http://schemas.microsoft.com/office/word/2010/wordprocessingShape">
                  <wps:wsp>
                    <wps:cNvSpPr/>
                    <wps:spPr>
                      <a:xfrm>
                        <a:off x="0" y="0"/>
                        <a:ext cx="8260080" cy="42672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83956" id="Rectangle 3" o:spid="_x0000_s1026" style="position:absolute;margin-left:-44.55pt;margin-top:-44.55pt;width:650.4pt;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ZyHlAIAAIUFAAAOAAAAZHJzL2Uyb0RvYy54bWysVEtv2zAMvg/YfxB0X+08+lhQpwhSdBhQ&#13;&#10;tEHboWdFlmIDsqhRSpzs14+SHbdrix2G5aCIIvmR/Ezy8mrfGLZT6GuwBR+d5JwpK6Gs7abgP55u&#13;&#10;vlxw5oOwpTBgVcEPyvOr+edPl62bqTFUYEqFjECsn7Wu4FUIbpZlXlaqEf4EnLKk1ICNCCTiJitR&#13;&#10;tITemGyc52dZC1g6BKm8p9frTsnnCV9rJcO91l4FZgpOuYV0YjrX8czml2K2QeGqWvZpiH/IohG1&#13;&#10;paAD1LUIgm2xfgfV1BLBgw4nEpoMtK6lSjVQNaP8TTWPlXAq1ULkeDfQ5P8frLzbrZDVZcEnnFnR&#13;&#10;0Cd6INKE3RjFJpGe1vkZWT26FfaSp2usda+xif9UBdsnSg8DpWofmKTHi/FZnl8Q85J00/HZ+Thx&#13;&#10;nr14O/Thm4KGxUvBkaInJsXu1geKSKZHkxjMg6nLm9qYJOBmvTTIdoI+73k+yRdH9D/MjI3GFqJb&#13;&#10;hxhfslhZV0u6hYNR0c7YB6WJEsp+nDJJzaiGOEJKZcOoU1WiVF3405x+kTBKePBIUgKMyJriD9g9&#13;&#10;QGz099gdTG8fXVXq5cE5/1tinfPgkSKDDYNzU1vAjwAMVdVH7uyPJHXURJbWUB6oYRC6SfJO3tT0&#13;&#10;3W6FDyuBNDr0qWkdhHs6tIG24NDfOKsAf330Hu2po0nLWUujWHD/cytQcWa+W+r1r6PpNM5uEqan&#13;&#10;sYUYvtasX2vstlkCtcOIFo+T6RrtgzleNULzTFtjEaOSSlhJsQsuAx6FZehWBO0dqRaLZEbz6kS4&#13;&#10;tY9ORvDIauzLp/2zQNc3b6C2v4Pj2IrZmx7ubKOnhcU2gK5Tg7/w2vNNs54ap99LcZm8lpPVy/ac&#13;&#10;/wYAAP//AwBQSwMEFAAGAAgAAAAhAAR+K2DiAAAAEQEAAA8AAABkcnMvZG93bnJldi54bWxMT8lO&#13;&#10;wzAQvSPxD9YgcWudRFVp0jgVi+BWpBYk1JsbD0kgHke224a/Z3qo4DKa5c1bytVoe3FEHzpHCtJp&#13;&#10;AgKpdqajRsH72/NkASJETUb3jlDBDwZYVddXpS6MO9EGj9vYCCahUGgFbYxDIWWoW7Q6TN2AxLdP&#13;&#10;562OPPpGGq9PTG57mSXJXFrdESu0esDHFuvv7cEq8C8f89mstvnOZ+vh4XWzNruvqNTtzfi05HK/&#13;&#10;BBFxjH8fcM7A/qFiY3t3IBNEr2CyyFOGXpozIkvTOxB7XmVpDrIq5f8k1S8AAAD//wMAUEsBAi0A&#13;&#10;FAAGAAgAAAAhALaDOJL+AAAA4QEAABMAAAAAAAAAAAAAAAAAAAAAAFtDb250ZW50X1R5cGVzXS54&#13;&#10;bWxQSwECLQAUAAYACAAAACEAOP0h/9YAAACUAQAACwAAAAAAAAAAAAAAAAAvAQAAX3JlbHMvLnJl&#13;&#10;bHNQSwECLQAUAAYACAAAACEAAcmch5QCAACFBQAADgAAAAAAAAAAAAAAAAAuAgAAZHJzL2Uyb0Rv&#13;&#10;Yy54bWxQSwECLQAUAAYACAAAACEABH4rYOIAAAARAQAADwAAAAAAAAAAAAAAAADuBAAAZHJzL2Rv&#13;&#10;d25yZXYueG1sUEsFBgAAAAAEAAQA8wAAAP0FAAAAAA==&#13;&#10;" fillcolor="#7030a0" stroked="f" strokeweight="1pt"/>
          </w:pict>
        </mc:Fallback>
      </mc:AlternateContent>
    </w:r>
    <w:r w:rsidR="00886E11" w:rsidRPr="006A096A">
      <w:rPr>
        <w:b/>
        <w:sz w:val="28"/>
        <w:szCs w:val="28"/>
      </w:rPr>
      <w:t>Risk Communication with Alzheimer Patients: Best Practices</w:t>
    </w:r>
    <w:r w:rsidR="00886E11" w:rsidRPr="00CF150D">
      <w:rPr>
        <w:b/>
        <w:sz w:val="28"/>
        <w:szCs w:val="28"/>
      </w:rPr>
      <w:tab/>
    </w:r>
    <w:r w:rsidR="00886E11" w:rsidRPr="006A096A">
      <w:rPr>
        <w:b/>
      </w:rPr>
      <w:t>Bri Tamasi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E7B33"/>
    <w:multiLevelType w:val="hybridMultilevel"/>
    <w:tmpl w:val="04DE298A"/>
    <w:lvl w:ilvl="0" w:tplc="78B2B8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5D"/>
    <w:rsid w:val="00065D72"/>
    <w:rsid w:val="000A61BD"/>
    <w:rsid w:val="001110DD"/>
    <w:rsid w:val="00147176"/>
    <w:rsid w:val="001579E2"/>
    <w:rsid w:val="00180037"/>
    <w:rsid w:val="00215AE8"/>
    <w:rsid w:val="00223E74"/>
    <w:rsid w:val="003D548D"/>
    <w:rsid w:val="003F3103"/>
    <w:rsid w:val="005759DD"/>
    <w:rsid w:val="005869E8"/>
    <w:rsid w:val="005B4204"/>
    <w:rsid w:val="00631569"/>
    <w:rsid w:val="006502FB"/>
    <w:rsid w:val="006A096A"/>
    <w:rsid w:val="006C3414"/>
    <w:rsid w:val="006F15FA"/>
    <w:rsid w:val="007E20D2"/>
    <w:rsid w:val="008458A4"/>
    <w:rsid w:val="00886E11"/>
    <w:rsid w:val="008F65BE"/>
    <w:rsid w:val="00A036DE"/>
    <w:rsid w:val="00A05135"/>
    <w:rsid w:val="00A4155D"/>
    <w:rsid w:val="00A93DE8"/>
    <w:rsid w:val="00AB15B9"/>
    <w:rsid w:val="00AE1C21"/>
    <w:rsid w:val="00B7513E"/>
    <w:rsid w:val="00B803B3"/>
    <w:rsid w:val="00C73DB0"/>
    <w:rsid w:val="00CF150D"/>
    <w:rsid w:val="00D1465D"/>
    <w:rsid w:val="00D32A45"/>
    <w:rsid w:val="00D84AC7"/>
    <w:rsid w:val="00DA1520"/>
    <w:rsid w:val="00EA11F7"/>
    <w:rsid w:val="00ED290B"/>
    <w:rsid w:val="00F2265C"/>
    <w:rsid w:val="00F54825"/>
    <w:rsid w:val="00FC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7172"/>
  <w14:defaultImageDpi w14:val="32767"/>
  <w15:chartTrackingRefBased/>
  <w15:docId w15:val="{A9AF8FCD-B9C4-964C-B016-AD75FAF0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9E8"/>
    <w:rPr>
      <w:color w:val="0563C1" w:themeColor="hyperlink"/>
      <w:u w:val="single"/>
    </w:rPr>
  </w:style>
  <w:style w:type="character" w:styleId="UnresolvedMention">
    <w:name w:val="Unresolved Mention"/>
    <w:basedOn w:val="DefaultParagraphFont"/>
    <w:uiPriority w:val="99"/>
    <w:rsid w:val="005869E8"/>
    <w:rPr>
      <w:color w:val="808080"/>
      <w:shd w:val="clear" w:color="auto" w:fill="E6E6E6"/>
    </w:rPr>
  </w:style>
  <w:style w:type="paragraph" w:styleId="Header">
    <w:name w:val="header"/>
    <w:basedOn w:val="Normal"/>
    <w:link w:val="HeaderChar"/>
    <w:uiPriority w:val="99"/>
    <w:unhideWhenUsed/>
    <w:rsid w:val="005869E8"/>
    <w:pPr>
      <w:tabs>
        <w:tab w:val="center" w:pos="4680"/>
        <w:tab w:val="right" w:pos="9360"/>
      </w:tabs>
    </w:pPr>
  </w:style>
  <w:style w:type="character" w:customStyle="1" w:styleId="HeaderChar">
    <w:name w:val="Header Char"/>
    <w:basedOn w:val="DefaultParagraphFont"/>
    <w:link w:val="Header"/>
    <w:uiPriority w:val="99"/>
    <w:rsid w:val="005869E8"/>
  </w:style>
  <w:style w:type="paragraph" w:styleId="Footer">
    <w:name w:val="footer"/>
    <w:basedOn w:val="Normal"/>
    <w:link w:val="FooterChar"/>
    <w:uiPriority w:val="99"/>
    <w:unhideWhenUsed/>
    <w:rsid w:val="005869E8"/>
    <w:pPr>
      <w:tabs>
        <w:tab w:val="center" w:pos="4680"/>
        <w:tab w:val="right" w:pos="9360"/>
      </w:tabs>
    </w:pPr>
  </w:style>
  <w:style w:type="character" w:customStyle="1" w:styleId="FooterChar">
    <w:name w:val="Footer Char"/>
    <w:basedOn w:val="DefaultParagraphFont"/>
    <w:link w:val="Footer"/>
    <w:uiPriority w:val="99"/>
    <w:rsid w:val="005869E8"/>
  </w:style>
  <w:style w:type="paragraph" w:styleId="ListParagraph">
    <w:name w:val="List Paragraph"/>
    <w:basedOn w:val="Normal"/>
    <w:uiPriority w:val="34"/>
    <w:qFormat/>
    <w:rsid w:val="00CF1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Tamasi, Bri</dc:creator>
  <cp:keywords/>
  <dc:description/>
  <cp:lastModifiedBy>Tamasi, Bri</cp:lastModifiedBy>
  <cp:revision>22</cp:revision>
  <dcterms:created xsi:type="dcterms:W3CDTF">2018-04-05T16:04:00Z</dcterms:created>
  <dcterms:modified xsi:type="dcterms:W3CDTF">2018-04-09T04:40:00Z</dcterms:modified>
</cp:coreProperties>
</file>