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0F723" w14:textId="77777777" w:rsidR="00C31F7F" w:rsidRPr="001B638D" w:rsidRDefault="00C31F7F" w:rsidP="000953AB">
      <w:pPr>
        <w:spacing w:line="480" w:lineRule="auto"/>
      </w:pPr>
    </w:p>
    <w:p w14:paraId="2DF5BFA0" w14:textId="77777777" w:rsidR="00D34AC6" w:rsidRPr="001B638D" w:rsidRDefault="00D34AC6" w:rsidP="000953AB">
      <w:pPr>
        <w:spacing w:line="480" w:lineRule="auto"/>
        <w:jc w:val="center"/>
      </w:pPr>
    </w:p>
    <w:p w14:paraId="47C522A9" w14:textId="77777777" w:rsidR="00D34AC6" w:rsidRPr="001B638D" w:rsidRDefault="00D34AC6" w:rsidP="000953AB">
      <w:pPr>
        <w:spacing w:line="480" w:lineRule="auto"/>
        <w:jc w:val="center"/>
      </w:pPr>
    </w:p>
    <w:p w14:paraId="70CF7672" w14:textId="77777777" w:rsidR="00D34AC6" w:rsidRPr="001B638D" w:rsidRDefault="00D34AC6" w:rsidP="000953AB">
      <w:pPr>
        <w:spacing w:line="480" w:lineRule="auto"/>
        <w:jc w:val="center"/>
      </w:pPr>
    </w:p>
    <w:p w14:paraId="61FFF770" w14:textId="77777777" w:rsidR="00D34AC6" w:rsidRPr="001B638D" w:rsidRDefault="00D34AC6" w:rsidP="000953AB">
      <w:pPr>
        <w:spacing w:line="480" w:lineRule="auto"/>
        <w:jc w:val="center"/>
      </w:pPr>
    </w:p>
    <w:p w14:paraId="33C45FA0" w14:textId="77777777" w:rsidR="00D34AC6" w:rsidRPr="001B638D" w:rsidRDefault="00D34AC6" w:rsidP="000953AB">
      <w:pPr>
        <w:spacing w:line="480" w:lineRule="auto"/>
        <w:jc w:val="center"/>
      </w:pPr>
    </w:p>
    <w:p w14:paraId="0F955219" w14:textId="77777777" w:rsidR="00D34AC6" w:rsidRPr="001B638D" w:rsidRDefault="00D34AC6" w:rsidP="000953AB">
      <w:pPr>
        <w:spacing w:line="480" w:lineRule="auto"/>
        <w:jc w:val="center"/>
      </w:pPr>
    </w:p>
    <w:p w14:paraId="6E7B3BCE" w14:textId="77777777" w:rsidR="0004635A" w:rsidRPr="001B638D" w:rsidRDefault="0004635A" w:rsidP="000953AB">
      <w:pPr>
        <w:spacing w:line="480" w:lineRule="auto"/>
        <w:jc w:val="center"/>
      </w:pPr>
    </w:p>
    <w:p w14:paraId="08B24CEB" w14:textId="77777777" w:rsidR="00074A6A" w:rsidRPr="001B638D" w:rsidRDefault="006979B2" w:rsidP="00EE5F02">
      <w:pPr>
        <w:spacing w:line="480" w:lineRule="auto"/>
        <w:jc w:val="center"/>
        <w:outlineLvl w:val="0"/>
      </w:pPr>
      <w:r w:rsidRPr="001B638D">
        <w:t>Theoretical Lens Paper</w:t>
      </w:r>
    </w:p>
    <w:p w14:paraId="3B3D893F" w14:textId="77777777" w:rsidR="00D34AC6" w:rsidRPr="001B638D" w:rsidRDefault="00D34AC6" w:rsidP="00EE5F02">
      <w:pPr>
        <w:spacing w:line="480" w:lineRule="auto"/>
        <w:jc w:val="center"/>
        <w:outlineLvl w:val="0"/>
      </w:pPr>
      <w:r w:rsidRPr="001B638D">
        <w:t>Briana Tamasi</w:t>
      </w:r>
    </w:p>
    <w:p w14:paraId="42C7005E" w14:textId="77777777" w:rsidR="00D34AC6" w:rsidRPr="001B638D" w:rsidRDefault="00D34AC6" w:rsidP="00EE5F02">
      <w:pPr>
        <w:spacing w:line="480" w:lineRule="auto"/>
        <w:jc w:val="center"/>
        <w:outlineLvl w:val="0"/>
      </w:pPr>
      <w:r w:rsidRPr="001B638D">
        <w:t>University of North Texas</w:t>
      </w:r>
    </w:p>
    <w:p w14:paraId="6765DEC0" w14:textId="77777777" w:rsidR="00D34AC6" w:rsidRPr="001B638D" w:rsidRDefault="00D34AC6" w:rsidP="000953AB">
      <w:pPr>
        <w:spacing w:line="480" w:lineRule="auto"/>
        <w:jc w:val="center"/>
      </w:pPr>
    </w:p>
    <w:p w14:paraId="4A1F6C54" w14:textId="77777777" w:rsidR="00D34AC6" w:rsidRPr="001B638D" w:rsidRDefault="00D34AC6" w:rsidP="000953AB">
      <w:pPr>
        <w:spacing w:line="480" w:lineRule="auto"/>
        <w:jc w:val="center"/>
      </w:pPr>
    </w:p>
    <w:p w14:paraId="328BA0AB" w14:textId="77777777" w:rsidR="00D34AC6" w:rsidRPr="001B638D" w:rsidRDefault="00D34AC6" w:rsidP="000953AB">
      <w:pPr>
        <w:spacing w:line="480" w:lineRule="auto"/>
        <w:jc w:val="center"/>
      </w:pPr>
    </w:p>
    <w:p w14:paraId="319F84E8" w14:textId="77777777" w:rsidR="00D34AC6" w:rsidRPr="001B638D" w:rsidRDefault="00D34AC6" w:rsidP="000953AB">
      <w:pPr>
        <w:spacing w:line="480" w:lineRule="auto"/>
        <w:jc w:val="center"/>
      </w:pPr>
    </w:p>
    <w:p w14:paraId="4FBA8861" w14:textId="77777777" w:rsidR="00D34AC6" w:rsidRPr="001B638D" w:rsidRDefault="00D34AC6" w:rsidP="000953AB">
      <w:pPr>
        <w:spacing w:line="480" w:lineRule="auto"/>
        <w:jc w:val="center"/>
      </w:pPr>
    </w:p>
    <w:p w14:paraId="420ED1BF" w14:textId="77777777" w:rsidR="00D34AC6" w:rsidRPr="001B638D" w:rsidRDefault="00D34AC6" w:rsidP="000953AB">
      <w:pPr>
        <w:spacing w:line="480" w:lineRule="auto"/>
        <w:jc w:val="center"/>
      </w:pPr>
    </w:p>
    <w:p w14:paraId="4D91646D" w14:textId="77777777" w:rsidR="00D34AC6" w:rsidRPr="001B638D" w:rsidRDefault="00D34AC6" w:rsidP="000953AB">
      <w:pPr>
        <w:spacing w:line="480" w:lineRule="auto"/>
        <w:jc w:val="center"/>
      </w:pPr>
    </w:p>
    <w:p w14:paraId="5DC693D8" w14:textId="77777777" w:rsidR="00D34AC6" w:rsidRPr="001B638D" w:rsidRDefault="00D34AC6" w:rsidP="000953AB">
      <w:pPr>
        <w:spacing w:line="480" w:lineRule="auto"/>
        <w:jc w:val="center"/>
      </w:pPr>
    </w:p>
    <w:p w14:paraId="2622B50A" w14:textId="77777777" w:rsidR="00D34AC6" w:rsidRPr="001B638D" w:rsidRDefault="00D34AC6" w:rsidP="000953AB">
      <w:pPr>
        <w:spacing w:line="480" w:lineRule="auto"/>
        <w:jc w:val="center"/>
      </w:pPr>
    </w:p>
    <w:p w14:paraId="1C8805DE" w14:textId="77777777" w:rsidR="00D34AC6" w:rsidRPr="001B638D" w:rsidRDefault="00D34AC6" w:rsidP="000953AB">
      <w:pPr>
        <w:spacing w:line="480" w:lineRule="auto"/>
        <w:jc w:val="center"/>
      </w:pPr>
    </w:p>
    <w:p w14:paraId="2955E932" w14:textId="77777777" w:rsidR="00D34AC6" w:rsidRPr="001B638D" w:rsidRDefault="00D34AC6" w:rsidP="000953AB">
      <w:pPr>
        <w:spacing w:line="480" w:lineRule="auto"/>
        <w:jc w:val="center"/>
      </w:pPr>
    </w:p>
    <w:p w14:paraId="5FDFEAF2" w14:textId="77777777" w:rsidR="00D34AC6" w:rsidRPr="001B638D" w:rsidRDefault="00D34AC6" w:rsidP="000953AB">
      <w:pPr>
        <w:spacing w:line="480" w:lineRule="auto"/>
        <w:jc w:val="center"/>
      </w:pPr>
    </w:p>
    <w:p w14:paraId="58336E65" w14:textId="77777777" w:rsidR="00CD3B73" w:rsidRPr="001B638D" w:rsidRDefault="006979B2" w:rsidP="00EE5F02">
      <w:pPr>
        <w:spacing w:line="480" w:lineRule="auto"/>
        <w:jc w:val="center"/>
        <w:outlineLvl w:val="0"/>
      </w:pPr>
      <w:r w:rsidRPr="001B638D">
        <w:lastRenderedPageBreak/>
        <w:t>Theoretical Lens Paper</w:t>
      </w:r>
    </w:p>
    <w:p w14:paraId="55F00A2E" w14:textId="073928F1" w:rsidR="00221110" w:rsidRPr="001B638D" w:rsidRDefault="00221110" w:rsidP="00EE5F02">
      <w:pPr>
        <w:spacing w:line="480" w:lineRule="auto"/>
        <w:outlineLvl w:val="0"/>
        <w:rPr>
          <w:b/>
        </w:rPr>
      </w:pPr>
      <w:r w:rsidRPr="001B638D">
        <w:rPr>
          <w:b/>
        </w:rPr>
        <w:t>Introduction</w:t>
      </w:r>
      <w:r w:rsidR="00CD3B73" w:rsidRPr="001B638D">
        <w:rPr>
          <w:b/>
        </w:rPr>
        <w:tab/>
      </w:r>
    </w:p>
    <w:p w14:paraId="0C54229A" w14:textId="319B3B85" w:rsidR="009F0580" w:rsidRPr="001B638D" w:rsidRDefault="007E7D4F" w:rsidP="000953AB">
      <w:pPr>
        <w:spacing w:line="480" w:lineRule="auto"/>
        <w:ind w:firstLine="720"/>
      </w:pPr>
      <w:r w:rsidRPr="001B638D">
        <w:rPr>
          <w:color w:val="000000" w:themeColor="text1"/>
        </w:rPr>
        <w:t>Scholars (</w:t>
      </w:r>
      <w:r w:rsidR="00BE1AA4" w:rsidRPr="001B638D">
        <w:rPr>
          <w:color w:val="000000" w:themeColor="text1"/>
        </w:rPr>
        <w:t>Li &amp; Liu, 2010; Liebler, Schwartz, &amp; Harper, 2009; Samek, 2016</w:t>
      </w:r>
      <w:r w:rsidR="00B23701" w:rsidRPr="001B638D">
        <w:rPr>
          <w:color w:val="000000" w:themeColor="text1"/>
        </w:rPr>
        <w:t>; Snorton, 2013</w:t>
      </w:r>
      <w:r w:rsidRPr="001B638D">
        <w:rPr>
          <w:color w:val="000000" w:themeColor="text1"/>
        </w:rPr>
        <w:t xml:space="preserve">) </w:t>
      </w:r>
      <w:r w:rsidR="00FE1C04" w:rsidRPr="001B638D">
        <w:rPr>
          <w:color w:val="000000" w:themeColor="text1"/>
        </w:rPr>
        <w:t xml:space="preserve">have </w:t>
      </w:r>
      <w:r w:rsidR="00FE1C04" w:rsidRPr="001B638D">
        <w:t xml:space="preserve">discussed the </w:t>
      </w:r>
      <w:r w:rsidR="00FB0127" w:rsidRPr="001B638D">
        <w:t xml:space="preserve">limitations </w:t>
      </w:r>
      <w:r w:rsidR="00EC526F" w:rsidRPr="001B638D">
        <w:t xml:space="preserve">of </w:t>
      </w:r>
      <w:r w:rsidR="00EE5F02">
        <w:t>LGBT</w:t>
      </w:r>
      <w:r w:rsidR="00EC526F" w:rsidRPr="001B638D">
        <w:t xml:space="preserve"> representation in the media and society.  </w:t>
      </w:r>
      <w:r w:rsidR="00491DE0" w:rsidRPr="001B638D">
        <w:t xml:space="preserve">Hillary Clinton’s gay marriage equality commercial clearly advocates for the instillation of equal marriage laws in the U.S.  However, </w:t>
      </w:r>
      <w:r w:rsidR="00511035" w:rsidRPr="001B638D">
        <w:t>regardless of</w:t>
      </w:r>
      <w:r w:rsidR="00491DE0" w:rsidRPr="001B638D">
        <w:t xml:space="preserve"> the efforts </w:t>
      </w:r>
      <w:r w:rsidR="008779F9" w:rsidRPr="001B638D">
        <w:t>of the seemingly positive, upbeat commercial, the</w:t>
      </w:r>
      <w:r w:rsidR="004A3819" w:rsidRPr="001B638D">
        <w:t xml:space="preserve"> visibility politics and intersectionality of</w:t>
      </w:r>
      <w:r w:rsidR="00112FCC" w:rsidRPr="001B638D">
        <w:t>,</w:t>
      </w:r>
      <w:r w:rsidR="00C127CD" w:rsidRPr="001B638D">
        <w:t xml:space="preserve"> and within</w:t>
      </w:r>
      <w:r w:rsidR="00112FCC" w:rsidRPr="001B638D">
        <w:t>,</w:t>
      </w:r>
      <w:r w:rsidR="004A3819" w:rsidRPr="001B638D">
        <w:t xml:space="preserve"> the </w:t>
      </w:r>
      <w:r w:rsidR="00EE5F02">
        <w:t>LGBT</w:t>
      </w:r>
      <w:r w:rsidR="008779F9" w:rsidRPr="001B638D">
        <w:t xml:space="preserve"> community</w:t>
      </w:r>
      <w:r w:rsidR="00C127CD" w:rsidRPr="001B638D">
        <w:t xml:space="preserve"> are at risk of being interpreted negatively.  </w:t>
      </w:r>
      <w:r w:rsidR="004A3819" w:rsidRPr="001B638D">
        <w:t xml:space="preserve">Clinton’s proclamation that “gay rights are human rights, and human rights are gay rights” (Clinton, 2015), </w:t>
      </w:r>
      <w:r w:rsidR="00511035" w:rsidRPr="001B638D">
        <w:t xml:space="preserve">despite the </w:t>
      </w:r>
      <w:r w:rsidR="00B13425" w:rsidRPr="001B638D">
        <w:t>positive tone</w:t>
      </w:r>
      <w:r w:rsidR="005010BE" w:rsidRPr="001B638D">
        <w:t>,</w:t>
      </w:r>
      <w:r w:rsidR="00B13425" w:rsidRPr="001B638D">
        <w:t xml:space="preserve"> </w:t>
      </w:r>
      <w:r w:rsidR="009C17A2" w:rsidRPr="001B638D">
        <w:t>has</w:t>
      </w:r>
      <w:r w:rsidR="00B13425" w:rsidRPr="001B638D">
        <w:t xml:space="preserve"> the potential to be misconstrued as creating an exclusive representation, </w:t>
      </w:r>
      <w:r w:rsidR="008D1F0A" w:rsidRPr="001B638D">
        <w:t xml:space="preserve">seen in a heteronormative light, or under representational of the </w:t>
      </w:r>
      <w:r w:rsidR="00EE5F02">
        <w:t>LGBT</w:t>
      </w:r>
      <w:r w:rsidR="008D1F0A" w:rsidRPr="001B638D">
        <w:t xml:space="preserve"> community.</w:t>
      </w:r>
      <w:r w:rsidR="00480F74" w:rsidRPr="001B638D">
        <w:t xml:space="preserve">  I will discuss the potential misinterpretations of the Clinton campaign commercial through the lens of visibility and the lens of intersectionality in order to reveal the ways the commercial exudes exclusivity, encourages heteronormative practices, and under/misrepresents the </w:t>
      </w:r>
      <w:r w:rsidR="00EE5F02">
        <w:t>LGBT</w:t>
      </w:r>
      <w:r w:rsidR="00480F74" w:rsidRPr="001B638D">
        <w:t xml:space="preserve"> community.  </w:t>
      </w:r>
    </w:p>
    <w:p w14:paraId="34A21C0A" w14:textId="7B15BB32" w:rsidR="00E771B3" w:rsidRPr="001B638D" w:rsidRDefault="009F0580" w:rsidP="000953AB">
      <w:pPr>
        <w:spacing w:line="480" w:lineRule="auto"/>
      </w:pPr>
      <w:r w:rsidRPr="001B638D">
        <w:tab/>
      </w:r>
      <w:r w:rsidR="008D1F0A" w:rsidRPr="001B638D">
        <w:t xml:space="preserve">  </w:t>
      </w:r>
      <w:r w:rsidR="005B59DE" w:rsidRPr="001B638D">
        <w:t>The exclusive demographic</w:t>
      </w:r>
      <w:r w:rsidR="003E43D9" w:rsidRPr="001B638D">
        <w:t xml:space="preserve"> of </w:t>
      </w:r>
      <w:r w:rsidR="00EE5F02">
        <w:t>LGBT</w:t>
      </w:r>
      <w:r w:rsidR="003E43D9" w:rsidRPr="001B638D">
        <w:t xml:space="preserve"> bodies represented in the commercial </w:t>
      </w:r>
      <w:r w:rsidR="00A42443" w:rsidRPr="001B638D">
        <w:t>highlights</w:t>
      </w:r>
      <w:r w:rsidR="00A66857" w:rsidRPr="001B638D">
        <w:t xml:space="preserve"> a lack</w:t>
      </w:r>
      <w:r w:rsidR="003E43D9" w:rsidRPr="001B638D">
        <w:t xml:space="preserve"> in variation of couples and diversity</w:t>
      </w:r>
      <w:r w:rsidR="002903AE" w:rsidRPr="001B638D">
        <w:t xml:space="preserve"> with regard to religious experiences</w:t>
      </w:r>
      <w:r w:rsidR="003E43D9" w:rsidRPr="001B638D">
        <w:t xml:space="preserve">.  </w:t>
      </w:r>
      <w:r w:rsidR="0070474B" w:rsidRPr="001B638D">
        <w:t xml:space="preserve">The types of marriages </w:t>
      </w:r>
      <w:r w:rsidR="002B0284" w:rsidRPr="001B638D">
        <w:t xml:space="preserve">portrayed are narrowed to specifically religious </w:t>
      </w:r>
      <w:r w:rsidR="004A2F50" w:rsidRPr="001B638D">
        <w:t xml:space="preserve">looking </w:t>
      </w:r>
      <w:r w:rsidR="002B0284" w:rsidRPr="001B638D">
        <w:t>ma</w:t>
      </w:r>
      <w:r w:rsidR="0024783E" w:rsidRPr="001B638D">
        <w:t>rriages and ceremonies, and the</w:t>
      </w:r>
      <w:r w:rsidR="002B0284" w:rsidRPr="001B638D">
        <w:t xml:space="preserve"> depiction of marriage is exclusive to religious </w:t>
      </w:r>
      <w:r w:rsidR="00EE5F02">
        <w:t>LGBT</w:t>
      </w:r>
      <w:r w:rsidR="002B0284" w:rsidRPr="001B638D">
        <w:t xml:space="preserve"> </w:t>
      </w:r>
      <w:r w:rsidR="003B7F23" w:rsidRPr="001B638D">
        <w:t xml:space="preserve">members, </w:t>
      </w:r>
      <w:r w:rsidR="002B0284" w:rsidRPr="001B638D">
        <w:t xml:space="preserve">when in actuality not all </w:t>
      </w:r>
      <w:r w:rsidR="00EE5F02">
        <w:t>LGBT</w:t>
      </w:r>
      <w:r w:rsidR="002B0284" w:rsidRPr="001B638D">
        <w:t xml:space="preserve"> members identify with religion or partake in religious practices.  </w:t>
      </w:r>
      <w:r w:rsidR="001A25DB" w:rsidRPr="001B638D">
        <w:t>Scholars (Yarhouse</w:t>
      </w:r>
      <w:r w:rsidR="00BE1AA4" w:rsidRPr="001B638D">
        <w:t xml:space="preserve"> &amp; Nowacki, 2007</w:t>
      </w:r>
      <w:r w:rsidR="001A25DB" w:rsidRPr="001B638D">
        <w:t xml:space="preserve">) discussed the various meanings of marriages within numerous religions and highlighted </w:t>
      </w:r>
      <w:r w:rsidR="007F012C" w:rsidRPr="001B638D">
        <w:t xml:space="preserve">how </w:t>
      </w:r>
      <w:r w:rsidR="00463876">
        <w:t>same-</w:t>
      </w:r>
      <w:r w:rsidR="003B7F23" w:rsidRPr="001B638D">
        <w:t>sex couples marry with the intent of gaining</w:t>
      </w:r>
      <w:r w:rsidR="001A25DB" w:rsidRPr="001B638D">
        <w:t xml:space="preserve"> recognition of a unity, not necessarily for religious reasons</w:t>
      </w:r>
      <w:r w:rsidR="003B7F23" w:rsidRPr="001B638D">
        <w:t xml:space="preserve"> or</w:t>
      </w:r>
      <w:r w:rsidR="001A25DB" w:rsidRPr="001B638D">
        <w:t xml:space="preserve"> procreation.  While some </w:t>
      </w:r>
      <w:r w:rsidR="00EE5F02">
        <w:t>LGBT</w:t>
      </w:r>
      <w:r w:rsidR="001A25DB" w:rsidRPr="001B638D">
        <w:t xml:space="preserve"> couples could practice religion, or marry with the intent to have kids, the representation of all </w:t>
      </w:r>
      <w:r w:rsidR="00EE5F02">
        <w:t>LGBT</w:t>
      </w:r>
      <w:r w:rsidR="001A25DB" w:rsidRPr="001B638D">
        <w:t xml:space="preserve"> couples in the commercial marrying in religious churches is exclusive when </w:t>
      </w:r>
      <w:r w:rsidR="00777097" w:rsidRPr="001B638D">
        <w:t xml:space="preserve">taking into consideration the entire </w:t>
      </w:r>
      <w:r w:rsidR="00EE5F02">
        <w:t>LGBT</w:t>
      </w:r>
      <w:r w:rsidR="00777097" w:rsidRPr="001B638D">
        <w:t xml:space="preserve"> population.</w:t>
      </w:r>
      <w:r w:rsidR="00F90973" w:rsidRPr="001B638D">
        <w:t xml:space="preserve">  </w:t>
      </w:r>
    </w:p>
    <w:p w14:paraId="53AA2FD7" w14:textId="321A2CFB" w:rsidR="004979CC" w:rsidRPr="001B638D" w:rsidRDefault="004979CC" w:rsidP="000953AB">
      <w:pPr>
        <w:spacing w:line="480" w:lineRule="auto"/>
      </w:pPr>
      <w:r w:rsidRPr="001B638D">
        <w:tab/>
      </w:r>
      <w:r w:rsidR="00734304" w:rsidRPr="001B638D">
        <w:t xml:space="preserve">The </w:t>
      </w:r>
      <w:r w:rsidR="00EE5F02">
        <w:t>LGBT</w:t>
      </w:r>
      <w:r w:rsidR="00734304" w:rsidRPr="001B638D">
        <w:t xml:space="preserve"> bodies </w:t>
      </w:r>
      <w:r w:rsidR="00C3077D" w:rsidRPr="001B638D">
        <w:t>portrayed</w:t>
      </w:r>
      <w:r w:rsidR="00734304" w:rsidRPr="001B638D">
        <w:t xml:space="preserve"> in the commercial perform marriage in a traditional, heteronormative manner.  </w:t>
      </w:r>
      <w:r w:rsidR="00850239" w:rsidRPr="001B638D">
        <w:t>The commercial shows marriage practiced how society is used to seeing marriage practiced</w:t>
      </w:r>
      <w:r w:rsidR="006F0B36" w:rsidRPr="001B638D">
        <w:t xml:space="preserve">, with white dresses, suits, </w:t>
      </w:r>
      <w:r w:rsidR="009D0685" w:rsidRPr="001B638D">
        <w:t xml:space="preserve">big receptions, in a church </w:t>
      </w:r>
      <w:r w:rsidR="007042E6" w:rsidRPr="001B638D">
        <w:t>or</w:t>
      </w:r>
      <w:r w:rsidR="006F0B36" w:rsidRPr="001B638D">
        <w:t xml:space="preserve"> outside under a trellis</w:t>
      </w:r>
      <w:r w:rsidR="007042E6" w:rsidRPr="001B638D">
        <w:t>, with photographers</w:t>
      </w:r>
      <w:r w:rsidR="009D0685" w:rsidRPr="001B638D">
        <w:t>,</w:t>
      </w:r>
      <w:r w:rsidR="007042E6" w:rsidRPr="001B638D">
        <w:t xml:space="preserve"> and flower bouquets</w:t>
      </w:r>
      <w:r w:rsidR="006F0B36" w:rsidRPr="001B638D">
        <w:t xml:space="preserve">.  </w:t>
      </w:r>
      <w:r w:rsidR="00F15618" w:rsidRPr="001B638D">
        <w:t xml:space="preserve">The commercial </w:t>
      </w:r>
      <w:r w:rsidR="00F333E8" w:rsidRPr="001B638D">
        <w:t xml:space="preserve">also </w:t>
      </w:r>
      <w:r w:rsidR="00F15618" w:rsidRPr="001B638D">
        <w:t xml:space="preserve">depicts bodies which appear </w:t>
      </w:r>
      <w:r w:rsidR="00AF5F07" w:rsidRPr="001B638D">
        <w:t>strongly aligned in regard to gender and gender performativity</w:t>
      </w:r>
      <w:r w:rsidR="00120959" w:rsidRPr="001B638D">
        <w:t>,</w:t>
      </w:r>
      <w:r w:rsidR="008D4711" w:rsidRPr="001B638D">
        <w:t xml:space="preserve"> hiding the </w:t>
      </w:r>
      <w:r w:rsidR="00F333E8" w:rsidRPr="001B638D">
        <w:t>masculine woman and the feminine man (Rand, 2013)</w:t>
      </w:r>
      <w:r w:rsidR="00AF5F07" w:rsidRPr="001B638D">
        <w:t xml:space="preserve">.  The marriages between women </w:t>
      </w:r>
      <w:r w:rsidR="003314DA" w:rsidRPr="001B638D">
        <w:t xml:space="preserve">in the commercial occur between two feminine looking </w:t>
      </w:r>
      <w:r w:rsidR="008D4711" w:rsidRPr="001B638D">
        <w:t>women</w:t>
      </w:r>
      <w:r w:rsidR="00F333E8" w:rsidRPr="001B638D">
        <w:t xml:space="preserve"> and marriages between men generally occur between two masculine men.  T</w:t>
      </w:r>
      <w:r w:rsidR="00796F15" w:rsidRPr="001B638D">
        <w:t>he</w:t>
      </w:r>
      <w:r w:rsidR="008D4711" w:rsidRPr="001B638D">
        <w:t xml:space="preserve"> d</w:t>
      </w:r>
      <w:r w:rsidR="00F333E8" w:rsidRPr="001B638D">
        <w:t xml:space="preserve">epiction of only feminine women and masculine men </w:t>
      </w:r>
      <w:r w:rsidR="00AF7CBF" w:rsidRPr="001B638D">
        <w:t xml:space="preserve">encourages heterosexualization of bodies and although </w:t>
      </w:r>
      <w:r w:rsidR="00BD1FE9" w:rsidRPr="001B638D">
        <w:t>Clinton’s commercial is portrayed progressively, the commercial does a poor job of accurately representing the different ways homosexuality can</w:t>
      </w:r>
      <w:r w:rsidR="00120959" w:rsidRPr="001B638D">
        <w:t>,</w:t>
      </w:r>
      <w:r w:rsidR="00BD1FE9" w:rsidRPr="001B638D">
        <w:t xml:space="preserve"> and does</w:t>
      </w:r>
      <w:r w:rsidR="00120959" w:rsidRPr="001B638D">
        <w:t>,</w:t>
      </w:r>
      <w:r w:rsidR="00BD1FE9" w:rsidRPr="001B638D">
        <w:t xml:space="preserve"> look outside the world of media.  </w:t>
      </w:r>
    </w:p>
    <w:p w14:paraId="40C2BA28" w14:textId="5DDC001C" w:rsidR="00761076" w:rsidRPr="001B638D" w:rsidRDefault="00761076" w:rsidP="000953AB">
      <w:pPr>
        <w:spacing w:line="480" w:lineRule="auto"/>
      </w:pPr>
      <w:r w:rsidRPr="001B638D">
        <w:tab/>
      </w:r>
      <w:r w:rsidR="007C29CD" w:rsidRPr="001B638D">
        <w:t xml:space="preserve">In addition to the heteronormative visibility of marriages and the heavily </w:t>
      </w:r>
      <w:r w:rsidR="00627052" w:rsidRPr="001B638D">
        <w:t xml:space="preserve">depicted portrayal of intersecting religion and </w:t>
      </w:r>
      <w:r w:rsidR="00EE5F02">
        <w:t>LGBT</w:t>
      </w:r>
      <w:r w:rsidR="00627052" w:rsidRPr="001B638D">
        <w:t xml:space="preserve"> individuals, </w:t>
      </w:r>
      <w:r w:rsidR="00F07EA9" w:rsidRPr="001B638D">
        <w:t xml:space="preserve">the commercial </w:t>
      </w:r>
      <w:r w:rsidR="004F7E18" w:rsidRPr="001B638D">
        <w:t xml:space="preserve">also </w:t>
      </w:r>
      <w:r w:rsidR="00202BA5" w:rsidRPr="001B638D">
        <w:t>under represents the diverse population</w:t>
      </w:r>
      <w:r w:rsidR="00954441" w:rsidRPr="001B638D">
        <w:t xml:space="preserve"> </w:t>
      </w:r>
      <w:r w:rsidR="00202BA5" w:rsidRPr="001B638D">
        <w:t xml:space="preserve">of the </w:t>
      </w:r>
      <w:r w:rsidR="00EE5F02">
        <w:t>LGBT</w:t>
      </w:r>
      <w:r w:rsidR="00202BA5" w:rsidRPr="001B638D">
        <w:t xml:space="preserve"> community.  </w:t>
      </w:r>
      <w:r w:rsidR="00884249" w:rsidRPr="001B638D">
        <w:t>Most couples shown in the commercial ar</w:t>
      </w:r>
      <w:r w:rsidR="00095F28" w:rsidRPr="001B638D">
        <w:t>e same ra</w:t>
      </w:r>
      <w:r w:rsidR="00F955BA" w:rsidRPr="001B638D">
        <w:t>ce couples and the</w:t>
      </w:r>
      <w:r w:rsidR="00654542" w:rsidRPr="001B638D">
        <w:t xml:space="preserve"> narrating couple portrays two</w:t>
      </w:r>
      <w:r w:rsidR="00480F74" w:rsidRPr="001B638D">
        <w:t xml:space="preserve"> whit</w:t>
      </w:r>
      <w:r w:rsidR="00654542" w:rsidRPr="001B638D">
        <w:t>e,</w:t>
      </w:r>
      <w:r w:rsidR="00D70E2A" w:rsidRPr="001B638D">
        <w:t xml:space="preserve"> masculine bodies, a picture that would appear familiar</w:t>
      </w:r>
      <w:r w:rsidR="007B735E" w:rsidRPr="001B638D">
        <w:t xml:space="preserve"> and comfortable</w:t>
      </w:r>
      <w:r w:rsidR="00D70E2A" w:rsidRPr="001B638D">
        <w:t xml:space="preserve"> to an audience not well acquainted with the </w:t>
      </w:r>
      <w:r w:rsidR="00EE5F02">
        <w:t>LGBT</w:t>
      </w:r>
      <w:r w:rsidR="00D70E2A" w:rsidRPr="001B638D">
        <w:t xml:space="preserve"> community.  </w:t>
      </w:r>
      <w:r w:rsidR="00173F72" w:rsidRPr="001B638D">
        <w:t>Depicting such a privileged couple as the forefront of the commercial</w:t>
      </w:r>
      <w:r w:rsidR="00480F74" w:rsidRPr="001B638D">
        <w:t xml:space="preserve"> further</w:t>
      </w:r>
      <w:r w:rsidR="00173F72" w:rsidRPr="001B638D">
        <w:t xml:space="preserve"> marginalizes </w:t>
      </w:r>
      <w:r w:rsidR="00DA2B98" w:rsidRPr="001B638D">
        <w:t xml:space="preserve">individuals in the </w:t>
      </w:r>
      <w:r w:rsidR="00EE5F02">
        <w:t>LGBT</w:t>
      </w:r>
      <w:r w:rsidR="00DA2B98" w:rsidRPr="001B638D">
        <w:t xml:space="preserve"> community who are looking for e</w:t>
      </w:r>
      <w:r w:rsidR="00906BC9" w:rsidRPr="001B638D">
        <w:t>qual rights and equal privilege.  B</w:t>
      </w:r>
      <w:r w:rsidR="00DA2B98" w:rsidRPr="001B638D">
        <w:t xml:space="preserve">y </w:t>
      </w:r>
      <w:r w:rsidR="001E16A2" w:rsidRPr="001B638D">
        <w:t>restricting</w:t>
      </w:r>
      <w:r w:rsidR="00DA2B98" w:rsidRPr="001B638D">
        <w:t xml:space="preserve"> individuals to the margins, </w:t>
      </w:r>
      <w:r w:rsidR="00EE5F02">
        <w:t>LGBT</w:t>
      </w:r>
      <w:r w:rsidR="00CD7710" w:rsidRPr="001B638D">
        <w:t xml:space="preserve"> members </w:t>
      </w:r>
      <w:r w:rsidR="002F00E6" w:rsidRPr="001B638D">
        <w:t>are not gaining the recognition and inclusion the commercial appears to advocate for</w:t>
      </w:r>
      <w:r w:rsidR="000953AB" w:rsidRPr="001B638D">
        <w:t xml:space="preserve"> and the conversations the commercial encourages could vary</w:t>
      </w:r>
      <w:r w:rsidR="002F00E6" w:rsidRPr="001B638D">
        <w:t xml:space="preserve"> (</w:t>
      </w:r>
      <w:r w:rsidR="000953AB" w:rsidRPr="001B638D">
        <w:t xml:space="preserve">Hanson &amp; </w:t>
      </w:r>
      <w:r w:rsidR="000953AB" w:rsidRPr="001B638D">
        <w:rPr>
          <w:color w:val="000000"/>
        </w:rPr>
        <w:t>Dionisopoulousm, 2012;</w:t>
      </w:r>
      <w:r w:rsidR="0025590A" w:rsidRPr="001B638D">
        <w:rPr>
          <w:color w:val="000000"/>
        </w:rPr>
        <w:t xml:space="preserve"> </w:t>
      </w:r>
      <w:r w:rsidR="002F00E6" w:rsidRPr="001B638D">
        <w:t xml:space="preserve">Samek, 2016). </w:t>
      </w:r>
    </w:p>
    <w:p w14:paraId="36E44E3D" w14:textId="28D4A822" w:rsidR="00221110" w:rsidRPr="001B638D" w:rsidRDefault="00E94C47" w:rsidP="00EE5F02">
      <w:pPr>
        <w:spacing w:line="480" w:lineRule="auto"/>
        <w:outlineLvl w:val="0"/>
      </w:pPr>
      <w:r w:rsidRPr="001B638D">
        <w:rPr>
          <w:b/>
        </w:rPr>
        <w:t>Visibility</w:t>
      </w:r>
      <w:r w:rsidR="005778E9" w:rsidRPr="001B638D">
        <w:tab/>
      </w:r>
    </w:p>
    <w:p w14:paraId="59E26B1D" w14:textId="63823E52" w:rsidR="005778E9" w:rsidRPr="001B638D" w:rsidRDefault="000D187C" w:rsidP="000953AB">
      <w:pPr>
        <w:spacing w:line="480" w:lineRule="auto"/>
        <w:ind w:firstLine="720"/>
      </w:pPr>
      <w:r w:rsidRPr="001B638D">
        <w:rPr>
          <w:color w:val="000000" w:themeColor="text1"/>
        </w:rPr>
        <w:t xml:space="preserve">The Clinton campaign commercial </w:t>
      </w:r>
      <w:r w:rsidR="00AE6DDA" w:rsidRPr="001B638D">
        <w:rPr>
          <w:color w:val="000000" w:themeColor="text1"/>
        </w:rPr>
        <w:t>portrays the intersection of gay marr</w:t>
      </w:r>
      <w:r w:rsidR="00796F15" w:rsidRPr="001B638D">
        <w:rPr>
          <w:color w:val="000000" w:themeColor="text1"/>
        </w:rPr>
        <w:t xml:space="preserve">iage and religion, </w:t>
      </w:r>
      <w:r w:rsidR="0024783E" w:rsidRPr="001B638D">
        <w:t>but</w:t>
      </w:r>
      <w:r w:rsidR="00796F15" w:rsidRPr="001B638D">
        <w:t>, the</w:t>
      </w:r>
      <w:r w:rsidR="00AE6DDA" w:rsidRPr="001B638D">
        <w:t xml:space="preserve"> intersection does not entirely represent the </w:t>
      </w:r>
      <w:r w:rsidR="00EE5F02">
        <w:t>LGBT</w:t>
      </w:r>
      <w:r w:rsidR="00AE6DDA" w:rsidRPr="001B638D">
        <w:t xml:space="preserve"> community.  </w:t>
      </w:r>
      <w:r w:rsidR="00694AA5" w:rsidRPr="001B638D">
        <w:t xml:space="preserve">Rand (2013) </w:t>
      </w:r>
      <w:r w:rsidR="000D0645" w:rsidRPr="001B638D">
        <w:t>described</w:t>
      </w:r>
      <w:r w:rsidR="00694AA5" w:rsidRPr="001B638D">
        <w:t xml:space="preserve"> visibility as </w:t>
      </w:r>
      <w:r w:rsidR="000D0645" w:rsidRPr="001B638D">
        <w:t xml:space="preserve">the beneficial means of marginalized groups being seen and heard by </w:t>
      </w:r>
      <w:r w:rsidR="00843643" w:rsidRPr="001B638D">
        <w:t>the media i</w:t>
      </w:r>
      <w:r w:rsidR="000D0645" w:rsidRPr="001B638D">
        <w:t xml:space="preserve">n order to </w:t>
      </w:r>
      <w:r w:rsidR="00843643" w:rsidRPr="001B638D">
        <w:t>“gain greater</w:t>
      </w:r>
      <w:r w:rsidR="00361A00" w:rsidRPr="001B638D">
        <w:t xml:space="preserve"> social, political, cultural or economic legitimacy, power, authority, or access to resources” (p. 122).  </w:t>
      </w:r>
      <w:r w:rsidR="00D33369" w:rsidRPr="001B638D">
        <w:t xml:space="preserve">Gaining visibility for the </w:t>
      </w:r>
      <w:r w:rsidR="00EE5F02">
        <w:t>LGBT</w:t>
      </w:r>
      <w:r w:rsidR="00D33369" w:rsidRPr="001B638D">
        <w:t xml:space="preserve"> community is an important aspect of</w:t>
      </w:r>
      <w:r w:rsidR="00FC6569">
        <w:t xml:space="preserve"> the</w:t>
      </w:r>
      <w:r w:rsidR="00D33369" w:rsidRPr="001B638D">
        <w:t xml:space="preserve"> Clinton campaign commercial, however, </w:t>
      </w:r>
      <w:r w:rsidR="00C45E8C" w:rsidRPr="001B638D">
        <w:t xml:space="preserve">showing couples marrying in religious </w:t>
      </w:r>
      <w:r w:rsidR="001F4054" w:rsidRPr="001B638D">
        <w:t xml:space="preserve">settings confines the </w:t>
      </w:r>
      <w:r w:rsidR="00EE5F02">
        <w:t>LGBT</w:t>
      </w:r>
      <w:r w:rsidR="001F4054" w:rsidRPr="001B638D">
        <w:t xml:space="preserve"> community to </w:t>
      </w:r>
      <w:r w:rsidR="00342783" w:rsidRPr="001B638D">
        <w:t>a place where marriage holds religious values, a familiar image to non-</w:t>
      </w:r>
      <w:r w:rsidR="00EE5F02">
        <w:t>LGBT</w:t>
      </w:r>
      <w:r w:rsidR="00342783" w:rsidRPr="001B638D">
        <w:t xml:space="preserve"> individuals.  </w:t>
      </w:r>
      <w:r w:rsidR="00626C3C" w:rsidRPr="001B638D">
        <w:t xml:space="preserve">Religious visibility </w:t>
      </w:r>
      <w:r w:rsidR="00E84F3D" w:rsidRPr="001B638D">
        <w:t xml:space="preserve">surrounding </w:t>
      </w:r>
      <w:r w:rsidR="00EE5F02">
        <w:t>LGBT</w:t>
      </w:r>
      <w:r w:rsidR="00E84F3D" w:rsidRPr="001B638D">
        <w:t xml:space="preserve"> commun</w:t>
      </w:r>
      <w:r w:rsidR="00C74EA0" w:rsidRPr="001B638D">
        <w:t xml:space="preserve">ities is not only inaccurate in representing the </w:t>
      </w:r>
      <w:r w:rsidR="00EE5F02">
        <w:t>LGBT</w:t>
      </w:r>
      <w:r w:rsidR="00C74EA0" w:rsidRPr="001B638D">
        <w:t xml:space="preserve"> community, a religious form of visibility</w:t>
      </w:r>
      <w:r w:rsidR="00E84F3D" w:rsidRPr="001B638D">
        <w:t xml:space="preserve"> </w:t>
      </w:r>
      <w:r w:rsidR="00C74EA0" w:rsidRPr="001B638D">
        <w:t xml:space="preserve">also pulls focus away from the </w:t>
      </w:r>
      <w:r w:rsidR="00BA3420" w:rsidRPr="001B638D">
        <w:t>purpose</w:t>
      </w:r>
      <w:r w:rsidR="00C74EA0" w:rsidRPr="001B638D">
        <w:t xml:space="preserve"> of the commercial, equal rights.  </w:t>
      </w:r>
    </w:p>
    <w:p w14:paraId="1064B040" w14:textId="4485E2D0" w:rsidR="00EC7F5E" w:rsidRPr="001B638D" w:rsidRDefault="001A0221" w:rsidP="000953AB">
      <w:pPr>
        <w:spacing w:line="480" w:lineRule="auto"/>
      </w:pPr>
      <w:r w:rsidRPr="001B638D">
        <w:tab/>
        <w:t xml:space="preserve">The type of attention </w:t>
      </w:r>
      <w:r w:rsidR="000709D1" w:rsidRPr="001B638D">
        <w:t>the</w:t>
      </w:r>
      <w:r w:rsidRPr="001B638D">
        <w:t xml:space="preserve"> commercial </w:t>
      </w:r>
      <w:r w:rsidR="005E221A" w:rsidRPr="001B638D">
        <w:t>gains</w:t>
      </w:r>
      <w:r w:rsidRPr="001B638D">
        <w:t xml:space="preserve"> </w:t>
      </w:r>
      <w:r w:rsidR="00B4739E" w:rsidRPr="001B638D">
        <w:t xml:space="preserve">for the </w:t>
      </w:r>
      <w:r w:rsidR="00EE5F02">
        <w:t>LGBT</w:t>
      </w:r>
      <w:r w:rsidR="00B4739E" w:rsidRPr="001B638D">
        <w:t xml:space="preserve"> community focuses on images </w:t>
      </w:r>
      <w:r w:rsidR="00F55FDD" w:rsidRPr="001B638D">
        <w:t xml:space="preserve">that are familiar to people who do not identify as </w:t>
      </w:r>
      <w:r w:rsidR="00EE5F02">
        <w:t>LGBT</w:t>
      </w:r>
      <w:r w:rsidR="00F55FDD" w:rsidRPr="001B638D">
        <w:t xml:space="preserve">.  </w:t>
      </w:r>
      <w:r w:rsidR="007B2D70" w:rsidRPr="001B638D">
        <w:t xml:space="preserve">While the goal of the commercial was to </w:t>
      </w:r>
      <w:r w:rsidR="00186993" w:rsidRPr="001B638D">
        <w:t>raise awareness for the comm</w:t>
      </w:r>
      <w:r w:rsidR="00502A46" w:rsidRPr="001B638D">
        <w:t xml:space="preserve">unity and advocate for equality, the kind of attention the commercial gains for </w:t>
      </w:r>
      <w:r w:rsidR="00EE5F02">
        <w:t>LGBT</w:t>
      </w:r>
      <w:r w:rsidR="00502A46" w:rsidRPr="001B638D">
        <w:t xml:space="preserve"> individuals is that of heteronormative practices within the realm of marriage and union between two people.  </w:t>
      </w:r>
      <w:r w:rsidR="006739BF" w:rsidRPr="001B638D">
        <w:t xml:space="preserve">Scholars (Rand, 2013; Samek, 2016) have </w:t>
      </w:r>
      <w:r w:rsidR="00372E90" w:rsidRPr="001B638D">
        <w:t>discussed the challenges of visibility</w:t>
      </w:r>
      <w:r w:rsidR="003E0DF8" w:rsidRPr="001B638D">
        <w:t>,</w:t>
      </w:r>
      <w:r w:rsidR="00372E90" w:rsidRPr="001B638D">
        <w:t xml:space="preserve"> and </w:t>
      </w:r>
      <w:r w:rsidR="0072593D" w:rsidRPr="001B638D">
        <w:t>in the commercial, when bodies are depicted heteronormatively, the message of equality</w:t>
      </w:r>
      <w:r w:rsidR="00C85416" w:rsidRPr="001B638D">
        <w:t>,</w:t>
      </w:r>
      <w:r w:rsidR="0072593D" w:rsidRPr="001B638D">
        <w:t xml:space="preserve"> despite diversity</w:t>
      </w:r>
      <w:r w:rsidR="00C85416" w:rsidRPr="001B638D">
        <w:t>,</w:t>
      </w:r>
      <w:r w:rsidR="0072593D" w:rsidRPr="001B638D">
        <w:t xml:space="preserve"> is diluted, and the message instead </w:t>
      </w:r>
      <w:r w:rsidR="00084733" w:rsidRPr="001B638D">
        <w:t>focuses on</w:t>
      </w:r>
      <w:r w:rsidR="0072593D" w:rsidRPr="001B638D">
        <w:t xml:space="preserve"> marriage looking the </w:t>
      </w:r>
      <w:r w:rsidR="00084733" w:rsidRPr="001B638D">
        <w:t xml:space="preserve">same across all kinds of people, </w:t>
      </w:r>
      <w:r w:rsidR="0072593D" w:rsidRPr="001B638D">
        <w:t>races</w:t>
      </w:r>
      <w:r w:rsidR="00084733" w:rsidRPr="001B638D">
        <w:t>,</w:t>
      </w:r>
      <w:r w:rsidR="0072593D" w:rsidRPr="001B638D">
        <w:t xml:space="preserve"> and sexualities</w:t>
      </w:r>
      <w:r w:rsidR="00EC7F5E" w:rsidRPr="001B638D">
        <w:t>.</w:t>
      </w:r>
    </w:p>
    <w:p w14:paraId="55C93C0C" w14:textId="2197DDBF" w:rsidR="001A0221" w:rsidRPr="001B638D" w:rsidRDefault="002A53B4" w:rsidP="00EC7F5E">
      <w:pPr>
        <w:spacing w:line="480" w:lineRule="auto"/>
        <w:ind w:firstLine="720"/>
      </w:pPr>
      <w:r w:rsidRPr="001B638D">
        <w:t xml:space="preserve">The hegemonic structure of </w:t>
      </w:r>
      <w:r w:rsidR="008D5CC9" w:rsidRPr="001B638D">
        <w:t xml:space="preserve">the commercial, showing </w:t>
      </w:r>
      <w:r w:rsidR="00EE5F02">
        <w:t>LGBT</w:t>
      </w:r>
      <w:r w:rsidR="008D5CC9" w:rsidRPr="001B638D">
        <w:t xml:space="preserve"> individuals practicing such a </w:t>
      </w:r>
      <w:r w:rsidR="001D0101" w:rsidRPr="001B638D">
        <w:t xml:space="preserve">normalized </w:t>
      </w:r>
      <w:r w:rsidR="00891F19" w:rsidRPr="001B638D">
        <w:t xml:space="preserve">ceremony </w:t>
      </w:r>
      <w:r w:rsidR="001D0101" w:rsidRPr="001B638D">
        <w:t xml:space="preserve">in a heteronormative way alludes to the potential for society to understand that </w:t>
      </w:r>
      <w:r w:rsidR="00EE5F02">
        <w:t>LGBT</w:t>
      </w:r>
      <w:r w:rsidR="001D0101" w:rsidRPr="001B638D">
        <w:t xml:space="preserve"> members accept the reinforced gender roles marriage suggests (</w:t>
      </w:r>
      <w:r w:rsidR="001D0101" w:rsidRPr="001B638D">
        <w:rPr>
          <w:color w:val="000000" w:themeColor="text1"/>
        </w:rPr>
        <w:t>Liebler, Schwartz, &amp; Harper, 2009; Snorton, 2013).</w:t>
      </w:r>
      <w:r w:rsidR="00EC7F5E" w:rsidRPr="001B638D">
        <w:rPr>
          <w:color w:val="000000" w:themeColor="text1"/>
        </w:rPr>
        <w:t xml:space="preserve">  In addition to the potential misconstrual of </w:t>
      </w:r>
      <w:r w:rsidR="00EE5F02">
        <w:rPr>
          <w:color w:val="000000" w:themeColor="text1"/>
        </w:rPr>
        <w:t>LGBT</w:t>
      </w:r>
      <w:r w:rsidR="00EC7F5E" w:rsidRPr="001B638D">
        <w:rPr>
          <w:color w:val="000000" w:themeColor="text1"/>
        </w:rPr>
        <w:t xml:space="preserve"> values </w:t>
      </w:r>
      <w:r w:rsidR="00110216" w:rsidRPr="001B638D">
        <w:rPr>
          <w:color w:val="000000" w:themeColor="text1"/>
        </w:rPr>
        <w:t xml:space="preserve">the narrators of the commercial are masculine, white men.  </w:t>
      </w:r>
      <w:r w:rsidR="00003FC5" w:rsidRPr="001B638D">
        <w:rPr>
          <w:color w:val="000000" w:themeColor="text1"/>
        </w:rPr>
        <w:t xml:space="preserve">Portraying these men at the foreground of the commercial </w:t>
      </w:r>
      <w:r w:rsidR="00BC7353" w:rsidRPr="001B638D">
        <w:rPr>
          <w:color w:val="000000" w:themeColor="text1"/>
        </w:rPr>
        <w:t>highlights</w:t>
      </w:r>
      <w:r w:rsidR="00003FC5" w:rsidRPr="001B638D">
        <w:rPr>
          <w:color w:val="000000" w:themeColor="text1"/>
        </w:rPr>
        <w:t xml:space="preserve"> heterosexual, white, Christians </w:t>
      </w:r>
      <w:r w:rsidR="00BC7353" w:rsidRPr="001B638D">
        <w:rPr>
          <w:color w:val="000000" w:themeColor="text1"/>
        </w:rPr>
        <w:t>as</w:t>
      </w:r>
      <w:r w:rsidR="00003FC5" w:rsidRPr="001B638D">
        <w:rPr>
          <w:color w:val="000000" w:themeColor="text1"/>
        </w:rPr>
        <w:t xml:space="preserve"> the most visible</w:t>
      </w:r>
      <w:r w:rsidR="00843C2B" w:rsidRPr="001B638D">
        <w:rPr>
          <w:color w:val="000000" w:themeColor="text1"/>
        </w:rPr>
        <w:t xml:space="preserve"> </w:t>
      </w:r>
      <w:r w:rsidR="00BC7353" w:rsidRPr="001B638D">
        <w:rPr>
          <w:color w:val="000000" w:themeColor="text1"/>
        </w:rPr>
        <w:t>demographic, marginalizing the intersection of</w:t>
      </w:r>
      <w:r w:rsidR="00971930" w:rsidRPr="001B638D">
        <w:rPr>
          <w:color w:val="000000" w:themeColor="text1"/>
        </w:rPr>
        <w:t xml:space="preserve"> other</w:t>
      </w:r>
      <w:r w:rsidR="00BC7353" w:rsidRPr="001B638D">
        <w:rPr>
          <w:color w:val="000000" w:themeColor="text1"/>
        </w:rPr>
        <w:t xml:space="preserve"> races, sexualities, and </w:t>
      </w:r>
      <w:r w:rsidR="00F00C46" w:rsidRPr="001B638D">
        <w:rPr>
          <w:color w:val="000000" w:themeColor="text1"/>
        </w:rPr>
        <w:t>performances of gender</w:t>
      </w:r>
      <w:r w:rsidR="00003FC5" w:rsidRPr="001B638D">
        <w:rPr>
          <w:color w:val="000000" w:themeColor="text1"/>
        </w:rPr>
        <w:t xml:space="preserve">.  </w:t>
      </w:r>
      <w:r w:rsidR="000D5A78" w:rsidRPr="001B638D">
        <w:rPr>
          <w:color w:val="000000" w:themeColor="text1"/>
        </w:rPr>
        <w:t xml:space="preserve">Comparing the issue of equal rights to a religious-looking ceremony risks minimalizing the importance of </w:t>
      </w:r>
      <w:r w:rsidR="00690E5E" w:rsidRPr="001B638D">
        <w:rPr>
          <w:color w:val="000000" w:themeColor="text1"/>
        </w:rPr>
        <w:t xml:space="preserve">advocating for </w:t>
      </w:r>
      <w:r w:rsidR="00EE5F02">
        <w:rPr>
          <w:color w:val="000000" w:themeColor="text1"/>
        </w:rPr>
        <w:t>LGBT</w:t>
      </w:r>
      <w:r w:rsidR="00690E5E" w:rsidRPr="001B638D">
        <w:rPr>
          <w:color w:val="000000" w:themeColor="text1"/>
        </w:rPr>
        <w:t xml:space="preserve"> rights and restricts conversations of diversity when assessing the importance of equality (</w:t>
      </w:r>
      <w:r w:rsidR="00690E5E" w:rsidRPr="001B638D">
        <w:t xml:space="preserve">Hanson &amp; </w:t>
      </w:r>
      <w:r w:rsidR="00690E5E" w:rsidRPr="001B638D">
        <w:rPr>
          <w:color w:val="000000"/>
        </w:rPr>
        <w:t xml:space="preserve">Dionisopoulousm, 2012; </w:t>
      </w:r>
      <w:r w:rsidR="00690E5E" w:rsidRPr="001B638D">
        <w:rPr>
          <w:color w:val="000000" w:themeColor="text1"/>
        </w:rPr>
        <w:t>Kearl, 2015; Sonorton, 213; West, 2015)</w:t>
      </w:r>
      <w:r w:rsidR="00843C2B" w:rsidRPr="001B638D">
        <w:rPr>
          <w:color w:val="000000" w:themeColor="text1"/>
        </w:rPr>
        <w:t xml:space="preserve">.  </w:t>
      </w:r>
    </w:p>
    <w:p w14:paraId="7E0703B1" w14:textId="77777777" w:rsidR="00E94C47" w:rsidRPr="001B638D" w:rsidRDefault="00E94C47" w:rsidP="00EE5F02">
      <w:pPr>
        <w:spacing w:line="480" w:lineRule="auto"/>
        <w:outlineLvl w:val="0"/>
        <w:rPr>
          <w:b/>
        </w:rPr>
      </w:pPr>
      <w:r w:rsidRPr="001B638D">
        <w:rPr>
          <w:b/>
        </w:rPr>
        <w:t>Intersectionality</w:t>
      </w:r>
    </w:p>
    <w:p w14:paraId="5A937FBA" w14:textId="7D26DA6D" w:rsidR="00A74CF6" w:rsidRPr="001B638D" w:rsidRDefault="00F00C46" w:rsidP="000953AB">
      <w:pPr>
        <w:spacing w:line="480" w:lineRule="auto"/>
      </w:pPr>
      <w:r w:rsidRPr="001B638D">
        <w:rPr>
          <w:b/>
        </w:rPr>
        <w:tab/>
      </w:r>
      <w:r w:rsidR="005C7DB4" w:rsidRPr="001B638D">
        <w:t xml:space="preserve">Scholars (Kearl, 2015) described intersectionality as “a way to explain the complex relationship between systems and logics of oppression that materialize as particularly disenfranchising for those that experience multiple oppressed identities” (p. 67).  </w:t>
      </w:r>
      <w:r w:rsidR="0006676E" w:rsidRPr="001B638D">
        <w:t xml:space="preserve">Intersectionality can clearly be seen in the Clinton campaign commercial through various races participating in </w:t>
      </w:r>
      <w:r w:rsidR="00EE5F02">
        <w:t>LGBT</w:t>
      </w:r>
      <w:r w:rsidR="0006676E" w:rsidRPr="001B638D">
        <w:t xml:space="preserve"> marriages.  While this </w:t>
      </w:r>
      <w:r w:rsidR="001F61D6" w:rsidRPr="001B638D">
        <w:t xml:space="preserve">outwardly appears progressive, there is a lack of representation of interracial marriages, which is </w:t>
      </w:r>
      <w:r w:rsidR="005118B7" w:rsidRPr="001B638D">
        <w:t>unsettling</w:t>
      </w:r>
      <w:r w:rsidR="001F61D6" w:rsidRPr="001B638D">
        <w:t xml:space="preserve"> when considering that interracial marriages are still not commonplace, and people in the population still highly disapprove of interracial relationships</w:t>
      </w:r>
      <w:r w:rsidR="00BF7632" w:rsidRPr="001B638D">
        <w:t xml:space="preserve"> (Dunleavy, 2004)</w:t>
      </w:r>
      <w:r w:rsidR="001F61D6" w:rsidRPr="001B638D">
        <w:t xml:space="preserve">.  </w:t>
      </w:r>
      <w:r w:rsidR="005118B7" w:rsidRPr="001B638D">
        <w:t xml:space="preserve">Highlighting whiteness and </w:t>
      </w:r>
      <w:r w:rsidR="004C6933" w:rsidRPr="001B638D">
        <w:t xml:space="preserve">same race couples in the commercial </w:t>
      </w:r>
      <w:r w:rsidR="00C7458C" w:rsidRPr="001B638D">
        <w:t xml:space="preserve">emphasizes </w:t>
      </w:r>
      <w:r w:rsidR="00917E89" w:rsidRPr="001B638D">
        <w:t>the limitations of media and politics when discussing controversial</w:t>
      </w:r>
      <w:r w:rsidR="00A52C30" w:rsidRPr="001B638D">
        <w:t xml:space="preserve"> topics.  The avoidance of multiple issues in one commercial offsets the support of advocating for equal rights </w:t>
      </w:r>
      <w:r w:rsidR="00AC1246" w:rsidRPr="001B638D">
        <w:t xml:space="preserve">and creates an avenue for shifting the conversation back </w:t>
      </w:r>
      <w:r w:rsidR="00A74CF6" w:rsidRPr="001B638D">
        <w:t xml:space="preserve">to privileged </w:t>
      </w:r>
      <w:r w:rsidR="00AC1246" w:rsidRPr="001B638D">
        <w:t>individuals</w:t>
      </w:r>
      <w:r w:rsidR="00DC445C">
        <w:t>,</w:t>
      </w:r>
      <w:r w:rsidR="00A74CF6" w:rsidRPr="001B638D">
        <w:t xml:space="preserve"> who circulate regularly in the media</w:t>
      </w:r>
      <w:r w:rsidR="00DC445C">
        <w:t>,</w:t>
      </w:r>
      <w:r w:rsidR="00AC1246" w:rsidRPr="001B638D">
        <w:t xml:space="preserve"> when </w:t>
      </w:r>
      <w:r w:rsidR="00BD4A40" w:rsidRPr="001B638D">
        <w:t>people get offended</w:t>
      </w:r>
      <w:r w:rsidR="00A74CF6" w:rsidRPr="001B638D">
        <w:t xml:space="preserve"> (Li &amp; Liu, 2010)</w:t>
      </w:r>
      <w:r w:rsidR="00BD4A40" w:rsidRPr="001B638D">
        <w:t>.</w:t>
      </w:r>
    </w:p>
    <w:p w14:paraId="14D5C514" w14:textId="6934E603" w:rsidR="009901B8" w:rsidRPr="001B638D" w:rsidRDefault="00A74CF6" w:rsidP="009901B8">
      <w:pPr>
        <w:spacing w:line="480" w:lineRule="auto"/>
      </w:pPr>
      <w:r w:rsidRPr="001B638D">
        <w:tab/>
      </w:r>
      <w:r w:rsidR="009121A3" w:rsidRPr="001B638D">
        <w:t xml:space="preserve">The commercial also focuses on marriages which look religious.  While people of religion are not marginalized in society, often times non-Christian and non-religious people are marginalized, and for the most part, these people are not shown participating in marriage.  </w:t>
      </w:r>
      <w:r w:rsidR="00106A13" w:rsidRPr="001B638D">
        <w:t xml:space="preserve">Authors </w:t>
      </w:r>
      <w:r w:rsidR="008A5295" w:rsidRPr="001B638D">
        <w:t>(Campbell &amp; Monson, 2008) also discuss</w:t>
      </w:r>
      <w:r w:rsidR="007521BC" w:rsidRPr="001B638D">
        <w:t>ed</w:t>
      </w:r>
      <w:r w:rsidR="008A5295" w:rsidRPr="001B638D">
        <w:t xml:space="preserve"> the ways homosexuality marginalization could be comp</w:t>
      </w:r>
      <w:r w:rsidR="00A0044A" w:rsidRPr="001B638D">
        <w:t xml:space="preserve">ared to racial marginalization in regard to how the public will best </w:t>
      </w:r>
      <w:r w:rsidR="007521BC" w:rsidRPr="001B638D">
        <w:t>perceive</w:t>
      </w:r>
      <w:r w:rsidR="00A0044A" w:rsidRPr="001B638D">
        <w:t xml:space="preserve"> messages.  Campbell and Monson (2008) </w:t>
      </w:r>
      <w:r w:rsidR="007521BC" w:rsidRPr="001B638D">
        <w:t xml:space="preserve">suggested that </w:t>
      </w:r>
      <w:r w:rsidR="00924B33" w:rsidRPr="001B638D">
        <w:t>if politicians take a stance too far extreme of either issue, they will appeal to only a specific demographic of people</w:t>
      </w:r>
      <w:r w:rsidR="0066607B" w:rsidRPr="001B638D">
        <w:t>,</w:t>
      </w:r>
      <w:r w:rsidR="00924B33" w:rsidRPr="001B638D">
        <w:t xml:space="preserve"> and obviously</w:t>
      </w:r>
      <w:r w:rsidR="0066607B" w:rsidRPr="001B638D">
        <w:t xml:space="preserve"> minimalizing</w:t>
      </w:r>
      <w:r w:rsidR="00924B33" w:rsidRPr="001B638D">
        <w:t xml:space="preserve"> the potential audience of an issue is not beneficial when campaigning.  </w:t>
      </w:r>
      <w:r w:rsidR="00767799" w:rsidRPr="001B638D">
        <w:t>However, the lack of representation of a specific demographic of people can be seen as exclusive</w:t>
      </w:r>
      <w:r w:rsidR="0066607B" w:rsidRPr="001B638D">
        <w:t xml:space="preserve"> to individuals in the </w:t>
      </w:r>
      <w:r w:rsidR="00EE5F02">
        <w:t>LGBT</w:t>
      </w:r>
      <w:r w:rsidR="0066607B" w:rsidRPr="001B638D">
        <w:t xml:space="preserve"> community</w:t>
      </w:r>
      <w:r w:rsidR="00767799" w:rsidRPr="001B638D">
        <w:t xml:space="preserve">.  For example, a latin@ individual who is gender fluid, in an interracial relationship, and </w:t>
      </w:r>
      <w:r w:rsidR="0066607B" w:rsidRPr="001B638D">
        <w:t>has adopted a queer political standpoint</w:t>
      </w:r>
      <w:r w:rsidR="00767799" w:rsidRPr="001B638D">
        <w:t xml:space="preserve"> in regard to marriage is not at all represented in the Clinton campaign commercial.  </w:t>
      </w:r>
    </w:p>
    <w:p w14:paraId="1D2DF25F" w14:textId="0384CDD9" w:rsidR="00F00C46" w:rsidRPr="001B638D" w:rsidRDefault="00196562" w:rsidP="009901B8">
      <w:pPr>
        <w:spacing w:line="480" w:lineRule="auto"/>
        <w:ind w:firstLine="720"/>
      </w:pPr>
      <w:r w:rsidRPr="001B638D">
        <w:t>Excluding individuals who do not conform to the heteronormative marriage defeats the point of advocating for equal rights for all indivi</w:t>
      </w:r>
      <w:r w:rsidR="003E4236" w:rsidRPr="001B638D">
        <w:t>duals.  People viewing the commercial are now restricted to a lens</w:t>
      </w:r>
      <w:r w:rsidRPr="001B638D">
        <w:t xml:space="preserve"> </w:t>
      </w:r>
      <w:r w:rsidR="003E4236" w:rsidRPr="001B638D">
        <w:t xml:space="preserve">where all </w:t>
      </w:r>
      <w:r w:rsidR="00EE5F02">
        <w:t>LGBT</w:t>
      </w:r>
      <w:r w:rsidR="003E4236" w:rsidRPr="001B638D">
        <w:t xml:space="preserve"> members</w:t>
      </w:r>
      <w:r w:rsidR="000628D7">
        <w:t>,</w:t>
      </w:r>
      <w:r w:rsidR="003E4236" w:rsidRPr="001B638D">
        <w:t xml:space="preserve"> not only </w:t>
      </w:r>
      <w:r w:rsidR="009901B8" w:rsidRPr="001B638D">
        <w:t>appear cisgendered</w:t>
      </w:r>
      <w:r w:rsidR="000628D7">
        <w:t>,</w:t>
      </w:r>
      <w:r w:rsidR="009901B8" w:rsidRPr="001B638D">
        <w:t xml:space="preserve"> but desire a </w:t>
      </w:r>
      <w:r w:rsidR="00DE6800" w:rsidRPr="001B638D">
        <w:t xml:space="preserve">heteronormative </w:t>
      </w:r>
      <w:r w:rsidR="009901B8" w:rsidRPr="001B638D">
        <w:t xml:space="preserve">religious </w:t>
      </w:r>
      <w:r w:rsidR="00DE6800" w:rsidRPr="001B638D">
        <w:t xml:space="preserve">marriage.  </w:t>
      </w:r>
      <w:r w:rsidR="001A1F68" w:rsidRPr="001B638D">
        <w:t xml:space="preserve">Scholars </w:t>
      </w:r>
      <w:r w:rsidR="00CB0FA1" w:rsidRPr="001B638D">
        <w:t xml:space="preserve">(Campbell &amp; Monson, 2008; Rand, 2013; </w:t>
      </w:r>
      <w:r w:rsidR="00D25B68" w:rsidRPr="001B638D">
        <w:t xml:space="preserve">West, 2015) have highlighted the importance </w:t>
      </w:r>
      <w:r w:rsidR="005A339F" w:rsidRPr="001B638D">
        <w:t xml:space="preserve">of recognition for intersectional, marginalized communities </w:t>
      </w:r>
      <w:r w:rsidR="003726F1" w:rsidRPr="001B638D">
        <w:t xml:space="preserve">and </w:t>
      </w:r>
      <w:r w:rsidR="009B7089" w:rsidRPr="001B638D">
        <w:t xml:space="preserve">the heteronormative, white visibility this commercial </w:t>
      </w:r>
      <w:r w:rsidR="00140B3C" w:rsidRPr="001B638D">
        <w:t xml:space="preserve">lends results in limited fully representational visibility of racially diverse, non-heteronormative </w:t>
      </w:r>
      <w:r w:rsidR="00EE5F02">
        <w:t>LGBT</w:t>
      </w:r>
      <w:r w:rsidR="00140B3C" w:rsidRPr="001B638D">
        <w:t xml:space="preserve"> couples. </w:t>
      </w:r>
    </w:p>
    <w:p w14:paraId="30A00309" w14:textId="61269E5E" w:rsidR="00E94C47" w:rsidRPr="001B638D" w:rsidRDefault="00E94C47" w:rsidP="00EE5F02">
      <w:pPr>
        <w:spacing w:line="480" w:lineRule="auto"/>
        <w:outlineLvl w:val="0"/>
        <w:rPr>
          <w:b/>
        </w:rPr>
      </w:pPr>
      <w:r w:rsidRPr="001B638D">
        <w:rPr>
          <w:b/>
        </w:rPr>
        <w:t>Analysis</w:t>
      </w:r>
    </w:p>
    <w:p w14:paraId="3D8728EA" w14:textId="26981515" w:rsidR="00394EBC" w:rsidRDefault="00394EBC" w:rsidP="000953AB">
      <w:pPr>
        <w:spacing w:line="480" w:lineRule="auto"/>
      </w:pPr>
      <w:r w:rsidRPr="001B638D">
        <w:rPr>
          <w:b/>
        </w:rPr>
        <w:tab/>
      </w:r>
      <w:r w:rsidR="00926D8C" w:rsidRPr="001B638D">
        <w:t xml:space="preserve">The Clinton campaign commercial aims to </w:t>
      </w:r>
      <w:r w:rsidR="00891043" w:rsidRPr="001B638D">
        <w:t xml:space="preserve">celebrate </w:t>
      </w:r>
      <w:r w:rsidR="00E55C76" w:rsidRPr="001B638D">
        <w:t xml:space="preserve">and </w:t>
      </w:r>
      <w:r w:rsidR="005A1EFC" w:rsidRPr="001B638D">
        <w:t>draw attention</w:t>
      </w:r>
      <w:r w:rsidR="00190324" w:rsidRPr="001B638D">
        <w:t xml:space="preserve"> </w:t>
      </w:r>
      <w:r w:rsidR="005A1EFC" w:rsidRPr="001B638D">
        <w:t xml:space="preserve">to the </w:t>
      </w:r>
      <w:r w:rsidR="00190324" w:rsidRPr="001B638D">
        <w:t xml:space="preserve">various bodies of America and advocate for their equal rights in society and governance.  </w:t>
      </w:r>
      <w:r w:rsidR="005513D5" w:rsidRPr="001B638D">
        <w:t xml:space="preserve">From the standpoint of the commercial, </w:t>
      </w:r>
      <w:r w:rsidR="00DA6DC3" w:rsidRPr="001B638D">
        <w:t xml:space="preserve">the </w:t>
      </w:r>
      <w:r w:rsidR="00F73809">
        <w:t>message</w:t>
      </w:r>
      <w:r w:rsidR="00DA6DC3" w:rsidRPr="001B638D">
        <w:t xml:space="preserve"> appears very progressive and </w:t>
      </w:r>
      <w:r w:rsidR="00A005F7" w:rsidRPr="001B638D">
        <w:t>encourages the viewers to adopt the same progressive thought</w:t>
      </w:r>
      <w:r w:rsidR="00A80422">
        <w:t>:</w:t>
      </w:r>
      <w:r w:rsidR="00A005F7" w:rsidRPr="001B638D">
        <w:t xml:space="preserve"> celebrating union in marriage for all people, moving toward equal, human rights.  </w:t>
      </w:r>
      <w:r w:rsidR="004E4F73" w:rsidRPr="001B638D">
        <w:t xml:space="preserve">However, the commercial’s way of </w:t>
      </w:r>
      <w:r w:rsidR="005C330A">
        <w:t xml:space="preserve">depicting the </w:t>
      </w:r>
      <w:r w:rsidR="00EE5F02">
        <w:t>LGBT</w:t>
      </w:r>
      <w:r w:rsidR="005C330A">
        <w:t xml:space="preserve"> community lacks in equal representation of all </w:t>
      </w:r>
      <w:r w:rsidR="00EE5F02">
        <w:t>LGBT</w:t>
      </w:r>
      <w:r w:rsidR="005C330A">
        <w:t xml:space="preserve"> individuals and instead focuses the attention of the commercial on white looking bodies, straight, cisgendered bodies, and </w:t>
      </w:r>
      <w:r w:rsidR="00243A6F">
        <w:t xml:space="preserve">religious bodies.  </w:t>
      </w:r>
    </w:p>
    <w:p w14:paraId="0485EA27" w14:textId="0DB52429" w:rsidR="00243A6F" w:rsidRDefault="00243A6F" w:rsidP="000953AB">
      <w:pPr>
        <w:spacing w:line="480" w:lineRule="auto"/>
      </w:pPr>
      <w:r>
        <w:tab/>
      </w:r>
      <w:r w:rsidR="006D79C3">
        <w:t xml:space="preserve">The bodies represented in the commercial excludes those who do not look and act in similar ways.  </w:t>
      </w:r>
      <w:r w:rsidR="000E3FC3">
        <w:t>Misrepresenting</w:t>
      </w:r>
      <w:r w:rsidR="00B96FA9">
        <w:t xml:space="preserve"> a community, </w:t>
      </w:r>
      <w:r w:rsidR="000E3FC3">
        <w:t>while</w:t>
      </w:r>
      <w:r w:rsidR="00B96FA9">
        <w:t xml:space="preserve"> advocating for that community is detrimental.  </w:t>
      </w:r>
      <w:r w:rsidR="00C076A2">
        <w:t>Scholars (</w:t>
      </w:r>
      <w:r w:rsidR="008E3CBF">
        <w:t>Campbell &amp; Monson, 2008; Kearl, 2015; Samek, 2016</w:t>
      </w:r>
      <w:r w:rsidR="00C076A2">
        <w:t>) have clearly discussed correct and effective ways to convey the visibility of a gro</w:t>
      </w:r>
      <w:r w:rsidR="005D0807">
        <w:t>up of marginalized individuals.  However, researchers (Same</w:t>
      </w:r>
      <w:r w:rsidR="001857E3">
        <w:t>k</w:t>
      </w:r>
      <w:r w:rsidR="005D0807">
        <w:t xml:space="preserve">, 2016) also </w:t>
      </w:r>
      <w:r w:rsidR="001857E3">
        <w:t xml:space="preserve">discussed the importance of truly understanding and advocating for the specific needs of the </w:t>
      </w:r>
      <w:r w:rsidR="00EE5F02">
        <w:t>LGBT</w:t>
      </w:r>
      <w:r w:rsidR="001857E3">
        <w:t xml:space="preserve"> community, and not just </w:t>
      </w:r>
      <w:r w:rsidR="008760ED">
        <w:t xml:space="preserve">“queer visibility and inclusion” (p. 361) as a whole.  </w:t>
      </w:r>
    </w:p>
    <w:p w14:paraId="5404088B" w14:textId="44C93BEB" w:rsidR="001625AF" w:rsidRDefault="001625AF" w:rsidP="000953AB">
      <w:pPr>
        <w:spacing w:line="480" w:lineRule="auto"/>
      </w:pPr>
      <w:r>
        <w:tab/>
      </w:r>
      <w:r w:rsidR="009460D2">
        <w:t xml:space="preserve">Other scholars (Yarhouse &amp; </w:t>
      </w:r>
      <w:r w:rsidR="009460D2" w:rsidRPr="001B638D">
        <w:t>Nowacki</w:t>
      </w:r>
      <w:r w:rsidR="009460D2">
        <w:t xml:space="preserve">, 2007) discussed the different ways </w:t>
      </w:r>
      <w:r w:rsidR="00D8174F">
        <w:t xml:space="preserve">numerous religions practice marriage and the meanings and symbols behind the publically performed union based on different cultures’ values and beliefs.  </w:t>
      </w:r>
      <w:r w:rsidR="006A3E6F">
        <w:t>The commercial’s depiction of mar</w:t>
      </w:r>
      <w:r w:rsidR="00DE27D4">
        <w:t>riage in a heteronormative light</w:t>
      </w:r>
      <w:r w:rsidR="006A3E6F">
        <w:t xml:space="preserve">, implies all </w:t>
      </w:r>
      <w:r w:rsidR="00EE5F02">
        <w:t>LGBT</w:t>
      </w:r>
      <w:r w:rsidR="006A3E6F">
        <w:t xml:space="preserve"> individuals desire and want a sacred union of marriage in the disciplined fashion most people are used to seeing marriage.  This assumption is </w:t>
      </w:r>
      <w:r w:rsidR="001A54F2">
        <w:t>disadvantageous</w:t>
      </w:r>
      <w:r w:rsidR="006A3E6F">
        <w:t xml:space="preserve"> </w:t>
      </w:r>
      <w:r w:rsidR="00E13353">
        <w:t xml:space="preserve">in the way </w:t>
      </w:r>
      <w:r w:rsidR="00491566">
        <w:t xml:space="preserve">it represents the </w:t>
      </w:r>
      <w:r w:rsidR="00EE5F02">
        <w:t>LGBT</w:t>
      </w:r>
      <w:r w:rsidR="00491566">
        <w:t xml:space="preserve"> community.  </w:t>
      </w:r>
      <w:r w:rsidR="002D2F84">
        <w:t xml:space="preserve">When discussing legal rights of equality, morality should not be a factor, and the marriage the </w:t>
      </w:r>
      <w:r w:rsidR="00EE5F02">
        <w:t>LGBT</w:t>
      </w:r>
      <w:r w:rsidR="002D2F84">
        <w:t xml:space="preserve"> community desire acceptance into is initially the </w:t>
      </w:r>
      <w:r w:rsidR="00232654">
        <w:t xml:space="preserve">legal, civil act of marriage (Liebler, Schwartz, &amp; Harper, 2009).  </w:t>
      </w:r>
      <w:r w:rsidR="00300D41">
        <w:t>The implied religious link to marriage in the commercial lends to picturing a heterosexual bond and</w:t>
      </w:r>
      <w:r w:rsidR="00DA0371">
        <w:t>,</w:t>
      </w:r>
      <w:r w:rsidR="00300D41">
        <w:t xml:space="preserve"> in the wake of gaining visibility and leverage for the </w:t>
      </w:r>
      <w:r w:rsidR="00EE5F02">
        <w:t>LGBT</w:t>
      </w:r>
      <w:r w:rsidR="00300D41">
        <w:t xml:space="preserve"> community, does little to change the thinking of conservative communities.  </w:t>
      </w:r>
    </w:p>
    <w:p w14:paraId="4C4305B5" w14:textId="18378F1B" w:rsidR="00BC2576" w:rsidRDefault="00BC2576" w:rsidP="000953AB">
      <w:pPr>
        <w:spacing w:line="480" w:lineRule="auto"/>
      </w:pPr>
      <w:r>
        <w:tab/>
      </w:r>
      <w:r w:rsidR="00F86068">
        <w:t>Researchers (</w:t>
      </w:r>
      <w:r w:rsidR="00A85D91">
        <w:t>Campbell &amp; Monson, 2008; Dunleavy, 2004; Kearl, 2015; West, 2015</w:t>
      </w:r>
      <w:r w:rsidR="00F86068">
        <w:t xml:space="preserve">) have also studied the intersectionality of race and the </w:t>
      </w:r>
      <w:r w:rsidR="00EE5F02">
        <w:t>LGBT</w:t>
      </w:r>
      <w:r w:rsidR="00F86068">
        <w:t xml:space="preserve"> community.  </w:t>
      </w:r>
      <w:r w:rsidR="006C7DF9">
        <w:t xml:space="preserve">However, the commercial focuses on a white, straight-looking bodied, cisgendered couple.  The narration from this couple, while moving and filled with messages of acceptance, affords a sense of familiarity in the kind of </w:t>
      </w:r>
      <w:r w:rsidR="008354F5">
        <w:t xml:space="preserve">body </w:t>
      </w:r>
      <w:r w:rsidR="00EE6D9A">
        <w:t xml:space="preserve">depicted and that body does not accurately represent the entirety of the </w:t>
      </w:r>
      <w:r w:rsidR="00EE5F02">
        <w:t>LGBT</w:t>
      </w:r>
      <w:r w:rsidR="00EE6D9A">
        <w:t xml:space="preserve"> community.  </w:t>
      </w:r>
      <w:r w:rsidR="00295B5F">
        <w:t>Additionally, bodies of color, while depicted, are not shown interracially, limiting the intersection of</w:t>
      </w:r>
      <w:r w:rsidR="006B1DCF">
        <w:t xml:space="preserve"> an</w:t>
      </w:r>
      <w:r w:rsidR="00295B5F">
        <w:t xml:space="preserve"> interracial relationship and</w:t>
      </w:r>
      <w:r w:rsidR="006B1DCF">
        <w:t xml:space="preserve"> an</w:t>
      </w:r>
      <w:r w:rsidR="00295B5F">
        <w:t xml:space="preserve"> </w:t>
      </w:r>
      <w:r w:rsidR="00EE5F02">
        <w:t>LGBT</w:t>
      </w:r>
      <w:r w:rsidR="00295B5F">
        <w:t xml:space="preserve"> identity.  </w:t>
      </w:r>
      <w:r w:rsidR="00A04BD0">
        <w:t>Seeing comfortable looking bodies in the commerc</w:t>
      </w:r>
      <w:r w:rsidR="00A621CA">
        <w:t xml:space="preserve">ial and continuing to discipline the sameness of relationships strays away from the equality message the commercial intends to make.  </w:t>
      </w:r>
      <w:r w:rsidR="00E941D8">
        <w:t xml:space="preserve">Without disrupting the norm of interracial relationships and </w:t>
      </w:r>
      <w:r w:rsidR="00EE5F02">
        <w:t>LGBT</w:t>
      </w:r>
      <w:r w:rsidR="00E941D8">
        <w:t xml:space="preserve"> relationships, the march toward equal rights for all bodies slows down because the media directly influences what the public learns, how much the public learns, and how the public thinks about any given controversy (Li &amp; Liu, 2010).  </w:t>
      </w:r>
    </w:p>
    <w:p w14:paraId="3FB77F85" w14:textId="758E9D1B" w:rsidR="00182D64" w:rsidRDefault="007F4315" w:rsidP="000953AB">
      <w:pPr>
        <w:spacing w:line="480" w:lineRule="auto"/>
      </w:pPr>
      <w:r>
        <w:tab/>
      </w:r>
      <w:r w:rsidR="002E7D1A">
        <w:t xml:space="preserve">The implications of misrepresenting the marginalized group of the </w:t>
      </w:r>
      <w:r w:rsidR="00EE5F02">
        <w:t>LGBT</w:t>
      </w:r>
      <w:r w:rsidR="002E7D1A">
        <w:t xml:space="preserve"> community lie in the type of attention the group receives and the way the media presents the group to society</w:t>
      </w:r>
      <w:r w:rsidR="00BD0B03">
        <w:t xml:space="preserve"> (Hanson </w:t>
      </w:r>
      <w:r w:rsidR="00BD0B03" w:rsidRPr="001B638D">
        <w:t xml:space="preserve">&amp; </w:t>
      </w:r>
      <w:r w:rsidR="00BD0B03" w:rsidRPr="001B638D">
        <w:rPr>
          <w:color w:val="000000"/>
        </w:rPr>
        <w:t>Dionisopoulousm, 2012</w:t>
      </w:r>
      <w:r w:rsidR="00BD0B03">
        <w:rPr>
          <w:color w:val="000000"/>
        </w:rPr>
        <w:t xml:space="preserve">; Li &amp; Liu, 2010; Liebler, </w:t>
      </w:r>
      <w:r w:rsidR="00BD0B03">
        <w:t xml:space="preserve">Schwartz, &amp; Harper, 2009; Samek, 2016).  </w:t>
      </w:r>
      <w:r w:rsidR="006679BA">
        <w:t>Hanson and Dionisopoulousm</w:t>
      </w:r>
      <w:r w:rsidR="001104AB">
        <w:t xml:space="preserve"> (2012) </w:t>
      </w:r>
      <w:r w:rsidR="009E3880">
        <w:t xml:space="preserve">discussed the ways loss of rights for the </w:t>
      </w:r>
      <w:r w:rsidR="00EE5F02">
        <w:t>LGBT</w:t>
      </w:r>
      <w:r w:rsidR="009E3880">
        <w:t xml:space="preserve"> community resulted in a “public devaluation of their humanity” (p. 40) </w:t>
      </w:r>
      <w:r w:rsidR="00577025">
        <w:t xml:space="preserve">and while this type of attention is obviously negative, </w:t>
      </w:r>
      <w:r w:rsidR="009B7459">
        <w:t xml:space="preserve">inaccurate representation of the goals of the </w:t>
      </w:r>
      <w:r w:rsidR="00EE5F02">
        <w:t>LGBT</w:t>
      </w:r>
      <w:r w:rsidR="009B7459">
        <w:t xml:space="preserve"> community </w:t>
      </w:r>
      <w:r w:rsidR="004876A2">
        <w:t xml:space="preserve">can also result in negative visibility.  </w:t>
      </w:r>
      <w:r w:rsidR="001F654B">
        <w:t xml:space="preserve">When displaying </w:t>
      </w:r>
      <w:r w:rsidR="00EE5F02">
        <w:t>LGBT</w:t>
      </w:r>
      <w:r w:rsidR="001F654B">
        <w:t xml:space="preserve"> communities in the media, the importance of accurately representing the community </w:t>
      </w:r>
      <w:r w:rsidR="00ED6898">
        <w:t xml:space="preserve">is reflected in the conversations that start due to </w:t>
      </w:r>
      <w:r w:rsidR="00C91A1E">
        <w:t xml:space="preserve">the gained exposure of the community.  </w:t>
      </w:r>
      <w:r w:rsidR="00647962">
        <w:t xml:space="preserve">Other scholars (Li &amp; Liu, 2010) stated </w:t>
      </w:r>
      <w:r w:rsidR="00B85348">
        <w:t xml:space="preserve">the importance of how the media covers an issue, because society will view the issue however the media frames it.  The Clinton campaign commercial, </w:t>
      </w:r>
      <w:r w:rsidR="00C17F0D">
        <w:t xml:space="preserve">while positive, lacks full representation of the </w:t>
      </w:r>
      <w:r w:rsidR="00EE5F02">
        <w:t>LGBT</w:t>
      </w:r>
      <w:r w:rsidR="00C17F0D">
        <w:t xml:space="preserve"> community and thus the conversations that surround the commercial </w:t>
      </w:r>
      <w:r w:rsidR="0099711C">
        <w:t xml:space="preserve">leave individuals out of discussion and therefore those individuals continue to remain marginalized.  </w:t>
      </w:r>
    </w:p>
    <w:p w14:paraId="1D57D1D1" w14:textId="5658649B" w:rsidR="00E221DA" w:rsidRDefault="0082419D" w:rsidP="000953AB">
      <w:pPr>
        <w:spacing w:line="480" w:lineRule="auto"/>
      </w:pPr>
      <w:r>
        <w:tab/>
      </w:r>
      <w:r w:rsidR="00E11423">
        <w:t xml:space="preserve">In addition to the misrepresentation of </w:t>
      </w:r>
      <w:r w:rsidR="00024D84">
        <w:t xml:space="preserve">the </w:t>
      </w:r>
      <w:r w:rsidR="00EE5F02">
        <w:t>LGBT</w:t>
      </w:r>
      <w:r w:rsidR="00024D84">
        <w:t xml:space="preserve"> community, consequences result from negative visibility.  Scholars (Rand, 2013; Yarhouse &amp; </w:t>
      </w:r>
      <w:r w:rsidR="00024D84" w:rsidRPr="001B638D">
        <w:t>Nowacki</w:t>
      </w:r>
      <w:r w:rsidR="00024D84">
        <w:t>, 2007)</w:t>
      </w:r>
      <w:r w:rsidR="00FA4600">
        <w:t xml:space="preserve"> </w:t>
      </w:r>
      <w:r w:rsidR="00906174">
        <w:t xml:space="preserve">have discussed how </w:t>
      </w:r>
      <w:r w:rsidR="00FD61EC">
        <w:t>heteronormative v</w:t>
      </w:r>
      <w:r w:rsidR="006A0F41">
        <w:t xml:space="preserve">isibility encouraged </w:t>
      </w:r>
      <w:r w:rsidR="00EE5F02">
        <w:t>LGBT</w:t>
      </w:r>
      <w:r w:rsidR="006A0F41">
        <w:t xml:space="preserve"> bodied</w:t>
      </w:r>
      <w:r w:rsidR="00FD61EC">
        <w:t xml:space="preserve"> people to perform their sexuality heteronormatively.  Obviously, performing homosexuality heteronormatively is detrimental </w:t>
      </w:r>
      <w:r w:rsidR="003B14B6">
        <w:t xml:space="preserve">to the </w:t>
      </w:r>
      <w:r w:rsidR="00EE5F02">
        <w:t>LGBT</w:t>
      </w:r>
      <w:r w:rsidR="003B14B6">
        <w:t xml:space="preserve"> community as individuals should be able to perform their sexuality in a way that lines up with their sexual orientation.  </w:t>
      </w:r>
      <w:r w:rsidR="00570FB9">
        <w:t xml:space="preserve">The individuals in the commercial </w:t>
      </w:r>
      <w:r w:rsidR="00D31726">
        <w:t xml:space="preserve">perform </w:t>
      </w:r>
      <w:r w:rsidR="00975865">
        <w:t>mar</w:t>
      </w:r>
      <w:r w:rsidR="00454683">
        <w:t>riage heteronormatively and the</w:t>
      </w:r>
      <w:r w:rsidR="00975865">
        <w:t xml:space="preserve"> discipline of </w:t>
      </w:r>
      <w:r w:rsidR="001B0BC7">
        <w:t xml:space="preserve">normative marriage draws attention away from </w:t>
      </w:r>
      <w:r w:rsidR="00146278">
        <w:t>the fact</w:t>
      </w:r>
      <w:r w:rsidR="008601FD">
        <w:t xml:space="preserve"> that the married persons are a part of the </w:t>
      </w:r>
      <w:r w:rsidR="00EE5F02">
        <w:t>LGBT</w:t>
      </w:r>
      <w:r w:rsidR="008601FD">
        <w:t xml:space="preserve"> community</w:t>
      </w:r>
      <w:r w:rsidR="00C20DE0">
        <w:t xml:space="preserve">. </w:t>
      </w:r>
      <w:r w:rsidR="008601FD">
        <w:t xml:space="preserve"> </w:t>
      </w:r>
      <w:r w:rsidR="00C20DE0">
        <w:t>This results</w:t>
      </w:r>
      <w:r w:rsidR="00454683">
        <w:t xml:space="preserve"> in </w:t>
      </w:r>
      <w:r w:rsidR="000052B8">
        <w:t>visibility only geared toward</w:t>
      </w:r>
      <w:r w:rsidR="00031915">
        <w:t xml:space="preserve"> the practice of</w:t>
      </w:r>
      <w:r w:rsidR="000052B8">
        <w:t xml:space="preserve"> marriage, and the </w:t>
      </w:r>
      <w:r w:rsidR="00EE5F02">
        <w:t>LGBT</w:t>
      </w:r>
      <w:r w:rsidR="000052B8">
        <w:t xml:space="preserve"> community </w:t>
      </w:r>
      <w:r w:rsidR="00331A5C">
        <w:t>suffers at a lost chanc</w:t>
      </w:r>
      <w:r w:rsidR="00E221DA">
        <w:t xml:space="preserve">e for recognition (West, 2015). </w:t>
      </w:r>
    </w:p>
    <w:p w14:paraId="746F0D64" w14:textId="7F2BDFC3" w:rsidR="0082419D" w:rsidRDefault="00E221DA" w:rsidP="000953AB">
      <w:pPr>
        <w:spacing w:line="480" w:lineRule="auto"/>
      </w:pPr>
      <w:r>
        <w:tab/>
      </w:r>
      <w:r w:rsidR="00C662A5">
        <w:t xml:space="preserve">  </w:t>
      </w:r>
      <w:r w:rsidR="000052B8">
        <w:t xml:space="preserve">  </w:t>
      </w:r>
      <w:r w:rsidR="00C2258F">
        <w:t xml:space="preserve">Many scholars </w:t>
      </w:r>
      <w:r w:rsidR="00DD219D">
        <w:t xml:space="preserve">(Kearl, 2015; Snorton, 2013; West, 2015) have </w:t>
      </w:r>
      <w:r w:rsidR="00C2258F">
        <w:t xml:space="preserve">also </w:t>
      </w:r>
      <w:r w:rsidR="00B860F4">
        <w:t xml:space="preserve">discussed the </w:t>
      </w:r>
      <w:r w:rsidR="00DD219D">
        <w:t>practice</w:t>
      </w:r>
      <w:r w:rsidR="00B860F4">
        <w:t xml:space="preserve"> of talking about </w:t>
      </w:r>
      <w:r w:rsidR="00EE5F02">
        <w:t>LGBT</w:t>
      </w:r>
      <w:r w:rsidR="00B860F4">
        <w:t xml:space="preserve"> issues using analogies.  </w:t>
      </w:r>
      <w:r w:rsidR="007F0F0A">
        <w:t xml:space="preserve">From comparing the illegality of same-sex marriage to the illegality of interracial marriage (West, 2015), to discussing the potential detriments in accurately portraying ideas within public discourse analogically (Snorton, 2013), to </w:t>
      </w:r>
      <w:r w:rsidR="00883545">
        <w:t xml:space="preserve">analogizing the civil rights movement and marriage equality (Kearl, 2015), </w:t>
      </w:r>
      <w:r w:rsidR="00AD2466">
        <w:t xml:space="preserve">scholars have explored the uses of speaking analogically.  </w:t>
      </w:r>
      <w:r w:rsidR="00FA4229">
        <w:t xml:space="preserve">While this practice could potentially prove helpful, one must use analogies with caution when discussing controversial issues because </w:t>
      </w:r>
      <w:r w:rsidR="003F3658">
        <w:t>doing so could potentially “</w:t>
      </w:r>
      <w:r w:rsidR="001C4CE6">
        <w:t>[prevent]</w:t>
      </w:r>
      <w:r w:rsidR="009D3584" w:rsidRPr="009D3584">
        <w:t xml:space="preserve"> meaningful and complex conversations about power and oppression</w:t>
      </w:r>
      <w:r w:rsidR="009D3584">
        <w:t xml:space="preserve">” (p. 63).  </w:t>
      </w:r>
    </w:p>
    <w:p w14:paraId="332CEB06" w14:textId="266799E7" w:rsidR="002373E0" w:rsidRPr="001B638D" w:rsidRDefault="002373E0" w:rsidP="000953AB">
      <w:pPr>
        <w:spacing w:line="480" w:lineRule="auto"/>
      </w:pPr>
      <w:r>
        <w:tab/>
      </w:r>
      <w:r w:rsidR="00E34C42">
        <w:t>Authors (Kearl, 2015; Li &amp; Liu, 2010; Snorton, 2013) have</w:t>
      </w:r>
      <w:r w:rsidR="009E38C2">
        <w:t xml:space="preserve"> also</w:t>
      </w:r>
      <w:r w:rsidR="00E34C42">
        <w:t xml:space="preserve"> </w:t>
      </w:r>
      <w:r w:rsidR="00DF72ED">
        <w:t xml:space="preserve">researched the influence of power </w:t>
      </w:r>
      <w:r w:rsidR="00B12525">
        <w:t xml:space="preserve">in regard to media, </w:t>
      </w:r>
      <w:r w:rsidR="00E41E10">
        <w:t xml:space="preserve">understanding certain individuals hold power over others, and </w:t>
      </w:r>
      <w:r w:rsidR="003E17AF">
        <w:t xml:space="preserve">how hostility between marginalized groups renders the intersection of those two groups powerless.  </w:t>
      </w:r>
      <w:r w:rsidR="00DF66A4">
        <w:t xml:space="preserve">Understanding the power that various groups have the potential to hold over others, willingly or unwillingly, is important when understanding the </w:t>
      </w:r>
      <w:r w:rsidR="00945380">
        <w:t xml:space="preserve">aspects of issue which need to be visible.  The </w:t>
      </w:r>
      <w:r w:rsidR="00EE5F02">
        <w:t>LGBT</w:t>
      </w:r>
      <w:r w:rsidR="00945380">
        <w:t xml:space="preserve"> community </w:t>
      </w:r>
      <w:r w:rsidR="00FA4F33">
        <w:t xml:space="preserve">yields much of its power to the media, and how the media portrays </w:t>
      </w:r>
      <w:r w:rsidR="00EE5F02">
        <w:t>LGBT</w:t>
      </w:r>
      <w:r w:rsidR="00FA4F33">
        <w:t xml:space="preserve"> individuals directly effects how society views</w:t>
      </w:r>
      <w:r w:rsidR="00B27AC9">
        <w:t xml:space="preserve"> those individuals.  </w:t>
      </w:r>
      <w:r w:rsidR="00AA10A5">
        <w:t xml:space="preserve">This power ignites an importance in moving away from heteronormative visibility of </w:t>
      </w:r>
      <w:r w:rsidR="00EE5F02">
        <w:t>LGBT</w:t>
      </w:r>
      <w:r w:rsidR="00AA10A5">
        <w:t xml:space="preserve"> communities in regard to marriage</w:t>
      </w:r>
      <w:r w:rsidR="00E519E0">
        <w:t>,</w:t>
      </w:r>
      <w:r w:rsidR="001A5C42">
        <w:t xml:space="preserve"> </w:t>
      </w:r>
      <w:r w:rsidR="00DF394E">
        <w:t xml:space="preserve">generally </w:t>
      </w:r>
      <w:r w:rsidR="00054D4F">
        <w:t>and</w:t>
      </w:r>
      <w:r w:rsidR="00DF394E">
        <w:t xml:space="preserve"> marriage</w:t>
      </w:r>
      <w:r w:rsidR="00054D4F">
        <w:t xml:space="preserve"> equality</w:t>
      </w:r>
      <w:r w:rsidR="00E519E0">
        <w:t>,</w:t>
      </w:r>
      <w:r w:rsidR="00DF394E">
        <w:t xml:space="preserve"> specifically</w:t>
      </w:r>
      <w:r w:rsidR="00054D4F">
        <w:t xml:space="preserve">.  </w:t>
      </w:r>
    </w:p>
    <w:p w14:paraId="4ACB4CFF" w14:textId="77777777" w:rsidR="00D43537" w:rsidRDefault="00E94C47" w:rsidP="00EE5F02">
      <w:pPr>
        <w:spacing w:line="480" w:lineRule="auto"/>
        <w:outlineLvl w:val="0"/>
        <w:rPr>
          <w:b/>
        </w:rPr>
      </w:pPr>
      <w:r w:rsidRPr="001B638D">
        <w:rPr>
          <w:b/>
        </w:rPr>
        <w:t>Conclusion</w:t>
      </w:r>
      <w:r w:rsidR="00E771B3" w:rsidRPr="001B638D">
        <w:rPr>
          <w:b/>
        </w:rPr>
        <w:tab/>
      </w:r>
    </w:p>
    <w:p w14:paraId="4BF479CA" w14:textId="1C2EA874" w:rsidR="00163505" w:rsidRDefault="00D43537" w:rsidP="000953AB">
      <w:pPr>
        <w:spacing w:line="480" w:lineRule="auto"/>
      </w:pPr>
      <w:r>
        <w:rPr>
          <w:b/>
        </w:rPr>
        <w:tab/>
      </w:r>
      <w:r w:rsidR="00D561C3">
        <w:t xml:space="preserve">The </w:t>
      </w:r>
      <w:r w:rsidR="00227101">
        <w:t>Clinton campa</w:t>
      </w:r>
      <w:r w:rsidR="00D561C3">
        <w:t>i</w:t>
      </w:r>
      <w:r w:rsidR="00227101">
        <w:t>g</w:t>
      </w:r>
      <w:r w:rsidR="00404E56">
        <w:t xml:space="preserve">n commercial, through the lens of visibility and intersectionality, limits the accuracy of the representation the </w:t>
      </w:r>
      <w:r w:rsidR="00EE5F02">
        <w:t>LGBT</w:t>
      </w:r>
      <w:r w:rsidR="00404E56">
        <w:t xml:space="preserve"> community receives when depicting the right for </w:t>
      </w:r>
      <w:r w:rsidR="00EE5F02">
        <w:t>LGBT</w:t>
      </w:r>
      <w:r w:rsidR="00404E56">
        <w:t xml:space="preserve"> individuals to marry.  </w:t>
      </w:r>
      <w:r w:rsidR="000F4364">
        <w:t xml:space="preserve">With regard to visibility, the kinds of visibility the </w:t>
      </w:r>
      <w:r w:rsidR="00EE5F02">
        <w:t>LGBT</w:t>
      </w:r>
      <w:r w:rsidR="000F4364">
        <w:t xml:space="preserve"> community</w:t>
      </w:r>
      <w:r w:rsidR="002E35AE">
        <w:t xml:space="preserve"> gains from the media directly influences the public opinion of the community.  Therefore, the </w:t>
      </w:r>
      <w:r w:rsidR="00EE5F02">
        <w:t>LGBT</w:t>
      </w:r>
      <w:r w:rsidR="002E35AE">
        <w:t xml:space="preserve"> community </w:t>
      </w:r>
      <w:r w:rsidR="00B25E73">
        <w:t xml:space="preserve">is at risk of being viewed heteronormatively when marrying, and this instilled discipline to marry according to gender roles defies the purpose of the </w:t>
      </w:r>
      <w:r w:rsidR="00EE5F02">
        <w:t>LGBT</w:t>
      </w:r>
      <w:r w:rsidR="00B25E73">
        <w:t xml:space="preserve"> movement and what the community and its allies stand for.  </w:t>
      </w:r>
    </w:p>
    <w:p w14:paraId="10B53B49" w14:textId="45CDF5F9" w:rsidR="00872BBB" w:rsidRDefault="0011417B" w:rsidP="00872BBB">
      <w:pPr>
        <w:spacing w:line="480" w:lineRule="auto"/>
        <w:ind w:firstLine="720"/>
      </w:pPr>
      <w:r>
        <w:t>With regard to intersectiona</w:t>
      </w:r>
      <w:r w:rsidR="00470317">
        <w:t xml:space="preserve">lity, interracial couples were under represented in the commercial and the commercial highlighted the whiteness of the narrating couple.  </w:t>
      </w:r>
      <w:r w:rsidR="009634E8">
        <w:t xml:space="preserve">Focusing on the whiteness of the </w:t>
      </w:r>
      <w:r w:rsidR="00220571">
        <w:t xml:space="preserve">narrating couple draws attention away from the diversity that exists within the </w:t>
      </w:r>
      <w:r w:rsidR="00EE5F02">
        <w:t>LGBT</w:t>
      </w:r>
      <w:r w:rsidR="00220571">
        <w:t xml:space="preserve"> community</w:t>
      </w:r>
      <w:r w:rsidR="00E65D71">
        <w:t xml:space="preserve"> and </w:t>
      </w:r>
      <w:r w:rsidR="00303042">
        <w:t xml:space="preserve">results in misrepresentation.  The lack of interracial couples in the commercial </w:t>
      </w:r>
      <w:r w:rsidR="00163505">
        <w:t>pushed</w:t>
      </w:r>
      <w:r w:rsidR="00303042">
        <w:t xml:space="preserve"> </w:t>
      </w:r>
      <w:r w:rsidR="00B445C0">
        <w:t xml:space="preserve">the intersection between race and </w:t>
      </w:r>
      <w:r w:rsidR="00EE5F02">
        <w:t>LGBT</w:t>
      </w:r>
      <w:r w:rsidR="00B445C0">
        <w:t xml:space="preserve"> bodies </w:t>
      </w:r>
      <w:r w:rsidR="00163505">
        <w:t xml:space="preserve">when in actuality, this intersection should not be confined to the margins.  </w:t>
      </w:r>
    </w:p>
    <w:p w14:paraId="6567AE23" w14:textId="0E7D84C3" w:rsidR="00581BD4" w:rsidRPr="00872BBB" w:rsidRDefault="00F76193" w:rsidP="00872BBB">
      <w:pPr>
        <w:spacing w:line="480" w:lineRule="auto"/>
        <w:ind w:firstLine="720"/>
      </w:pPr>
      <w:r>
        <w:t xml:space="preserve">The representation of the </w:t>
      </w:r>
      <w:r w:rsidR="00EE5F02">
        <w:t>LGBT</w:t>
      </w:r>
      <w:r>
        <w:t xml:space="preserve"> community </w:t>
      </w:r>
      <w:r w:rsidR="00A55398">
        <w:t xml:space="preserve">in the Clinton campaign commercial subjected the </w:t>
      </w:r>
      <w:r w:rsidR="00EE5F02">
        <w:t>LGBT</w:t>
      </w:r>
      <w:r w:rsidR="00A55398">
        <w:t xml:space="preserve"> community to </w:t>
      </w:r>
      <w:r w:rsidR="00EB41C6">
        <w:t xml:space="preserve">remaining excluded, heteronormative, and underrepresented in the media and in society.  </w:t>
      </w:r>
      <w:r w:rsidR="00037ED0">
        <w:t xml:space="preserve">The portrayal of marriage as religious excluded non-religious bodies from the civil act of marriage, and thus does not accurately </w:t>
      </w:r>
      <w:r w:rsidR="00583BA6">
        <w:t xml:space="preserve">include all members of the </w:t>
      </w:r>
      <w:r w:rsidR="00EE5F02">
        <w:t>LGBT</w:t>
      </w:r>
      <w:r w:rsidR="00583BA6">
        <w:t xml:space="preserve"> community.  The bodies in the commercial appeared cisgendered, straight-looking bodies, and th</w:t>
      </w:r>
      <w:r w:rsidR="00EF2B0E">
        <w:t>e portrayal of these bodies adds</w:t>
      </w:r>
      <w:r w:rsidR="00583BA6">
        <w:t xml:space="preserve"> to the heteronormative, gender specific roles of </w:t>
      </w:r>
      <w:r w:rsidR="00EF2B0E">
        <w:t>traditional</w:t>
      </w:r>
      <w:r w:rsidR="00583BA6">
        <w:t xml:space="preserve"> marriage</w:t>
      </w:r>
      <w:r w:rsidR="0007256C">
        <w:t xml:space="preserve">, keeping nontraditional practices of marriage marginalized and encouraging the discipline of stereotypical gender roles in marriage.  </w:t>
      </w:r>
      <w:r w:rsidR="009F4150">
        <w:t xml:space="preserve">The commercial under represented the </w:t>
      </w:r>
      <w:r w:rsidR="00EE5F02">
        <w:t>LGBT</w:t>
      </w:r>
      <w:r w:rsidR="009F4150">
        <w:t xml:space="preserve"> co</w:t>
      </w:r>
      <w:r w:rsidR="00D40949">
        <w:t>mmunity despite having a positive tone.  T</w:t>
      </w:r>
      <w:r w:rsidR="009F4150">
        <w:t xml:space="preserve">he unaccounted individuals of the </w:t>
      </w:r>
      <w:r w:rsidR="00EE5F02">
        <w:t>LGBT</w:t>
      </w:r>
      <w:r w:rsidR="009F4150">
        <w:t xml:space="preserve"> community from the commercial rendered the commercial subject to critique </w:t>
      </w:r>
      <w:r w:rsidR="00B259E8">
        <w:t xml:space="preserve">and discussion in order to uncover the ways the </w:t>
      </w:r>
      <w:r w:rsidR="00EE5F02">
        <w:t>LGBT</w:t>
      </w:r>
      <w:r w:rsidR="00B259E8">
        <w:t xml:space="preserve"> community was </w:t>
      </w:r>
      <w:r w:rsidR="003B54A4">
        <w:t>mis</w:t>
      </w:r>
      <w:r w:rsidR="00B259E8">
        <w:t xml:space="preserve">represented.  </w:t>
      </w:r>
      <w:r w:rsidR="00C70F3A" w:rsidRPr="001B638D">
        <w:rPr>
          <w:b/>
        </w:rPr>
        <w:br w:type="page"/>
      </w:r>
    </w:p>
    <w:p w14:paraId="17FB5BBC" w14:textId="5EA7813F" w:rsidR="00D34AC6" w:rsidRPr="001B638D" w:rsidRDefault="00581BD4" w:rsidP="00EE5F02">
      <w:pPr>
        <w:spacing w:line="480" w:lineRule="auto"/>
        <w:jc w:val="center"/>
        <w:outlineLvl w:val="0"/>
      </w:pPr>
      <w:r w:rsidRPr="001B638D">
        <w:t>References</w:t>
      </w:r>
    </w:p>
    <w:p w14:paraId="650120DF" w14:textId="77777777" w:rsidR="00581BD4" w:rsidRPr="001B638D" w:rsidRDefault="00581BD4" w:rsidP="000953AB">
      <w:pPr>
        <w:widowControl w:val="0"/>
        <w:autoSpaceDE w:val="0"/>
        <w:autoSpaceDN w:val="0"/>
        <w:adjustRightInd w:val="0"/>
        <w:spacing w:line="480" w:lineRule="auto"/>
        <w:ind w:left="720" w:hanging="720"/>
      </w:pPr>
      <w:r w:rsidRPr="001B638D">
        <w:t xml:space="preserve">Campbell, D. E., &amp; Monson, J. Q. (2008). The religion card: Gay marriage and the 2004 presidential election. </w:t>
      </w:r>
      <w:r w:rsidRPr="001B638D">
        <w:rPr>
          <w:i/>
        </w:rPr>
        <w:t>Public Opinion Quarterly</w:t>
      </w:r>
      <w:r w:rsidRPr="001B638D">
        <w:t xml:space="preserve">, </w:t>
      </w:r>
      <w:r w:rsidRPr="001B638D">
        <w:rPr>
          <w:i/>
        </w:rPr>
        <w:t>72</w:t>
      </w:r>
      <w:r w:rsidRPr="001B638D">
        <w:t xml:space="preserve">, 399-419. doi:10.1093/poq/nfn032 </w:t>
      </w:r>
    </w:p>
    <w:p w14:paraId="286046DC" w14:textId="78E153C3" w:rsidR="00B300D5" w:rsidRPr="001B638D" w:rsidRDefault="00B300D5" w:rsidP="000953AB">
      <w:pPr>
        <w:widowControl w:val="0"/>
        <w:autoSpaceDE w:val="0"/>
        <w:autoSpaceDN w:val="0"/>
        <w:adjustRightInd w:val="0"/>
        <w:spacing w:line="480" w:lineRule="auto"/>
        <w:ind w:left="720" w:hanging="720"/>
      </w:pPr>
      <w:r w:rsidRPr="001B638D">
        <w:t>Clinton, H.  [Hi</w:t>
      </w:r>
      <w:r w:rsidR="00703854" w:rsidRPr="001B638D">
        <w:t xml:space="preserve">llary Clinton]. (2015, June 24). </w:t>
      </w:r>
      <w:r w:rsidR="00703854" w:rsidRPr="001B638D">
        <w:rPr>
          <w:i/>
        </w:rPr>
        <w:t>Equal | Hillary Clinton</w:t>
      </w:r>
      <w:r w:rsidR="00703854" w:rsidRPr="001B638D">
        <w:t xml:space="preserve"> [Video file]. Retrieved from https://www.youtube.com/watch?v=g2Y9abmNuRw</w:t>
      </w:r>
    </w:p>
    <w:p w14:paraId="3152B5F6" w14:textId="77777777" w:rsidR="002F7E57" w:rsidRPr="001B638D" w:rsidRDefault="002F7E57" w:rsidP="000953AB">
      <w:pPr>
        <w:widowControl w:val="0"/>
        <w:autoSpaceDE w:val="0"/>
        <w:autoSpaceDN w:val="0"/>
        <w:adjustRightInd w:val="0"/>
        <w:spacing w:line="480" w:lineRule="auto"/>
        <w:ind w:left="720" w:hanging="720"/>
        <w:rPr>
          <w:color w:val="000000"/>
        </w:rPr>
      </w:pPr>
      <w:r w:rsidRPr="001B638D">
        <w:t xml:space="preserve">Dunleavy, V. O. (2004). Examining interracial marriage attitudes as value expressive attitudes. </w:t>
      </w:r>
      <w:r w:rsidRPr="001B638D">
        <w:rPr>
          <w:i/>
        </w:rPr>
        <w:t>The Howard Journal of Communication</w:t>
      </w:r>
      <w:r w:rsidRPr="001B638D">
        <w:t xml:space="preserve">, </w:t>
      </w:r>
      <w:r w:rsidRPr="001B638D">
        <w:rPr>
          <w:i/>
        </w:rPr>
        <w:t>15</w:t>
      </w:r>
      <w:r w:rsidRPr="001B638D">
        <w:t>, 21-38. doi:</w:t>
      </w:r>
      <w:r w:rsidRPr="001B638D">
        <w:rPr>
          <w:color w:val="000000"/>
        </w:rPr>
        <w:t xml:space="preserve">10.1080/10646170490275369 </w:t>
      </w:r>
    </w:p>
    <w:p w14:paraId="4F3882EA" w14:textId="77777777" w:rsidR="00581BD4" w:rsidRPr="001B638D" w:rsidRDefault="00581BD4" w:rsidP="000953AB">
      <w:pPr>
        <w:widowControl w:val="0"/>
        <w:autoSpaceDE w:val="0"/>
        <w:autoSpaceDN w:val="0"/>
        <w:adjustRightInd w:val="0"/>
        <w:spacing w:line="480" w:lineRule="auto"/>
        <w:ind w:left="720" w:hanging="720"/>
        <w:rPr>
          <w:color w:val="000000"/>
        </w:rPr>
      </w:pPr>
      <w:r w:rsidRPr="001B638D">
        <w:rPr>
          <w:color w:val="000000"/>
        </w:rPr>
        <w:t xml:space="preserve">Hanson, W. D., &amp; Dionisopoulousm G. N. (2012). Eulogy rhetoric as a political coping mechanism: The aftermath of proposition 8. </w:t>
      </w:r>
      <w:r w:rsidRPr="001B638D">
        <w:rPr>
          <w:i/>
          <w:color w:val="000000"/>
        </w:rPr>
        <w:t>Western Journal of Communication</w:t>
      </w:r>
      <w:r w:rsidRPr="001B638D">
        <w:rPr>
          <w:color w:val="000000"/>
        </w:rPr>
        <w:t xml:space="preserve">, </w:t>
      </w:r>
      <w:r w:rsidRPr="001B638D">
        <w:rPr>
          <w:i/>
          <w:color w:val="000000"/>
        </w:rPr>
        <w:t>76</w:t>
      </w:r>
      <w:r w:rsidRPr="001B638D">
        <w:rPr>
          <w:color w:val="000000"/>
        </w:rPr>
        <w:t xml:space="preserve">, 24-43. doi:10.1080/10570314.2012.637540 </w:t>
      </w:r>
    </w:p>
    <w:p w14:paraId="0264421A" w14:textId="77777777" w:rsidR="00581BD4" w:rsidRPr="001B638D" w:rsidRDefault="00581BD4" w:rsidP="000953AB">
      <w:pPr>
        <w:widowControl w:val="0"/>
        <w:autoSpaceDE w:val="0"/>
        <w:autoSpaceDN w:val="0"/>
        <w:adjustRightInd w:val="0"/>
        <w:spacing w:line="480" w:lineRule="auto"/>
        <w:ind w:left="720" w:hanging="720"/>
        <w:rPr>
          <w:color w:val="000000"/>
        </w:rPr>
      </w:pPr>
      <w:r w:rsidRPr="001B638D">
        <w:rPr>
          <w:color w:val="000000"/>
        </w:rPr>
        <w:t xml:space="preserve">Kearl, M. K. (2015). “Is gay the new black?”: An intersectional perspective on social movement rhetoric in California’s proposition 8 debate. </w:t>
      </w:r>
      <w:r w:rsidRPr="001B638D">
        <w:rPr>
          <w:i/>
          <w:color w:val="000000"/>
        </w:rPr>
        <w:t>Communication and Critical/Cultural Studies</w:t>
      </w:r>
      <w:r w:rsidRPr="001B638D">
        <w:rPr>
          <w:color w:val="000000"/>
        </w:rPr>
        <w:t xml:space="preserve">, </w:t>
      </w:r>
      <w:r w:rsidRPr="001B638D">
        <w:rPr>
          <w:i/>
          <w:color w:val="000000"/>
        </w:rPr>
        <w:t>12</w:t>
      </w:r>
      <w:r w:rsidRPr="001B638D">
        <w:rPr>
          <w:color w:val="000000"/>
        </w:rPr>
        <w:t xml:space="preserve">, 63-82. doi:10.1080/14791420.2014.995684 </w:t>
      </w:r>
    </w:p>
    <w:p w14:paraId="0A41D906" w14:textId="77777777" w:rsidR="00581BD4" w:rsidRPr="001B638D" w:rsidRDefault="00581BD4" w:rsidP="000953AB">
      <w:pPr>
        <w:widowControl w:val="0"/>
        <w:autoSpaceDE w:val="0"/>
        <w:autoSpaceDN w:val="0"/>
        <w:adjustRightInd w:val="0"/>
        <w:spacing w:line="480" w:lineRule="auto"/>
        <w:ind w:left="720" w:hanging="720"/>
        <w:rPr>
          <w:color w:val="000000"/>
        </w:rPr>
      </w:pPr>
      <w:r w:rsidRPr="001B638D">
        <w:t xml:space="preserve">Li, X., &amp; Liu, X. (2010). Framing and coverage of same sex marriage in U.S. newspapers. </w:t>
      </w:r>
      <w:r w:rsidRPr="001B638D">
        <w:rPr>
          <w:i/>
        </w:rPr>
        <w:t>The Howard Journal of Communication</w:t>
      </w:r>
      <w:r w:rsidRPr="001B638D">
        <w:t xml:space="preserve">, </w:t>
      </w:r>
      <w:r w:rsidRPr="001B638D">
        <w:rPr>
          <w:i/>
        </w:rPr>
        <w:t>21</w:t>
      </w:r>
      <w:r w:rsidRPr="001B638D">
        <w:t>, 72-91. doi:</w:t>
      </w:r>
      <w:r w:rsidRPr="001B638D">
        <w:rPr>
          <w:color w:val="000000"/>
        </w:rPr>
        <w:t>10.1080/10646170903501161</w:t>
      </w:r>
    </w:p>
    <w:p w14:paraId="1B08E3F8" w14:textId="77777777" w:rsidR="004B6D89" w:rsidRPr="001B638D" w:rsidRDefault="004B6D89" w:rsidP="000953AB">
      <w:pPr>
        <w:widowControl w:val="0"/>
        <w:autoSpaceDE w:val="0"/>
        <w:autoSpaceDN w:val="0"/>
        <w:adjustRightInd w:val="0"/>
        <w:spacing w:line="480" w:lineRule="auto"/>
        <w:ind w:left="720" w:hanging="720"/>
        <w:rPr>
          <w:color w:val="000000"/>
        </w:rPr>
      </w:pPr>
      <w:r w:rsidRPr="001B638D">
        <w:t>Liebler, C.</w:t>
      </w:r>
      <w:r w:rsidRPr="001B638D">
        <w:rPr>
          <w:color w:val="000000"/>
        </w:rPr>
        <w:t xml:space="preserve"> M., Schwartz, J., &amp; Harper, T. (2009). Queer tales of morality: The press, same-sex marriage, and hegemonic framing. </w:t>
      </w:r>
      <w:r w:rsidRPr="001B638D">
        <w:rPr>
          <w:i/>
          <w:color w:val="000000"/>
        </w:rPr>
        <w:t>Journal of Communication</w:t>
      </w:r>
      <w:r w:rsidRPr="001B638D">
        <w:rPr>
          <w:color w:val="000000"/>
        </w:rPr>
        <w:t xml:space="preserve">, </w:t>
      </w:r>
      <w:r w:rsidRPr="001B638D">
        <w:rPr>
          <w:i/>
          <w:color w:val="000000"/>
        </w:rPr>
        <w:t>59</w:t>
      </w:r>
      <w:r w:rsidRPr="001B638D">
        <w:rPr>
          <w:color w:val="000000"/>
        </w:rPr>
        <w:t xml:space="preserve">, 653-675. doi:10.1111/j.1460-2466.2009.01451.x </w:t>
      </w:r>
    </w:p>
    <w:p w14:paraId="0D7C0A3A" w14:textId="77777777" w:rsidR="004B6D89" w:rsidRPr="001B638D" w:rsidRDefault="004B6D89" w:rsidP="000953AB">
      <w:pPr>
        <w:widowControl w:val="0"/>
        <w:autoSpaceDE w:val="0"/>
        <w:autoSpaceDN w:val="0"/>
        <w:adjustRightInd w:val="0"/>
        <w:spacing w:line="480" w:lineRule="auto"/>
        <w:ind w:left="720" w:hanging="720"/>
        <w:rPr>
          <w:color w:val="000000"/>
        </w:rPr>
      </w:pPr>
      <w:r w:rsidRPr="001B638D">
        <w:t>Rand, E.</w:t>
      </w:r>
      <w:r w:rsidRPr="001B638D">
        <w:rPr>
          <w:color w:val="000000"/>
        </w:rPr>
        <w:t xml:space="preserve"> J. (2013). An appetite for activism: The lesbian avengers and the queer politics of visibility. </w:t>
      </w:r>
      <w:r w:rsidRPr="001B638D">
        <w:rPr>
          <w:i/>
          <w:color w:val="000000"/>
        </w:rPr>
        <w:t>Women’s Studies in Communication</w:t>
      </w:r>
      <w:r w:rsidRPr="001B638D">
        <w:rPr>
          <w:color w:val="000000"/>
        </w:rPr>
        <w:t xml:space="preserve">, </w:t>
      </w:r>
      <w:r w:rsidRPr="001B638D">
        <w:rPr>
          <w:i/>
          <w:color w:val="000000"/>
        </w:rPr>
        <w:t>36</w:t>
      </w:r>
      <w:r w:rsidRPr="001B638D">
        <w:rPr>
          <w:color w:val="000000"/>
        </w:rPr>
        <w:t xml:space="preserve">, 121-141. doi:10.1080/07491409.2013.794754 </w:t>
      </w:r>
    </w:p>
    <w:p w14:paraId="3EB8B834" w14:textId="77777777" w:rsidR="004B6D89" w:rsidRPr="001B638D" w:rsidRDefault="004B6D89" w:rsidP="000953AB">
      <w:pPr>
        <w:widowControl w:val="0"/>
        <w:autoSpaceDE w:val="0"/>
        <w:autoSpaceDN w:val="0"/>
        <w:adjustRightInd w:val="0"/>
        <w:spacing w:line="480" w:lineRule="auto"/>
        <w:ind w:left="720" w:hanging="720"/>
        <w:rPr>
          <w:bCs/>
          <w:color w:val="000000"/>
        </w:rPr>
      </w:pPr>
      <w:r w:rsidRPr="001B638D">
        <w:t>Samek, A.</w:t>
      </w:r>
      <w:r w:rsidRPr="001B638D">
        <w:rPr>
          <w:color w:val="000000"/>
        </w:rPr>
        <w:t xml:space="preserve"> A. (2016). Marginalizing the queer vote post-marriage: The challenges of visibility. </w:t>
      </w:r>
      <w:r w:rsidRPr="001B638D">
        <w:rPr>
          <w:i/>
          <w:color w:val="000000"/>
        </w:rPr>
        <w:t>Women’s Studies in Communication</w:t>
      </w:r>
      <w:r w:rsidRPr="001B638D">
        <w:rPr>
          <w:color w:val="000000"/>
        </w:rPr>
        <w:t xml:space="preserve">, </w:t>
      </w:r>
      <w:r w:rsidRPr="001B638D">
        <w:rPr>
          <w:i/>
          <w:color w:val="000000"/>
        </w:rPr>
        <w:t>39</w:t>
      </w:r>
      <w:r w:rsidRPr="001B638D">
        <w:rPr>
          <w:color w:val="000000"/>
        </w:rPr>
        <w:t>, 361-365. doi:</w:t>
      </w:r>
      <w:r w:rsidRPr="001B638D">
        <w:rPr>
          <w:bCs/>
          <w:color w:val="000000"/>
        </w:rPr>
        <w:t xml:space="preserve">10.1080/07491409.2016.1226653 </w:t>
      </w:r>
    </w:p>
    <w:p w14:paraId="0DD5753C" w14:textId="6A9A0931" w:rsidR="00592CC6" w:rsidRPr="001B638D" w:rsidRDefault="00592CC6" w:rsidP="000953AB">
      <w:pPr>
        <w:widowControl w:val="0"/>
        <w:autoSpaceDE w:val="0"/>
        <w:autoSpaceDN w:val="0"/>
        <w:adjustRightInd w:val="0"/>
        <w:spacing w:line="480" w:lineRule="auto"/>
        <w:ind w:left="720" w:hanging="720"/>
      </w:pPr>
      <w:r w:rsidRPr="001B638D">
        <w:t xml:space="preserve">Snorton, R. C. (2013). Marriage mimesis. </w:t>
      </w:r>
      <w:r w:rsidRPr="001B638D">
        <w:rPr>
          <w:i/>
        </w:rPr>
        <w:t>Journal of International and Intercultural Communication</w:t>
      </w:r>
      <w:r w:rsidRPr="001B638D">
        <w:t xml:space="preserve">, </w:t>
      </w:r>
      <w:r w:rsidRPr="001B638D">
        <w:rPr>
          <w:i/>
        </w:rPr>
        <w:t>6</w:t>
      </w:r>
      <w:r w:rsidRPr="001B638D">
        <w:t xml:space="preserve">, 127-134. doi:10.1080/17513057.2013.776095 </w:t>
      </w:r>
    </w:p>
    <w:p w14:paraId="69315FFB" w14:textId="77777777" w:rsidR="004B6D89" w:rsidRPr="001B638D" w:rsidRDefault="004B6D89" w:rsidP="000953AB">
      <w:pPr>
        <w:widowControl w:val="0"/>
        <w:autoSpaceDE w:val="0"/>
        <w:autoSpaceDN w:val="0"/>
        <w:adjustRightInd w:val="0"/>
        <w:spacing w:line="480" w:lineRule="auto"/>
        <w:ind w:left="720" w:hanging="720"/>
      </w:pPr>
      <w:r w:rsidRPr="001B638D">
        <w:t xml:space="preserve">West, I. (2015). Analogizing interracial and same-sex marriage. </w:t>
      </w:r>
      <w:r w:rsidRPr="001B638D">
        <w:rPr>
          <w:i/>
        </w:rPr>
        <w:t>Philosophy and Rhetoric</w:t>
      </w:r>
      <w:r w:rsidRPr="001B638D">
        <w:t xml:space="preserve">, </w:t>
      </w:r>
      <w:r w:rsidRPr="001B638D">
        <w:rPr>
          <w:i/>
        </w:rPr>
        <w:t>48</w:t>
      </w:r>
      <w:r w:rsidRPr="001B638D">
        <w:t>, 561-582. doi:10.5325/philrhet.48.4.0561 </w:t>
      </w:r>
    </w:p>
    <w:p w14:paraId="6B9688ED" w14:textId="367ABF6E" w:rsidR="004B6D89" w:rsidRPr="001B638D" w:rsidRDefault="004B6D89" w:rsidP="000953AB">
      <w:pPr>
        <w:widowControl w:val="0"/>
        <w:autoSpaceDE w:val="0"/>
        <w:autoSpaceDN w:val="0"/>
        <w:adjustRightInd w:val="0"/>
        <w:spacing w:line="480" w:lineRule="auto"/>
        <w:ind w:left="720" w:hanging="720"/>
      </w:pPr>
      <w:r w:rsidRPr="001B638D">
        <w:t xml:space="preserve">Yarhouse, M. A., &amp; Nowacki, S. K. (2007). The many </w:t>
      </w:r>
      <w:r w:rsidR="00653A97">
        <w:t xml:space="preserve">meanings of marriage: Divergent </w:t>
      </w:r>
      <w:r w:rsidRPr="001B638D">
        <w:t xml:space="preserve">perspectives seeking common ground. </w:t>
      </w:r>
      <w:r w:rsidRPr="001B638D">
        <w:rPr>
          <w:i/>
        </w:rPr>
        <w:t>The Family Journal: Counseling and Therapy for Couples and Families</w:t>
      </w:r>
      <w:r w:rsidRPr="001B638D">
        <w:t xml:space="preserve">, </w:t>
      </w:r>
      <w:r w:rsidRPr="001B638D">
        <w:rPr>
          <w:i/>
        </w:rPr>
        <w:t>15</w:t>
      </w:r>
      <w:r w:rsidRPr="001B638D">
        <w:t>, 36-45. doi:10.1177/1066480706294047</w:t>
      </w:r>
      <w:r w:rsidR="00653A97">
        <w:t xml:space="preserve"> </w:t>
      </w:r>
      <w:bookmarkStart w:id="0" w:name="_GoBack"/>
      <w:bookmarkEnd w:id="0"/>
    </w:p>
    <w:p w14:paraId="72F14002" w14:textId="77777777" w:rsidR="0007160C" w:rsidRPr="001B638D" w:rsidRDefault="0007160C" w:rsidP="000953AB">
      <w:pPr>
        <w:spacing w:line="480" w:lineRule="auto"/>
      </w:pPr>
    </w:p>
    <w:sectPr w:rsidR="0007160C" w:rsidRPr="001B638D" w:rsidSect="00D34AC6">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35BD2" w14:textId="77777777" w:rsidR="006B736B" w:rsidRDefault="006B736B" w:rsidP="00B3516D">
      <w:r>
        <w:separator/>
      </w:r>
    </w:p>
  </w:endnote>
  <w:endnote w:type="continuationSeparator" w:id="0">
    <w:p w14:paraId="3A49E8DD" w14:textId="77777777" w:rsidR="006B736B" w:rsidRDefault="006B736B" w:rsidP="00B3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817B6" w14:textId="77777777" w:rsidR="006B736B" w:rsidRDefault="006B736B" w:rsidP="00B3516D">
      <w:r>
        <w:separator/>
      </w:r>
    </w:p>
  </w:footnote>
  <w:footnote w:type="continuationSeparator" w:id="0">
    <w:p w14:paraId="2F982108" w14:textId="77777777" w:rsidR="006B736B" w:rsidRDefault="006B736B" w:rsidP="00B351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6AD05" w14:textId="77777777" w:rsidR="00E17636" w:rsidRDefault="00E17636" w:rsidP="002A42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E86039" w14:textId="77777777" w:rsidR="00E17636" w:rsidRDefault="00E17636" w:rsidP="00D34AC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AD9AD" w14:textId="77777777" w:rsidR="00E17636" w:rsidRDefault="00E17636" w:rsidP="002A42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509E1">
      <w:rPr>
        <w:rStyle w:val="PageNumber"/>
        <w:noProof/>
      </w:rPr>
      <w:t>10</w:t>
    </w:r>
    <w:r>
      <w:rPr>
        <w:rStyle w:val="PageNumber"/>
      </w:rPr>
      <w:fldChar w:fldCharType="end"/>
    </w:r>
  </w:p>
  <w:p w14:paraId="466DA700" w14:textId="77777777" w:rsidR="00E17636" w:rsidRDefault="006979B2" w:rsidP="00D34AC6">
    <w:pPr>
      <w:pStyle w:val="Header"/>
      <w:spacing w:line="480" w:lineRule="auto"/>
      <w:ind w:right="360"/>
    </w:pPr>
    <w:r>
      <w:t>THEORETICAL LENS PAPER</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D2F8D" w14:textId="77777777" w:rsidR="00E17636" w:rsidRDefault="00E17636" w:rsidP="002A42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736B">
      <w:rPr>
        <w:rStyle w:val="PageNumber"/>
        <w:noProof/>
      </w:rPr>
      <w:t>1</w:t>
    </w:r>
    <w:r>
      <w:rPr>
        <w:rStyle w:val="PageNumber"/>
      </w:rPr>
      <w:fldChar w:fldCharType="end"/>
    </w:r>
  </w:p>
  <w:p w14:paraId="5C0614A7" w14:textId="77777777" w:rsidR="00AB619D" w:rsidRDefault="00E17636" w:rsidP="003C1BBF">
    <w:pPr>
      <w:pStyle w:val="Header"/>
      <w:spacing w:line="480" w:lineRule="auto"/>
    </w:pPr>
    <w:r>
      <w:t xml:space="preserve">Running head: </w:t>
    </w:r>
    <w:r w:rsidR="006979B2">
      <w:t>THEORETICAL LENS PAPER</w:t>
    </w:r>
  </w:p>
  <w:p w14:paraId="7053421A" w14:textId="77777777" w:rsidR="00E17636" w:rsidRDefault="00E176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9B2"/>
    <w:rsid w:val="00003FC5"/>
    <w:rsid w:val="000052B8"/>
    <w:rsid w:val="000210FE"/>
    <w:rsid w:val="00024D84"/>
    <w:rsid w:val="00031915"/>
    <w:rsid w:val="00037ED0"/>
    <w:rsid w:val="00043D3D"/>
    <w:rsid w:val="0004635A"/>
    <w:rsid w:val="000509E1"/>
    <w:rsid w:val="00050E2D"/>
    <w:rsid w:val="00054D4F"/>
    <w:rsid w:val="000619C6"/>
    <w:rsid w:val="000628D7"/>
    <w:rsid w:val="0006676E"/>
    <w:rsid w:val="000709D1"/>
    <w:rsid w:val="00071574"/>
    <w:rsid w:val="0007160C"/>
    <w:rsid w:val="0007256C"/>
    <w:rsid w:val="00074A6A"/>
    <w:rsid w:val="0007679E"/>
    <w:rsid w:val="00084733"/>
    <w:rsid w:val="0009238F"/>
    <w:rsid w:val="000953AB"/>
    <w:rsid w:val="00095F28"/>
    <w:rsid w:val="000961AF"/>
    <w:rsid w:val="000B2B20"/>
    <w:rsid w:val="000B6DE7"/>
    <w:rsid w:val="000B7EA3"/>
    <w:rsid w:val="000D0645"/>
    <w:rsid w:val="000D187C"/>
    <w:rsid w:val="000D5A78"/>
    <w:rsid w:val="000E20B2"/>
    <w:rsid w:val="000E3FC3"/>
    <w:rsid w:val="000F4364"/>
    <w:rsid w:val="000F6D66"/>
    <w:rsid w:val="00106A13"/>
    <w:rsid w:val="00110216"/>
    <w:rsid w:val="001104AB"/>
    <w:rsid w:val="00112FCC"/>
    <w:rsid w:val="0011417B"/>
    <w:rsid w:val="00116CE8"/>
    <w:rsid w:val="00120959"/>
    <w:rsid w:val="00123A38"/>
    <w:rsid w:val="001306CF"/>
    <w:rsid w:val="00136217"/>
    <w:rsid w:val="00140B3C"/>
    <w:rsid w:val="00146278"/>
    <w:rsid w:val="00147789"/>
    <w:rsid w:val="00152573"/>
    <w:rsid w:val="001625AF"/>
    <w:rsid w:val="00163505"/>
    <w:rsid w:val="00173F72"/>
    <w:rsid w:val="00182D64"/>
    <w:rsid w:val="001857E3"/>
    <w:rsid w:val="00186993"/>
    <w:rsid w:val="00190324"/>
    <w:rsid w:val="00196562"/>
    <w:rsid w:val="001A0221"/>
    <w:rsid w:val="001A1F68"/>
    <w:rsid w:val="001A25DB"/>
    <w:rsid w:val="001A54F2"/>
    <w:rsid w:val="001A5C42"/>
    <w:rsid w:val="001B0BC7"/>
    <w:rsid w:val="001B638D"/>
    <w:rsid w:val="001C4CE6"/>
    <w:rsid w:val="001D0101"/>
    <w:rsid w:val="001E16A2"/>
    <w:rsid w:val="001F4054"/>
    <w:rsid w:val="001F4EA9"/>
    <w:rsid w:val="001F61D6"/>
    <w:rsid w:val="001F654B"/>
    <w:rsid w:val="002009AA"/>
    <w:rsid w:val="00201574"/>
    <w:rsid w:val="00202BA5"/>
    <w:rsid w:val="00220571"/>
    <w:rsid w:val="00221110"/>
    <w:rsid w:val="00223459"/>
    <w:rsid w:val="00227101"/>
    <w:rsid w:val="00232654"/>
    <w:rsid w:val="002373E0"/>
    <w:rsid w:val="00243A6F"/>
    <w:rsid w:val="0024783E"/>
    <w:rsid w:val="0025590A"/>
    <w:rsid w:val="002633A1"/>
    <w:rsid w:val="00281819"/>
    <w:rsid w:val="002903AE"/>
    <w:rsid w:val="00295B5F"/>
    <w:rsid w:val="002A42C4"/>
    <w:rsid w:val="002A53B4"/>
    <w:rsid w:val="002B0230"/>
    <w:rsid w:val="002B0284"/>
    <w:rsid w:val="002C29A3"/>
    <w:rsid w:val="002C679B"/>
    <w:rsid w:val="002D2F84"/>
    <w:rsid w:val="002E35AE"/>
    <w:rsid w:val="002E5AFF"/>
    <w:rsid w:val="002E78E6"/>
    <w:rsid w:val="002E7D1A"/>
    <w:rsid w:val="002F00E6"/>
    <w:rsid w:val="002F7E57"/>
    <w:rsid w:val="00300D41"/>
    <w:rsid w:val="00303042"/>
    <w:rsid w:val="003125DD"/>
    <w:rsid w:val="00324ADD"/>
    <w:rsid w:val="003314DA"/>
    <w:rsid w:val="00331A5C"/>
    <w:rsid w:val="00337047"/>
    <w:rsid w:val="00342783"/>
    <w:rsid w:val="003430A4"/>
    <w:rsid w:val="0035610D"/>
    <w:rsid w:val="00361A00"/>
    <w:rsid w:val="003726F1"/>
    <w:rsid w:val="00372E90"/>
    <w:rsid w:val="003802D1"/>
    <w:rsid w:val="00390459"/>
    <w:rsid w:val="00391A04"/>
    <w:rsid w:val="00394EBC"/>
    <w:rsid w:val="003A55AC"/>
    <w:rsid w:val="003B14B6"/>
    <w:rsid w:val="003B3689"/>
    <w:rsid w:val="003B54A4"/>
    <w:rsid w:val="003B5BD2"/>
    <w:rsid w:val="003B7F23"/>
    <w:rsid w:val="003C1BBF"/>
    <w:rsid w:val="003D1003"/>
    <w:rsid w:val="003D295F"/>
    <w:rsid w:val="003E0DF8"/>
    <w:rsid w:val="003E17AF"/>
    <w:rsid w:val="003E1C36"/>
    <w:rsid w:val="003E4236"/>
    <w:rsid w:val="003E43D9"/>
    <w:rsid w:val="003F3658"/>
    <w:rsid w:val="00404E56"/>
    <w:rsid w:val="004134EB"/>
    <w:rsid w:val="00434FC6"/>
    <w:rsid w:val="00454683"/>
    <w:rsid w:val="00463876"/>
    <w:rsid w:val="00464413"/>
    <w:rsid w:val="00470317"/>
    <w:rsid w:val="00472EBA"/>
    <w:rsid w:val="00480F74"/>
    <w:rsid w:val="00483B82"/>
    <w:rsid w:val="00485509"/>
    <w:rsid w:val="004876A2"/>
    <w:rsid w:val="00491566"/>
    <w:rsid w:val="00491DE0"/>
    <w:rsid w:val="004979CC"/>
    <w:rsid w:val="004A2F50"/>
    <w:rsid w:val="004A3819"/>
    <w:rsid w:val="004B6D89"/>
    <w:rsid w:val="004C6933"/>
    <w:rsid w:val="004E4F73"/>
    <w:rsid w:val="004F7E18"/>
    <w:rsid w:val="005010BE"/>
    <w:rsid w:val="005014CC"/>
    <w:rsid w:val="00502A46"/>
    <w:rsid w:val="00511035"/>
    <w:rsid w:val="005118B7"/>
    <w:rsid w:val="00514274"/>
    <w:rsid w:val="00540F66"/>
    <w:rsid w:val="005513D5"/>
    <w:rsid w:val="00570FB9"/>
    <w:rsid w:val="00577025"/>
    <w:rsid w:val="005771AD"/>
    <w:rsid w:val="005778E9"/>
    <w:rsid w:val="00581BD4"/>
    <w:rsid w:val="00583BA6"/>
    <w:rsid w:val="00592380"/>
    <w:rsid w:val="00592CC6"/>
    <w:rsid w:val="00593312"/>
    <w:rsid w:val="005A1EFC"/>
    <w:rsid w:val="005A339F"/>
    <w:rsid w:val="005B57F9"/>
    <w:rsid w:val="005B59DE"/>
    <w:rsid w:val="005C330A"/>
    <w:rsid w:val="005C7DB4"/>
    <w:rsid w:val="005D0807"/>
    <w:rsid w:val="005E221A"/>
    <w:rsid w:val="006012A2"/>
    <w:rsid w:val="00602E8E"/>
    <w:rsid w:val="00626C3C"/>
    <w:rsid w:val="00627052"/>
    <w:rsid w:val="00627669"/>
    <w:rsid w:val="00630622"/>
    <w:rsid w:val="00647962"/>
    <w:rsid w:val="00651F0E"/>
    <w:rsid w:val="00653A97"/>
    <w:rsid w:val="00654542"/>
    <w:rsid w:val="0066331B"/>
    <w:rsid w:val="0066607B"/>
    <w:rsid w:val="006679BA"/>
    <w:rsid w:val="00671FAF"/>
    <w:rsid w:val="006739BF"/>
    <w:rsid w:val="00677C25"/>
    <w:rsid w:val="00686C9E"/>
    <w:rsid w:val="006878B0"/>
    <w:rsid w:val="00690E5E"/>
    <w:rsid w:val="00694AA5"/>
    <w:rsid w:val="006979B2"/>
    <w:rsid w:val="006A0F41"/>
    <w:rsid w:val="006A3E6F"/>
    <w:rsid w:val="006A489B"/>
    <w:rsid w:val="006B1DCF"/>
    <w:rsid w:val="006B50F5"/>
    <w:rsid w:val="006B736B"/>
    <w:rsid w:val="006C26C3"/>
    <w:rsid w:val="006C7DF9"/>
    <w:rsid w:val="006D79C3"/>
    <w:rsid w:val="006E56EE"/>
    <w:rsid w:val="006F0B36"/>
    <w:rsid w:val="006F0E14"/>
    <w:rsid w:val="006F17B8"/>
    <w:rsid w:val="00703854"/>
    <w:rsid w:val="007042E6"/>
    <w:rsid w:val="0070474B"/>
    <w:rsid w:val="0070780E"/>
    <w:rsid w:val="00717F9D"/>
    <w:rsid w:val="0072378A"/>
    <w:rsid w:val="00725880"/>
    <w:rsid w:val="0072593D"/>
    <w:rsid w:val="00734304"/>
    <w:rsid w:val="007521BC"/>
    <w:rsid w:val="00761076"/>
    <w:rsid w:val="00762E42"/>
    <w:rsid w:val="00764545"/>
    <w:rsid w:val="00767799"/>
    <w:rsid w:val="00773FCA"/>
    <w:rsid w:val="00777097"/>
    <w:rsid w:val="00787B1B"/>
    <w:rsid w:val="00796F15"/>
    <w:rsid w:val="007A38EF"/>
    <w:rsid w:val="007B2D70"/>
    <w:rsid w:val="007B735E"/>
    <w:rsid w:val="007C29CD"/>
    <w:rsid w:val="007C44B6"/>
    <w:rsid w:val="007D0F8F"/>
    <w:rsid w:val="007E610D"/>
    <w:rsid w:val="007E7D4F"/>
    <w:rsid w:val="007F012C"/>
    <w:rsid w:val="007F0F0A"/>
    <w:rsid w:val="007F1D91"/>
    <w:rsid w:val="007F4315"/>
    <w:rsid w:val="007F4DA6"/>
    <w:rsid w:val="008158B8"/>
    <w:rsid w:val="0082419D"/>
    <w:rsid w:val="00825565"/>
    <w:rsid w:val="008354F5"/>
    <w:rsid w:val="0083738B"/>
    <w:rsid w:val="00843643"/>
    <w:rsid w:val="00843C2B"/>
    <w:rsid w:val="00850239"/>
    <w:rsid w:val="008601FD"/>
    <w:rsid w:val="00862876"/>
    <w:rsid w:val="00872BBB"/>
    <w:rsid w:val="008760ED"/>
    <w:rsid w:val="008766FC"/>
    <w:rsid w:val="00877942"/>
    <w:rsid w:val="008779F9"/>
    <w:rsid w:val="00883545"/>
    <w:rsid w:val="00884249"/>
    <w:rsid w:val="008847D5"/>
    <w:rsid w:val="0088492C"/>
    <w:rsid w:val="00891043"/>
    <w:rsid w:val="00891F19"/>
    <w:rsid w:val="008A5295"/>
    <w:rsid w:val="008D1F0A"/>
    <w:rsid w:val="008D2672"/>
    <w:rsid w:val="008D3D41"/>
    <w:rsid w:val="008D4711"/>
    <w:rsid w:val="008D5CC9"/>
    <w:rsid w:val="008D6124"/>
    <w:rsid w:val="008E2599"/>
    <w:rsid w:val="008E3CBF"/>
    <w:rsid w:val="008E418F"/>
    <w:rsid w:val="00900C61"/>
    <w:rsid w:val="00906174"/>
    <w:rsid w:val="00906BC9"/>
    <w:rsid w:val="009121A3"/>
    <w:rsid w:val="00916737"/>
    <w:rsid w:val="00917E89"/>
    <w:rsid w:val="0092011A"/>
    <w:rsid w:val="00924B33"/>
    <w:rsid w:val="00926D8C"/>
    <w:rsid w:val="00943C59"/>
    <w:rsid w:val="00945380"/>
    <w:rsid w:val="009460D2"/>
    <w:rsid w:val="00954441"/>
    <w:rsid w:val="00956D99"/>
    <w:rsid w:val="00957F4C"/>
    <w:rsid w:val="009634E8"/>
    <w:rsid w:val="00971930"/>
    <w:rsid w:val="00975865"/>
    <w:rsid w:val="009901B8"/>
    <w:rsid w:val="0099711C"/>
    <w:rsid w:val="009B0A09"/>
    <w:rsid w:val="009B7089"/>
    <w:rsid w:val="009B7459"/>
    <w:rsid w:val="009C17A2"/>
    <w:rsid w:val="009C2D3B"/>
    <w:rsid w:val="009C3824"/>
    <w:rsid w:val="009C73AB"/>
    <w:rsid w:val="009D0685"/>
    <w:rsid w:val="009D186E"/>
    <w:rsid w:val="009D3584"/>
    <w:rsid w:val="009E34BD"/>
    <w:rsid w:val="009E3880"/>
    <w:rsid w:val="009E38C2"/>
    <w:rsid w:val="009F0580"/>
    <w:rsid w:val="009F4150"/>
    <w:rsid w:val="009F6D58"/>
    <w:rsid w:val="00A0044A"/>
    <w:rsid w:val="00A005F7"/>
    <w:rsid w:val="00A04BD0"/>
    <w:rsid w:val="00A062BF"/>
    <w:rsid w:val="00A070D2"/>
    <w:rsid w:val="00A11574"/>
    <w:rsid w:val="00A1547F"/>
    <w:rsid w:val="00A243E8"/>
    <w:rsid w:val="00A42443"/>
    <w:rsid w:val="00A50D83"/>
    <w:rsid w:val="00A52C30"/>
    <w:rsid w:val="00A53CF2"/>
    <w:rsid w:val="00A53D55"/>
    <w:rsid w:val="00A55398"/>
    <w:rsid w:val="00A574D9"/>
    <w:rsid w:val="00A60519"/>
    <w:rsid w:val="00A621CA"/>
    <w:rsid w:val="00A65EFB"/>
    <w:rsid w:val="00A66857"/>
    <w:rsid w:val="00A715B7"/>
    <w:rsid w:val="00A74CF6"/>
    <w:rsid w:val="00A80422"/>
    <w:rsid w:val="00A85D91"/>
    <w:rsid w:val="00A94B8B"/>
    <w:rsid w:val="00AA0749"/>
    <w:rsid w:val="00AA10A5"/>
    <w:rsid w:val="00AB2C98"/>
    <w:rsid w:val="00AB3F58"/>
    <w:rsid w:val="00AB619D"/>
    <w:rsid w:val="00AC1246"/>
    <w:rsid w:val="00AD2466"/>
    <w:rsid w:val="00AE5674"/>
    <w:rsid w:val="00AE6DDA"/>
    <w:rsid w:val="00AF5F07"/>
    <w:rsid w:val="00AF7CBF"/>
    <w:rsid w:val="00B12525"/>
    <w:rsid w:val="00B13425"/>
    <w:rsid w:val="00B155AF"/>
    <w:rsid w:val="00B23701"/>
    <w:rsid w:val="00B246D5"/>
    <w:rsid w:val="00B259E8"/>
    <w:rsid w:val="00B25E73"/>
    <w:rsid w:val="00B27AC9"/>
    <w:rsid w:val="00B300D5"/>
    <w:rsid w:val="00B339E9"/>
    <w:rsid w:val="00B3516D"/>
    <w:rsid w:val="00B37D7B"/>
    <w:rsid w:val="00B445C0"/>
    <w:rsid w:val="00B445F5"/>
    <w:rsid w:val="00B453EC"/>
    <w:rsid w:val="00B4739E"/>
    <w:rsid w:val="00B4757E"/>
    <w:rsid w:val="00B47E70"/>
    <w:rsid w:val="00B764D8"/>
    <w:rsid w:val="00B80775"/>
    <w:rsid w:val="00B82F22"/>
    <w:rsid w:val="00B85348"/>
    <w:rsid w:val="00B860F4"/>
    <w:rsid w:val="00B9140F"/>
    <w:rsid w:val="00B96FA9"/>
    <w:rsid w:val="00BA3420"/>
    <w:rsid w:val="00BA53C1"/>
    <w:rsid w:val="00BC04F2"/>
    <w:rsid w:val="00BC2576"/>
    <w:rsid w:val="00BC7353"/>
    <w:rsid w:val="00BD0B03"/>
    <w:rsid w:val="00BD1FE9"/>
    <w:rsid w:val="00BD4A40"/>
    <w:rsid w:val="00BD64B8"/>
    <w:rsid w:val="00BE1AA4"/>
    <w:rsid w:val="00BF4AE5"/>
    <w:rsid w:val="00BF7632"/>
    <w:rsid w:val="00C00FA9"/>
    <w:rsid w:val="00C076A2"/>
    <w:rsid w:val="00C127CD"/>
    <w:rsid w:val="00C17D22"/>
    <w:rsid w:val="00C17F0D"/>
    <w:rsid w:val="00C20DE0"/>
    <w:rsid w:val="00C2258F"/>
    <w:rsid w:val="00C2311E"/>
    <w:rsid w:val="00C3077D"/>
    <w:rsid w:val="00C31F7F"/>
    <w:rsid w:val="00C320A4"/>
    <w:rsid w:val="00C42D10"/>
    <w:rsid w:val="00C45E8C"/>
    <w:rsid w:val="00C662A5"/>
    <w:rsid w:val="00C664C3"/>
    <w:rsid w:val="00C70F3A"/>
    <w:rsid w:val="00C7458C"/>
    <w:rsid w:val="00C74EA0"/>
    <w:rsid w:val="00C84EA6"/>
    <w:rsid w:val="00C85416"/>
    <w:rsid w:val="00C91A1E"/>
    <w:rsid w:val="00CA61C1"/>
    <w:rsid w:val="00CB0FA1"/>
    <w:rsid w:val="00CD3B73"/>
    <w:rsid w:val="00CD7710"/>
    <w:rsid w:val="00CE1D06"/>
    <w:rsid w:val="00CF44F9"/>
    <w:rsid w:val="00CF6222"/>
    <w:rsid w:val="00D04696"/>
    <w:rsid w:val="00D22B54"/>
    <w:rsid w:val="00D25B68"/>
    <w:rsid w:val="00D31726"/>
    <w:rsid w:val="00D3257A"/>
    <w:rsid w:val="00D33369"/>
    <w:rsid w:val="00D340AB"/>
    <w:rsid w:val="00D34AC6"/>
    <w:rsid w:val="00D40949"/>
    <w:rsid w:val="00D432B2"/>
    <w:rsid w:val="00D43537"/>
    <w:rsid w:val="00D4729D"/>
    <w:rsid w:val="00D50FA2"/>
    <w:rsid w:val="00D561C3"/>
    <w:rsid w:val="00D60740"/>
    <w:rsid w:val="00D70E2A"/>
    <w:rsid w:val="00D8174F"/>
    <w:rsid w:val="00D93584"/>
    <w:rsid w:val="00D942B1"/>
    <w:rsid w:val="00DA0371"/>
    <w:rsid w:val="00DA2B98"/>
    <w:rsid w:val="00DA6DC3"/>
    <w:rsid w:val="00DC2DE5"/>
    <w:rsid w:val="00DC3BB6"/>
    <w:rsid w:val="00DC445C"/>
    <w:rsid w:val="00DD219D"/>
    <w:rsid w:val="00DE27D4"/>
    <w:rsid w:val="00DE6800"/>
    <w:rsid w:val="00DF394E"/>
    <w:rsid w:val="00DF51C3"/>
    <w:rsid w:val="00DF66A4"/>
    <w:rsid w:val="00DF72ED"/>
    <w:rsid w:val="00E018F7"/>
    <w:rsid w:val="00E070C8"/>
    <w:rsid w:val="00E11423"/>
    <w:rsid w:val="00E13353"/>
    <w:rsid w:val="00E17636"/>
    <w:rsid w:val="00E17E23"/>
    <w:rsid w:val="00E221DA"/>
    <w:rsid w:val="00E26F24"/>
    <w:rsid w:val="00E33D66"/>
    <w:rsid w:val="00E34C42"/>
    <w:rsid w:val="00E40412"/>
    <w:rsid w:val="00E41E10"/>
    <w:rsid w:val="00E519E0"/>
    <w:rsid w:val="00E55313"/>
    <w:rsid w:val="00E55C76"/>
    <w:rsid w:val="00E61111"/>
    <w:rsid w:val="00E61770"/>
    <w:rsid w:val="00E65D71"/>
    <w:rsid w:val="00E771B3"/>
    <w:rsid w:val="00E84F3D"/>
    <w:rsid w:val="00E92F88"/>
    <w:rsid w:val="00E93A73"/>
    <w:rsid w:val="00E941D8"/>
    <w:rsid w:val="00E94C47"/>
    <w:rsid w:val="00E96F65"/>
    <w:rsid w:val="00EA2229"/>
    <w:rsid w:val="00EA43C1"/>
    <w:rsid w:val="00EB0AA8"/>
    <w:rsid w:val="00EB41C6"/>
    <w:rsid w:val="00EC0B32"/>
    <w:rsid w:val="00EC526F"/>
    <w:rsid w:val="00EC7F5E"/>
    <w:rsid w:val="00ED616A"/>
    <w:rsid w:val="00ED6898"/>
    <w:rsid w:val="00EE5F02"/>
    <w:rsid w:val="00EE6962"/>
    <w:rsid w:val="00EE6D9A"/>
    <w:rsid w:val="00EF0C47"/>
    <w:rsid w:val="00EF2B0E"/>
    <w:rsid w:val="00EF4D79"/>
    <w:rsid w:val="00EF75EA"/>
    <w:rsid w:val="00F00C46"/>
    <w:rsid w:val="00F07EA9"/>
    <w:rsid w:val="00F15618"/>
    <w:rsid w:val="00F17129"/>
    <w:rsid w:val="00F252AF"/>
    <w:rsid w:val="00F333E8"/>
    <w:rsid w:val="00F51FDD"/>
    <w:rsid w:val="00F55FDD"/>
    <w:rsid w:val="00F62B8F"/>
    <w:rsid w:val="00F73809"/>
    <w:rsid w:val="00F76193"/>
    <w:rsid w:val="00F85723"/>
    <w:rsid w:val="00F86068"/>
    <w:rsid w:val="00F90973"/>
    <w:rsid w:val="00F955BA"/>
    <w:rsid w:val="00F978A8"/>
    <w:rsid w:val="00FA4229"/>
    <w:rsid w:val="00FA4600"/>
    <w:rsid w:val="00FA4F33"/>
    <w:rsid w:val="00FB0127"/>
    <w:rsid w:val="00FC6569"/>
    <w:rsid w:val="00FD61EC"/>
    <w:rsid w:val="00FE1C04"/>
    <w:rsid w:val="00FE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8237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16D"/>
    <w:pPr>
      <w:tabs>
        <w:tab w:val="center" w:pos="4320"/>
        <w:tab w:val="right" w:pos="8640"/>
      </w:tabs>
    </w:pPr>
  </w:style>
  <w:style w:type="character" w:customStyle="1" w:styleId="HeaderChar">
    <w:name w:val="Header Char"/>
    <w:link w:val="Header"/>
    <w:uiPriority w:val="99"/>
    <w:rsid w:val="00B3516D"/>
    <w:rPr>
      <w:sz w:val="24"/>
      <w:szCs w:val="24"/>
    </w:rPr>
  </w:style>
  <w:style w:type="paragraph" w:styleId="Footer">
    <w:name w:val="footer"/>
    <w:basedOn w:val="Normal"/>
    <w:link w:val="FooterChar"/>
    <w:uiPriority w:val="99"/>
    <w:unhideWhenUsed/>
    <w:rsid w:val="00B3516D"/>
    <w:pPr>
      <w:tabs>
        <w:tab w:val="center" w:pos="4320"/>
        <w:tab w:val="right" w:pos="8640"/>
      </w:tabs>
    </w:pPr>
  </w:style>
  <w:style w:type="character" w:customStyle="1" w:styleId="FooterChar">
    <w:name w:val="Footer Char"/>
    <w:link w:val="Footer"/>
    <w:uiPriority w:val="99"/>
    <w:rsid w:val="00B3516D"/>
    <w:rPr>
      <w:sz w:val="24"/>
      <w:szCs w:val="24"/>
    </w:rPr>
  </w:style>
  <w:style w:type="character" w:styleId="PageNumber">
    <w:name w:val="page number"/>
    <w:uiPriority w:val="99"/>
    <w:semiHidden/>
    <w:unhideWhenUsed/>
    <w:rsid w:val="00D34AC6"/>
  </w:style>
  <w:style w:type="paragraph" w:styleId="BalloonText">
    <w:name w:val="Balloon Text"/>
    <w:basedOn w:val="Normal"/>
    <w:link w:val="BalloonTextChar"/>
    <w:uiPriority w:val="99"/>
    <w:semiHidden/>
    <w:unhideWhenUsed/>
    <w:rsid w:val="0007160C"/>
    <w:rPr>
      <w:rFonts w:ascii="Lucida Grande" w:hAnsi="Lucida Grande" w:cs="Lucida Grande"/>
      <w:sz w:val="18"/>
      <w:szCs w:val="18"/>
    </w:rPr>
  </w:style>
  <w:style w:type="character" w:customStyle="1" w:styleId="BalloonTextChar">
    <w:name w:val="Balloon Text Char"/>
    <w:link w:val="BalloonText"/>
    <w:uiPriority w:val="99"/>
    <w:semiHidden/>
    <w:rsid w:val="000716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7610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ianatamasi/Library/Group%20Containers/UBF8T346G9.Office/User%20Content.localized/Templates.localized/Cover%20P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A6A2A-B8A3-6249-868F-E4269519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Page Template.dotx</Template>
  <TotalTime>483</TotalTime>
  <Pages>13</Pages>
  <Words>3070</Words>
  <Characters>17500</Characters>
  <Application>Microsoft Macintosh Word</Application>
  <DocSecurity>0</DocSecurity>
  <Lines>145</Lines>
  <Paragraphs>41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Theoretical Lens Paper</vt:lpstr>
      <vt:lpstr>Briana Tamasi</vt:lpstr>
      <vt:lpstr>University of North Texas</vt:lpstr>
      <vt:lpstr>Theoretical Lens Paper</vt:lpstr>
      <vt:lpstr>Introduction	</vt:lpstr>
      <vt:lpstr>Visibility	</vt:lpstr>
      <vt:lpstr>Intersectionality</vt:lpstr>
      <vt:lpstr>Analysis</vt:lpstr>
      <vt:lpstr>Conclusion	</vt:lpstr>
      <vt:lpstr>References</vt:lpstr>
    </vt:vector>
  </TitlesOfParts>
  <Company/>
  <LinksUpToDate>false</LinksUpToDate>
  <CharactersWithSpaces>20529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Tamasi, Bri</dc:creator>
  <cp:keywords/>
  <dc:description/>
  <cp:lastModifiedBy>Tamasi, Bri</cp:lastModifiedBy>
  <cp:revision>386</cp:revision>
  <dcterms:created xsi:type="dcterms:W3CDTF">2017-11-15T15:15:00Z</dcterms:created>
  <dcterms:modified xsi:type="dcterms:W3CDTF">2017-12-04T19:50:00Z</dcterms:modified>
</cp:coreProperties>
</file>