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"/>
      </w:pPr>
      <w:r>
        <w:rPr>
          <w:rFonts w:ascii="Georgia" w:cs="Georgia" w:eastAsia="Georgia" w:hAnsi="Georgia"/>
          <w:b/>
          <w:bCs/>
          <w:color w:val="0F172A"/>
          <w:sz w:val="48"/>
          <w:szCs w:val="48"/>
        </w:rPr>
        <w:t xml:space="preserve">Synapse Clinical Catalogue Template</w:t>
      </w:r>
    </w:p>
    <w:p>
      <w:pPr>
        <w:pBdr>
          <w:bottom w:val="single" w:color="0F766E" w:sz="12"/>
        </w:pBdr>
        <w:spacing w:after="240"/>
      </w:pPr>
    </w:p>
    <w:tbl>
      <w:tblPr>
        <w:tblW w:type="pct" w:w="100%"/>
        <w:tblBorders>
          <w:top w:val="single" w:color="E2E8F0" w:sz="4"/>
          <w:left w:val="single" w:color="0D9488" w:sz="32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Title: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[Enter Title Here]   </w:t>
            </w: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System: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Endocrine   </w:t>
            </w: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Category: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Clinical Reference</w:t>
            </w:r>
          </w:p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Tags: </w:t>
            </w:r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#tag1 #tag2 #reference</w:t>
            </w:r>
          </w:p>
        </w:tc>
      </w:tr>
    </w:tbl>
    <w:p>
      <w:pPr>
        <w:spacing w:after="200"/>
      </w:pPr>
    </w:p>
    <w:p>
      <w:pPr>
        <w:keepNext/>
        <w:pBdr>
          <w:left w:val="single" w:color="0F766E" w:sz="24" w:space="10"/>
        </w:pBdr>
        <w:spacing w:after="120" w:before="300"/>
      </w:pPr>
      <w:r>
        <w:rPr>
          <w:rFonts w:ascii="Georgia" w:cs="Georgia" w:eastAsia="Georgia" w:hAnsi="Georgia"/>
          <w:b/>
          <w:bCs/>
          <w:color w:val="0F766E"/>
          <w:sz w:val="28"/>
          <w:szCs w:val="28"/>
        </w:rPr>
        <w:t xml:space="preserve">  1. Overview</w:t>
      </w:r>
    </w:p>
    <w:p>
      <w:pPr>
        <w:spacing w:after="120" w:line="280"/>
      </w:pPr>
      <w:r>
        <w:rPr>
          <w:rFonts w:ascii="Arial" w:cs="Arial" w:eastAsia="Arial" w:hAnsi="Arial"/>
          <w:i w:val="false"/>
          <w:iCs w:val="false"/>
          <w:color w:val="0F172A"/>
          <w:sz w:val="21"/>
          <w:szCs w:val="21"/>
        </w:rPr>
        <w:t xml:space="preserve">[Enter Overview / Definition Here]</w:t>
      </w:r>
    </w:p>
    <w:p>
      <w:pPr>
        <w:keepNext/>
        <w:pBdr>
          <w:left w:val="single" w:color="0F766E" w:sz="24" w:space="10"/>
        </w:pBdr>
        <w:spacing w:after="120" w:before="300"/>
      </w:pPr>
      <w:r>
        <w:rPr>
          <w:rFonts w:ascii="Georgia" w:cs="Georgia" w:eastAsia="Georgia" w:hAnsi="Georgia"/>
          <w:b/>
          <w:bCs/>
          <w:color w:val="0F766E"/>
          <w:sz w:val="28"/>
          <w:szCs w:val="28"/>
        </w:rPr>
        <w:t xml:space="preserve">  2. Pathophysiology</w:t>
      </w:r>
    </w:p>
    <w:p>
      <w:pPr>
        <w:spacing w:after="120" w:line="280"/>
      </w:pPr>
      <w:r>
        <w:rPr>
          <w:rFonts w:ascii="Arial" w:cs="Arial" w:eastAsia="Arial" w:hAnsi="Arial"/>
          <w:i w:val="false"/>
          <w:iCs w:val="false"/>
          <w:color w:val="0F172A"/>
          <w:sz w:val="21"/>
          <w:szCs w:val="21"/>
        </w:rPr>
        <w:t xml:space="preserve">[Enter Pathophysiology details and mechanisms here]</w:t>
      </w:r>
    </w:p>
    <w:p>
      <w:pPr>
        <w:keepNext/>
        <w:pBdr>
          <w:left w:val="single" w:color="0F766E" w:sz="24" w:space="10"/>
        </w:pBdr>
        <w:spacing w:after="120" w:before="300"/>
      </w:pPr>
      <w:r>
        <w:rPr>
          <w:rFonts w:ascii="Georgia" w:cs="Georgia" w:eastAsia="Georgia" w:hAnsi="Georgia"/>
          <w:b/>
          <w:bCs/>
          <w:color w:val="0F766E"/>
          <w:sz w:val="28"/>
          <w:szCs w:val="28"/>
        </w:rPr>
        <w:t xml:space="preserve">  3. Clinical Features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[Enter Clinical Feature 1 (e.g. Symptom/Sign)]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[Enter Clinical Feature 2 (e.g. Risk Factors)]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[Enter Clinical Feature 3]</w:t>
      </w:r>
    </w:p>
    <w:p>
      <w:pPr>
        <w:keepNext/>
        <w:pBdr>
          <w:left w:val="single" w:color="0F766E" w:sz="24" w:space="10"/>
        </w:pBdr>
        <w:spacing w:after="120" w:before="300"/>
      </w:pPr>
      <w:r>
        <w:rPr>
          <w:rFonts w:ascii="Georgia" w:cs="Georgia" w:eastAsia="Georgia" w:hAnsi="Georgia"/>
          <w:b/>
          <w:bCs/>
          <w:color w:val="0F766E"/>
          <w:sz w:val="28"/>
          <w:szCs w:val="28"/>
        </w:rPr>
        <w:t xml:space="preserve">  4. Diagnosis &amp; Investigations</w:t>
      </w:r>
    </w:p>
    <w:p>
      <w:pPr>
        <w:spacing w:after="120" w:line="280"/>
      </w:pPr>
      <w:r>
        <w:rPr>
          <w:rFonts w:ascii="Arial" w:cs="Arial" w:eastAsia="Arial" w:hAnsi="Arial"/>
          <w:i w:val="false"/>
          <w:iCs w:val="false"/>
          <w:color w:val="0F172A"/>
          <w:sz w:val="21"/>
          <w:szCs w:val="21"/>
        </w:rPr>
        <w:t xml:space="preserve">[Enter Diagnostic criteria, investigations, and assessment guides here]</w:t>
      </w:r>
    </w:p>
    <w:p>
      <w:pPr>
        <w:spacing w:after="120"/>
      </w:pPr>
    </w:p>
    <w:tbl>
      <w:tblPr>
        <w:tblW w:type="pct" w:w="100%"/>
        <w:tblBorders>
          <w:top w:val="single" w:color="E2E8F0" w:sz="4"/>
          <w:left w:val="single" w:color="0F766E" w:sz="32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DFA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DIAGNOSTIC REFERENCE &amp; KEY POINTS</w:t>
            </w:r>
          </w:p>
          <w:p>
            <w:pPr>
              <w:spacing w:after="60" w:line="2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• [Enter Key Reference Point 1]</w:t>
            </w:r>
          </w:p>
          <w:p>
            <w:pPr>
              <w:spacing w:after="60" w:line="2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• [Enter Key Reference Point 2]</w:t>
            </w:r>
          </w:p>
          <w:p>
            <w:pPr>
              <w:spacing w:after="60" w:line="2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• [Enter Key Reference Point 3]</w:t>
            </w:r>
          </w:p>
        </w:tc>
      </w:tr>
    </w:tbl>
    <w:p>
      <w:pPr>
        <w:spacing w:after="120"/>
      </w:pPr>
    </w:p>
    <w:p>
      <w:pPr>
        <w:keepNext/>
        <w:pBdr>
          <w:left w:val="single" w:color="0F766E" w:sz="24" w:space="10"/>
        </w:pBdr>
        <w:spacing w:after="120" w:before="300"/>
      </w:pPr>
      <w:r>
        <w:rPr>
          <w:rFonts w:ascii="Georgia" w:cs="Georgia" w:eastAsia="Georgia" w:hAnsi="Georgia"/>
          <w:b/>
          <w:bCs/>
          <w:color w:val="0F766E"/>
          <w:sz w:val="28"/>
          <w:szCs w:val="28"/>
        </w:rPr>
        <w:t xml:space="preserve">  5. Management</w:t>
      </w:r>
    </w:p>
    <w:p>
      <w:pPr>
        <w:spacing w:after="120" w:line="280"/>
      </w:pPr>
      <w:r>
        <w:rPr>
          <w:rFonts w:ascii="Arial" w:cs="Arial" w:eastAsia="Arial" w:hAnsi="Arial"/>
          <w:i w:val="false"/>
          <w:iCs w:val="false"/>
          <w:color w:val="0F172A"/>
          <w:sz w:val="21"/>
          <w:szCs w:val="21"/>
        </w:rPr>
        <w:t xml:space="preserve">[Enter primary management flowchart or core principles here]</w:t>
      </w:r>
    </w:p>
    <w:p>
      <w:pPr>
        <w:keepNext/>
        <w:pBdr>
          <w:left w:val="single" w:color="0F766E" w:sz="24" w:space="10"/>
        </w:pBdr>
        <w:spacing w:after="120" w:before="300"/>
      </w:pPr>
      <w:r>
        <w:rPr>
          <w:rFonts w:ascii="Georgia" w:cs="Georgia" w:eastAsia="Georgia" w:hAnsi="Georgia"/>
          <w:b/>
          <w:bCs/>
          <w:color w:val="0F766E"/>
          <w:sz w:val="28"/>
          <w:szCs w:val="28"/>
        </w:rPr>
        <w:t xml:space="preserve">  5a. Non-Pharmacological Management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[Enter Non-Pharmacological directive 1 (e.g. lifestyle, diet)]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[Enter Non-Pharmacological directive 2 (e.g. exercises)]</w:t>
      </w:r>
    </w:p>
    <w:p>
      <w:pPr>
        <w:keepNext/>
        <w:pBdr>
          <w:left w:val="single" w:color="0F766E" w:sz="24" w:space="10"/>
        </w:pBdr>
        <w:spacing w:after="120" w:before="300"/>
      </w:pPr>
      <w:r>
        <w:rPr>
          <w:rFonts w:ascii="Georgia" w:cs="Georgia" w:eastAsia="Georgia" w:hAnsi="Georgia"/>
          <w:b/>
          <w:bCs/>
          <w:color w:val="0F766E"/>
          <w:sz w:val="28"/>
          <w:szCs w:val="28"/>
        </w:rPr>
        <w:t xml:space="preserve">  5b. Pharmacological Management</w:t>
      </w:r>
    </w:p>
    <w:p>
      <w:pPr>
        <w:spacing w:after="120" w:line="280"/>
      </w:pPr>
      <w:r>
        <w:rPr>
          <w:rFonts w:ascii="Arial" w:cs="Arial" w:eastAsia="Arial" w:hAnsi="Arial"/>
          <w:i w:val="false"/>
          <w:iCs w:val="false"/>
          <w:color w:val="0F172A"/>
          <w:sz w:val="21"/>
          <w:szCs w:val="21"/>
        </w:rPr>
        <w:t xml:space="preserve">Stepwise pharmacological directives:</w:t>
      </w:r>
    </w:p>
    <w:p>
      <w:pPr>
        <w:spacing w:after="120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none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F766E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Drug Class / Example</w:t>
            </w:r>
          </w:p>
        </w:tc>
        <w:tc>
          <w:tcPr>
            <w:shd w:fill="0F766E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Starting Dose</w:t>
            </w:r>
          </w:p>
        </w:tc>
        <w:tc>
          <w:tcPr>
            <w:shd w:fill="0F766E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Maximum Dose</w:t>
            </w:r>
          </w:p>
        </w:tc>
        <w:tc>
          <w:tcPr>
            <w:shd w:fill="0F766E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Titration &amp; Key Side Effects</w:t>
            </w:r>
          </w:p>
        </w:tc>
      </w:tr>
      <w:tr>
        <w:tc>
          <w:tcPr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[Enter Drug Class 1]</w:t>
            </w:r>
          </w:p>
        </w:tc>
        <w:tc>
          <w:tcPr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[Enter Start Dose]</w:t>
            </w:r>
          </w:p>
        </w:tc>
        <w:tc>
          <w:tcPr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[Enter Max Dose]</w:t>
            </w:r>
          </w:p>
        </w:tc>
        <w:tc>
          <w:tcPr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[Enter Titration / Side Effects]</w:t>
            </w:r>
          </w:p>
        </w:tc>
      </w:tr>
      <w:tr>
        <w:tc>
          <w:tcPr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[Enter Drug Class 2]</w:t>
            </w:r>
          </w:p>
        </w:tc>
        <w:tc>
          <w:tcPr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[Enter Start Dose]</w:t>
            </w:r>
          </w:p>
        </w:tc>
        <w:tc>
          <w:tcPr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[Enter Max Dose]</w:t>
            </w:r>
          </w:p>
        </w:tc>
        <w:tc>
          <w:tcPr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[Enter Titration / Side Effects]</w:t>
            </w:r>
          </w:p>
        </w:tc>
      </w:tr>
    </w:tbl>
    <w:p>
      <w:pPr>
        <w:spacing w:after="120"/>
      </w:pPr>
    </w:p>
    <w:p>
      <w:pPr>
        <w:keepNext/>
        <w:pBdr>
          <w:left w:val="single" w:color="0F766E" w:sz="24" w:space="10"/>
        </w:pBdr>
        <w:spacing w:after="120" w:before="300"/>
      </w:pPr>
      <w:r>
        <w:rPr>
          <w:rFonts w:ascii="Georgia" w:cs="Georgia" w:eastAsia="Georgia" w:hAnsi="Georgia"/>
          <w:b/>
          <w:bCs/>
          <w:color w:val="0F766E"/>
          <w:sz w:val="28"/>
          <w:szCs w:val="28"/>
        </w:rPr>
        <w:t xml:space="preserve">  6. Complications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none"/>
        </w:tblBorders>
      </w:tblPr>
      <w:tblGrid>
        <w:gridCol w:w="100"/>
        <w:gridCol w:w="100"/>
      </w:tblGrid>
      <w:tr>
        <w:tc>
          <w:tcPr>
            <w:shd w:fill="0F766E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Complication / Risk</w:t>
            </w:r>
          </w:p>
        </w:tc>
        <w:tc>
          <w:tcPr>
            <w:shd w:fill="0F766E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Clinical Notes / Prevention</w:t>
            </w:r>
          </w:p>
        </w:tc>
      </w:tr>
      <w:tr>
        <w:tc>
          <w:tcPr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[Enter Complication 1]</w:t>
            </w:r>
          </w:p>
        </w:tc>
        <w:tc>
          <w:tcPr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[Enter Prevention or Notes]</w:t>
            </w:r>
          </w:p>
        </w:tc>
      </w:tr>
      <w:tr>
        <w:tc>
          <w:tcPr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[Enter Complication 2]</w:t>
            </w:r>
          </w:p>
        </w:tc>
        <w:tc>
          <w:tcPr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[Enter Prevention or Notes]</w:t>
            </w:r>
          </w:p>
        </w:tc>
      </w:tr>
    </w:tbl>
    <w:p>
      <w:pPr>
        <w:spacing w:after="120"/>
      </w:pPr>
    </w:p>
    <w:p>
      <w:pPr>
        <w:keepNext/>
        <w:pBdr>
          <w:left w:val="single" w:color="0F766E" w:sz="24" w:space="10"/>
        </w:pBdr>
        <w:spacing w:after="120" w:before="300"/>
      </w:pPr>
      <w:r>
        <w:rPr>
          <w:rFonts w:ascii="Georgia" w:cs="Georgia" w:eastAsia="Georgia" w:hAnsi="Georgia"/>
          <w:b/>
          <w:bCs/>
          <w:color w:val="0F766E"/>
          <w:sz w:val="28"/>
          <w:szCs w:val="28"/>
        </w:rPr>
        <w:t xml:space="preserve">  7. When to Refer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[Enter Referral Criteria 1 (e.g. red flags, specialist review)]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[Enter Referral Criteria 2 (e.g. lack of response to tier 1 therapy)]</w:t>
      </w:r>
    </w:p>
    <w:p>
      <w:pPr>
        <w:keepNext/>
        <w:pBdr>
          <w:left w:val="single" w:color="0F766E" w:sz="24" w:space="10"/>
        </w:pBdr>
        <w:spacing w:after="120" w:before="300"/>
      </w:pPr>
      <w:r>
        <w:rPr>
          <w:rFonts w:ascii="Georgia" w:cs="Georgia" w:eastAsia="Georgia" w:hAnsi="Georgia"/>
          <w:b/>
          <w:bCs/>
          <w:color w:val="0F766E"/>
          <w:sz w:val="28"/>
          <w:szCs w:val="28"/>
        </w:rPr>
        <w:t xml:space="preserve">  8. Prognosis</w:t>
      </w:r>
    </w:p>
    <w:p>
      <w:pPr>
        <w:spacing w:after="120" w:line="280"/>
      </w:pPr>
      <w:r>
        <w:rPr>
          <w:rFonts w:ascii="Arial" w:cs="Arial" w:eastAsia="Arial" w:hAnsi="Arial"/>
          <w:i w:val="false"/>
          <w:iCs w:val="false"/>
          <w:color w:val="0F172A"/>
          <w:sz w:val="21"/>
          <w:szCs w:val="21"/>
        </w:rPr>
        <w:t xml:space="preserve">[Enter prognosis, recovery timelines, and follow-up guidelines]</w:t>
      </w:r>
    </w:p>
    <w:p>
      <w:pPr>
        <w:keepNext/>
        <w:pBdr>
          <w:left w:val="single" w:color="0F766E" w:sz="24" w:space="10"/>
        </w:pBdr>
        <w:spacing w:after="120" w:before="300"/>
      </w:pPr>
      <w:r>
        <w:rPr>
          <w:rFonts w:ascii="Georgia" w:cs="Georgia" w:eastAsia="Georgia" w:hAnsi="Georgia"/>
          <w:b/>
          <w:bCs/>
          <w:color w:val="0F766E"/>
          <w:sz w:val="28"/>
          <w:szCs w:val="28"/>
        </w:rPr>
        <w:t xml:space="preserve">  9. Resources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[Enter Clinical Guideline Resource 1 (e.g. RACGP, eTG)]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[Enter Patient Information Portal Link]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2026-06-13T20:59:59.062Z</dcterms:created>
  <dcterms:modified xsi:type="dcterms:W3CDTF">2026-06-13T20:59:59.062Z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