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Georgia" w:hAnsi="Georgia"/>
          <w:b/>
          <w:color w:val="0F766E"/>
          <w:sz w:val="48"/>
        </w:rPr>
        <w:t>GP EDGE - Medical Content Import Template</w:t>
      </w:r>
    </w:p>
    <w:p>
      <w:pPr>
        <w:spacing w:after="240"/>
      </w:pPr>
      <w:r>
        <w:rPr>
          <w:rFonts w:ascii="Arial" w:hAnsi="Arial"/>
          <w:color w:val="64748B"/>
          <w:sz w:val="20"/>
        </w:rPr>
        <w:t>Use this template to draft and import clinical articles and guidelines into the GP EDGE Medical Library.</w:t>
      </w:r>
    </w:p>
    <w:p>
      <w:pPr>
        <w:spacing w:after="320"/>
        <w:pBdr>
          <w:bottom w:val="single" w:sz="12" w:space="4" w:color="0F766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F766E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F766E"/>
                <w:sz w:val="20"/>
              </w:rPr>
              <w:t>GUIDELINES:</w:t>
            </w:r>
          </w:p>
          <w:p>
            <w:pPr>
              <w:spacing w:before="40" w:after="40"/>
              <w:ind w:left="288"/>
            </w:pPr>
            <w:r>
              <w:rPr>
                <w:rFonts w:ascii="Arial" w:hAnsi="Arial"/>
                <w:color w:val="0F766E"/>
                <w:sz w:val="19"/>
              </w:rPr>
              <w:t xml:space="preserve">•  </w:t>
            </w:r>
            <w:r>
              <w:rPr>
                <w:rFonts w:ascii="Arial" w:hAnsi="Arial"/>
                <w:color w:val="0F766E"/>
                <w:sz w:val="19"/>
              </w:rPr>
              <w:t>Modify the content fields below to write your clinical guideline outline.</w:t>
            </w:r>
          </w:p>
          <w:p>
            <w:pPr>
              <w:spacing w:before="40" w:after="40"/>
              <w:ind w:left="288"/>
            </w:pPr>
            <w:r>
              <w:rPr>
                <w:rFonts w:ascii="Arial" w:hAnsi="Arial"/>
                <w:color w:val="0F766E"/>
                <w:sz w:val="19"/>
              </w:rPr>
              <w:t xml:space="preserve">•  </w:t>
            </w:r>
            <w:r>
              <w:rPr>
                <w:rFonts w:ascii="Arial" w:hAnsi="Arial"/>
                <w:color w:val="0F766E"/>
                <w:sz w:val="19"/>
              </w:rPr>
              <w:t>Maintain the metadata fields: 'Title:', 'System:', and 'Category:'.</w:t>
            </w:r>
          </w:p>
          <w:p>
            <w:pPr>
              <w:spacing w:before="40" w:after="40"/>
              <w:ind w:left="288"/>
            </w:pPr>
            <w:r>
              <w:rPr>
                <w:rFonts w:ascii="Arial" w:hAnsi="Arial"/>
                <w:color w:val="0F766E"/>
                <w:sz w:val="19"/>
              </w:rPr>
              <w:t xml:space="preserve">•  </w:t>
            </w:r>
            <w:r>
              <w:rPr>
                <w:rFonts w:ascii="Arial" w:hAnsi="Arial"/>
                <w:color w:val="0F766E"/>
                <w:sz w:val="19"/>
              </w:rPr>
              <w:t>Use numbered Heading 1 sections (such as '1. Section Title') to group your content. They will be styled automatically on import.</w:t>
            </w:r>
          </w:p>
          <w:p>
            <w:pPr>
              <w:spacing w:before="40" w:after="40"/>
              <w:ind w:left="288"/>
            </w:pPr>
            <w:r>
              <w:rPr>
                <w:rFonts w:ascii="Arial" w:hAnsi="Arial"/>
                <w:color w:val="0F766E"/>
                <w:sz w:val="19"/>
              </w:rPr>
              <w:t xml:space="preserve">•  </w:t>
            </w:r>
            <w:r>
              <w:rPr>
                <w:rFonts w:ascii="Arial" w:hAnsi="Arial"/>
                <w:color w:val="0F766E"/>
                <w:sz w:val="19"/>
              </w:rPr>
              <w:t>To insert styled tables, bullet lists, and callout blocks, format them in Word exactly as demonstrated below.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rFonts w:ascii="Arial" w:hAnsi="Arial"/>
          <w:b/>
          <w:color w:val="0F766E"/>
          <w:sz w:val="22"/>
        </w:rPr>
        <w:t xml:space="preserve">Title: </w:t>
      </w:r>
      <w:r>
        <w:rPr>
          <w:rFonts w:ascii="Arial" w:hAnsi="Arial"/>
          <w:color w:val="1E293B"/>
          <w:sz w:val="22"/>
        </w:rPr>
        <w:t>[Enter Clinical Article Title Here]</w:t>
      </w:r>
      <w:r>
        <w:br/>
      </w:r>
      <w:r>
        <w:rPr>
          <w:rFonts w:ascii="Arial" w:hAnsi="Arial"/>
          <w:b/>
          <w:color w:val="0F766E"/>
          <w:sz w:val="22"/>
        </w:rPr>
        <w:t xml:space="preserve">System: </w:t>
      </w:r>
      <w:r>
        <w:rPr>
          <w:rFonts w:ascii="Arial" w:hAnsi="Arial"/>
          <w:color w:val="1E293B"/>
          <w:sz w:val="22"/>
        </w:rPr>
        <w:t>[Enter Body System]</w:t>
      </w:r>
      <w:r>
        <w:br/>
      </w:r>
      <w:r>
        <w:rPr>
          <w:rFonts w:ascii="Arial" w:hAnsi="Arial"/>
          <w:b/>
          <w:color w:val="0F766E"/>
          <w:sz w:val="22"/>
        </w:rPr>
        <w:t xml:space="preserve">Category: </w:t>
      </w:r>
      <w:r>
        <w:rPr>
          <w:rFonts w:ascii="Arial" w:hAnsi="Arial"/>
          <w:color w:val="1E293B"/>
          <w:sz w:val="22"/>
        </w:rPr>
        <w:t>[Enter Category]</w:t>
      </w:r>
    </w:p>
    <w:p>
      <w:pPr>
        <w:keepNext/>
        <w:spacing w:before="360" w:after="120"/>
        <w:pBdr>
          <w:top w:val="none"/>
          <w:left w:val="single" w:sz="24" w:space="8" w:color="0F766E"/>
          <w:bottom w:val="none"/>
          <w:right w:val="none"/>
        </w:pBdr>
      </w:pPr>
      <w:r>
        <w:rPr>
          <w:rFonts w:ascii="Georgia" w:hAnsi="Georgia"/>
          <w:b/>
          <w:color w:val="0F766E"/>
          <w:sz w:val="28"/>
        </w:rPr>
        <w:t>1. Overview</w:t>
      </w:r>
    </w:p>
    <w:p>
      <w:pPr>
        <w:spacing w:after="160"/>
      </w:pPr>
      <w:r>
        <w:rPr>
          <w:rFonts w:ascii="Arial" w:hAnsi="Arial"/>
          <w:color w:val="475569"/>
          <w:sz w:val="21"/>
        </w:rPr>
        <w:t>[Provide a brief overview of the condition, background context, epidemiology, and general practice relevance here. Keep the description clear, concise, and focused on clinical utility.]</w:t>
      </w:r>
    </w:p>
    <w:p>
      <w:pPr>
        <w:keepNext/>
        <w:spacing w:before="360" w:after="120"/>
        <w:pBdr>
          <w:top w:val="none"/>
          <w:left w:val="single" w:sz="24" w:space="8" w:color="0F766E"/>
          <w:bottom w:val="none"/>
          <w:right w:val="none"/>
        </w:pBdr>
      </w:pPr>
      <w:r>
        <w:rPr>
          <w:rFonts w:ascii="Georgia" w:hAnsi="Georgia"/>
          <w:b/>
          <w:color w:val="0F766E"/>
          <w:sz w:val="28"/>
        </w:rPr>
        <w:t>2. Symptoms</w:t>
      </w:r>
    </w:p>
    <w:p>
      <w:pPr>
        <w:spacing w:after="60"/>
        <w:ind w:left="360"/>
      </w:pPr>
      <w:r>
        <w:rPr>
          <w:color w:val="475569"/>
        </w:rPr>
        <w:t xml:space="preserve">•  </w:t>
      </w:r>
      <w:r>
        <w:rPr>
          <w:rFonts w:ascii="Arial" w:hAnsi="Arial"/>
          <w:color w:val="475569"/>
          <w:sz w:val="21"/>
        </w:rPr>
        <w:t>[Key symptom, history question, or clinical feature 1]</w:t>
      </w:r>
    </w:p>
    <w:p>
      <w:pPr>
        <w:spacing w:after="60"/>
        <w:ind w:left="360"/>
      </w:pPr>
      <w:r>
        <w:rPr>
          <w:color w:val="475569"/>
        </w:rPr>
        <w:t xml:space="preserve">•  </w:t>
      </w:r>
      <w:r>
        <w:rPr>
          <w:rFonts w:ascii="Arial" w:hAnsi="Arial"/>
          <w:color w:val="475569"/>
          <w:sz w:val="21"/>
        </w:rPr>
        <w:t>[Key symptom, history question, or clinical feature 2]</w:t>
      </w:r>
    </w:p>
    <w:p>
      <w:pPr>
        <w:spacing w:after="60"/>
        <w:ind w:left="360"/>
      </w:pPr>
      <w:r>
        <w:rPr>
          <w:color w:val="475569"/>
        </w:rPr>
        <w:t xml:space="preserve">•  </w:t>
      </w:r>
      <w:r>
        <w:rPr>
          <w:rFonts w:ascii="Arial" w:hAnsi="Arial"/>
          <w:color w:val="475569"/>
          <w:sz w:val="21"/>
        </w:rPr>
        <w:t>[Physical examination finding or diagnostic sign 3]</w:t>
      </w:r>
    </w:p>
    <w:p>
      <w:pPr>
        <w:spacing w:after="60"/>
        <w:ind w:left="360"/>
      </w:pPr>
      <w:r>
        <w:rPr>
          <w:color w:val="475569"/>
        </w:rPr>
        <w:t xml:space="preserve">•  </w:t>
      </w:r>
      <w:r>
        <w:rPr>
          <w:rFonts w:ascii="Arial" w:hAnsi="Arial"/>
          <w:color w:val="475569"/>
          <w:sz w:val="21"/>
        </w:rPr>
        <w:t>[Physical examination finding or diagnostic sign 4]</w:t>
      </w:r>
    </w:p>
    <w:p>
      <w:pPr>
        <w:keepNext/>
        <w:spacing w:before="360" w:after="120"/>
        <w:pBdr>
          <w:top w:val="none"/>
          <w:left w:val="single" w:sz="24" w:space="8" w:color="0F766E"/>
          <w:bottom w:val="none"/>
          <w:right w:val="none"/>
        </w:pBdr>
      </w:pPr>
      <w:r>
        <w:rPr>
          <w:rFonts w:ascii="Georgia" w:hAnsi="Georgia"/>
          <w:b/>
          <w:color w:val="0F766E"/>
          <w:sz w:val="28"/>
        </w:rPr>
        <w:t>3. Diagnosis</w:t>
      </w:r>
    </w:p>
    <w:p>
      <w:pPr>
        <w:spacing w:after="160"/>
      </w:pPr>
      <w:r>
        <w:rPr>
          <w:rFonts w:ascii="Arial" w:hAnsi="Arial"/>
          <w:color w:val="475569"/>
          <w:sz w:val="21"/>
        </w:rPr>
        <w:t>[Specify the diagnostic process, diagnostic tools, investigations, or specific testing criteria below:]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F766E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F766E"/>
                <w:sz w:val="20"/>
              </w:rPr>
              <w:t>Diagnostic Reference / Criteria Guide</w:t>
            </w:r>
          </w:p>
          <w:p>
            <w:pPr>
              <w:spacing w:before="40" w:after="40"/>
              <w:ind w:left="288"/>
            </w:pPr>
            <w:r>
              <w:rPr>
                <w:rFonts w:ascii="Arial" w:hAnsi="Arial"/>
                <w:color w:val="0F766E"/>
                <w:sz w:val="19"/>
              </w:rPr>
              <w:t xml:space="preserve">•  </w:t>
            </w:r>
            <w:r>
              <w:rPr>
                <w:rFonts w:ascii="Arial" w:hAnsi="Arial"/>
                <w:color w:val="0F766E"/>
                <w:sz w:val="19"/>
              </w:rPr>
              <w:t>[Diagnostic criteria step 1, classification rule, or clinical tool referral]</w:t>
            </w:r>
          </w:p>
          <w:p>
            <w:pPr>
              <w:spacing w:before="40" w:after="40"/>
              <w:ind w:left="288"/>
            </w:pPr>
            <w:r>
              <w:rPr>
                <w:rFonts w:ascii="Arial" w:hAnsi="Arial"/>
                <w:color w:val="0F766E"/>
                <w:sz w:val="19"/>
              </w:rPr>
              <w:t xml:space="preserve">•  </w:t>
            </w:r>
            <w:r>
              <w:rPr>
                <w:rFonts w:ascii="Arial" w:hAnsi="Arial"/>
                <w:color w:val="0F766E"/>
                <w:sz w:val="19"/>
              </w:rPr>
              <w:t>[Diagnostic criteria step 2, classification rule, or clinical tool referral]</w:t>
            </w:r>
          </w:p>
          <w:p>
            <w:pPr>
              <w:spacing w:before="40" w:after="40"/>
              <w:ind w:left="288"/>
            </w:pPr>
            <w:r>
              <w:rPr>
                <w:rFonts w:ascii="Arial" w:hAnsi="Arial"/>
                <w:color w:val="0F766E"/>
                <w:sz w:val="19"/>
              </w:rPr>
              <w:t xml:space="preserve">•  </w:t>
            </w:r>
            <w:r>
              <w:rPr>
                <w:rFonts w:ascii="Arial" w:hAnsi="Arial"/>
                <w:color w:val="0F766E"/>
                <w:sz w:val="19"/>
              </w:rPr>
              <w:t>[Key laboratory test, radiological investigation, or screening threshold]</w:t>
            </w:r>
          </w:p>
          <w:p>
            <w:pPr>
              <w:spacing w:before="40" w:after="40"/>
              <w:ind w:left="288"/>
            </w:pPr>
            <w:r>
              <w:rPr>
                <w:rFonts w:ascii="Arial" w:hAnsi="Arial"/>
                <w:color w:val="0F766E"/>
                <w:sz w:val="19"/>
              </w:rPr>
              <w:t xml:space="preserve">•  </w:t>
            </w:r>
            <w:r>
              <w:rPr>
                <w:rFonts w:ascii="Arial" w:hAnsi="Arial"/>
                <w:color w:val="0F766E"/>
                <w:sz w:val="19"/>
              </w:rPr>
              <w:t>[Key laboratory test, radiological investigation, or screening threshold]</w:t>
            </w:r>
          </w:p>
        </w:tc>
      </w:tr>
    </w:tbl>
    <w:p>
      <w:pPr>
        <w:spacing w:after="120"/>
      </w:pPr>
    </w:p>
    <w:p>
      <w:pPr>
        <w:keepNext/>
        <w:spacing w:before="360" w:after="120"/>
        <w:pBdr>
          <w:top w:val="none"/>
          <w:left w:val="single" w:sz="24" w:space="8" w:color="0F766E"/>
          <w:bottom w:val="none"/>
          <w:right w:val="none"/>
        </w:pBdr>
      </w:pPr>
      <w:r>
        <w:rPr>
          <w:rFonts w:ascii="Georgia" w:hAnsi="Georgia"/>
          <w:b/>
          <w:color w:val="0F766E"/>
          <w:sz w:val="28"/>
        </w:rPr>
        <w:t>4. Complications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F766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Complication / Risk</w:t>
            </w:r>
          </w:p>
        </w:tc>
        <w:tc>
          <w:tcPr>
            <w:tcW w:type="dxa" w:w="4680"/>
            <w:shd w:fill="0F766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Clinical Notes / Prevention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475569"/>
                <w:sz w:val="19"/>
              </w:rPr>
              <w:t>[Complication or risk 1]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475569"/>
                <w:sz w:val="19"/>
              </w:rPr>
              <w:t>[Clinical notes, preventative strategies, or management implications for complication 1]</w:t>
            </w:r>
          </w:p>
        </w:tc>
      </w:tr>
      <w:tr>
        <w:tc>
          <w:tcPr>
            <w:tcW w:type="dxa" w:w="46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475569"/>
                <w:sz w:val="19"/>
              </w:rPr>
              <w:t>[Complication or risk 2]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475569"/>
                <w:sz w:val="19"/>
              </w:rPr>
              <w:t>[Clinical notes, preventative strategies, or management implications for complication 2]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475569"/>
                <w:sz w:val="19"/>
              </w:rPr>
              <w:t>[Complication or risk 3]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475569"/>
                <w:sz w:val="19"/>
              </w:rPr>
              <w:t>[Clinical notes, preventative strategies, or management implications for complication 3]</w:t>
            </w:r>
          </w:p>
        </w:tc>
      </w:tr>
      <w:tr>
        <w:tc>
          <w:tcPr>
            <w:tcW w:type="dxa" w:w="46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475569"/>
                <w:sz w:val="19"/>
              </w:rPr>
              <w:t>[Complication or risk 4]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475569"/>
                <w:sz w:val="19"/>
              </w:rPr>
              <w:t>[Clinical notes, preventative strategies, or management implications for complication 4]</w:t>
            </w:r>
          </w:p>
        </w:tc>
      </w:tr>
    </w:tbl>
    <w:p>
      <w:pPr>
        <w:spacing w:after="240"/>
      </w:pPr>
    </w:p>
    <w:p>
      <w:pPr>
        <w:keepNext/>
        <w:spacing w:before="360" w:after="120"/>
        <w:pBdr>
          <w:top w:val="none"/>
          <w:left w:val="single" w:sz="24" w:space="8" w:color="0F766E"/>
          <w:bottom w:val="none"/>
          <w:right w:val="none"/>
        </w:pBdr>
      </w:pPr>
      <w:r>
        <w:rPr>
          <w:rFonts w:ascii="Georgia" w:hAnsi="Georgia"/>
          <w:b/>
          <w:color w:val="0F766E"/>
          <w:sz w:val="28"/>
        </w:rPr>
        <w:t>5. Management</w:t>
      </w:r>
    </w:p>
    <w:p>
      <w:pPr>
        <w:spacing w:after="160"/>
      </w:pPr>
      <w:r>
        <w:rPr>
          <w:rFonts w:ascii="Arial" w:hAnsi="Arial"/>
          <w:i/>
          <w:color w:val="64748B"/>
          <w:sz w:val="21"/>
        </w:rPr>
        <w:t>[Detail the care pathway, non-pharmacological adjustments, and drug therapies below. Cite relevant national guidelines where applicable.]</w:t>
      </w:r>
    </w:p>
    <w:p>
      <w:pPr>
        <w:keepNext/>
        <w:spacing w:before="240" w:after="80"/>
      </w:pPr>
      <w:r>
        <w:rPr>
          <w:rFonts w:ascii="Georgia" w:hAnsi="Georgia"/>
          <w:b/>
          <w:color w:val="0F766E"/>
          <w:sz w:val="23"/>
        </w:rPr>
        <w:t>5a. Non-Pharmacological Management</w:t>
      </w:r>
    </w:p>
    <w:p>
      <w:pPr>
        <w:spacing w:after="160"/>
      </w:pPr>
      <w:r>
        <w:rPr>
          <w:rFonts w:ascii="Arial" w:hAnsi="Arial"/>
          <w:color w:val="475569"/>
          <w:sz w:val="21"/>
        </w:rPr>
        <w:t>[Identify lifestyle modifications, patient education topics, and non-pharmacological strategies to address at each consultation:]</w:t>
      </w:r>
    </w:p>
    <w:p>
      <w:pPr>
        <w:spacing w:after="60"/>
        <w:ind w:left="360"/>
      </w:pPr>
      <w:r>
        <w:rPr>
          <w:color w:val="475569"/>
        </w:rPr>
        <w:t xml:space="preserve">•  </w:t>
      </w:r>
      <w:r>
        <w:rPr>
          <w:rFonts w:ascii="Arial" w:hAnsi="Arial"/>
          <w:color w:val="475569"/>
          <w:sz w:val="21"/>
        </w:rPr>
        <w:t>[Lifestyle modification, diet/exercise advice, or sleep hygiene parameter 1]</w:t>
      </w:r>
    </w:p>
    <w:p>
      <w:pPr>
        <w:spacing w:after="60"/>
        <w:ind w:left="360"/>
      </w:pPr>
      <w:r>
        <w:rPr>
          <w:color w:val="475569"/>
        </w:rPr>
        <w:t xml:space="preserve">•  </w:t>
      </w:r>
      <w:r>
        <w:rPr>
          <w:rFonts w:ascii="Arial" w:hAnsi="Arial"/>
          <w:color w:val="475569"/>
          <w:sz w:val="21"/>
        </w:rPr>
        <w:t>[Lifestyle modification, diet/exercise advice, or sleep hygiene parameter 2]</w:t>
      </w:r>
    </w:p>
    <w:p>
      <w:pPr>
        <w:spacing w:after="60"/>
        <w:ind w:left="360"/>
      </w:pPr>
      <w:r>
        <w:rPr>
          <w:color w:val="475569"/>
        </w:rPr>
        <w:t xml:space="preserve">•  </w:t>
      </w:r>
      <w:r>
        <w:rPr>
          <w:rFonts w:ascii="Arial" w:hAnsi="Arial"/>
          <w:color w:val="475569"/>
          <w:sz w:val="21"/>
        </w:rPr>
        <w:t>[Cognitive behavioral therapy, relaxation training, or allied health referral]</w:t>
      </w:r>
    </w:p>
    <w:p>
      <w:pPr>
        <w:spacing w:after="60"/>
        <w:ind w:left="360"/>
      </w:pPr>
      <w:r>
        <w:rPr>
          <w:color w:val="475569"/>
        </w:rPr>
        <w:t xml:space="preserve">•  </w:t>
      </w:r>
      <w:r>
        <w:rPr>
          <w:rFonts w:ascii="Arial" w:hAnsi="Arial"/>
          <w:color w:val="475569"/>
          <w:sz w:val="21"/>
        </w:rPr>
        <w:t>[Allied health or physical therapy intervention]</w:t>
      </w:r>
    </w:p>
    <w:p>
      <w:pPr>
        <w:keepNext/>
        <w:spacing w:before="240" w:after="80"/>
      </w:pPr>
      <w:r>
        <w:rPr>
          <w:rFonts w:ascii="Georgia" w:hAnsi="Georgia"/>
          <w:b/>
          <w:color w:val="0F766E"/>
          <w:sz w:val="23"/>
        </w:rPr>
        <w:t>5b. Pharmacological Management</w:t>
      </w:r>
    </w:p>
    <w:p>
      <w:pPr>
        <w:spacing w:after="160"/>
      </w:pPr>
      <w:r>
        <w:rPr>
          <w:rFonts w:ascii="Arial" w:hAnsi="Arial"/>
          <w:color w:val="475569"/>
          <w:sz w:val="21"/>
        </w:rPr>
        <w:t>[Detail pharmacological treatment choices, starting doses, titration schedules, and maximum limits in the table below. Avoid medication overuse risks.]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766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Drug Class / Example</w:t>
            </w:r>
          </w:p>
        </w:tc>
        <w:tc>
          <w:tcPr>
            <w:tcW w:type="dxa" w:w="2340"/>
            <w:shd w:fill="0F766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Starting Dose</w:t>
            </w:r>
          </w:p>
        </w:tc>
        <w:tc>
          <w:tcPr>
            <w:tcW w:type="dxa" w:w="2340"/>
            <w:shd w:fill="0F766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Maximum Dose</w:t>
            </w:r>
          </w:p>
        </w:tc>
        <w:tc>
          <w:tcPr>
            <w:tcW w:type="dxa" w:w="2340"/>
            <w:shd w:fill="0F766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Titration &amp; Key Side Effects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475569"/>
                <w:sz w:val="19"/>
              </w:rPr>
              <w:t>[First-line drug or class 1]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475569"/>
                <w:sz w:val="19"/>
              </w:rPr>
              <w:t>[Starting dose, route, and frequency]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475569"/>
                <w:sz w:val="19"/>
              </w:rPr>
              <w:t>[Maximum dose/24h or duration limit]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475569"/>
                <w:sz w:val="19"/>
              </w:rPr>
              <w:t>[Titration notes, contraindications, and main side effects]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475569"/>
                <w:sz w:val="19"/>
              </w:rPr>
              <w:t>[First-line drug or class 2]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475569"/>
                <w:sz w:val="19"/>
              </w:rPr>
              <w:t>[Starting dose, route, and frequency]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475569"/>
                <w:sz w:val="19"/>
              </w:rPr>
              <w:t>[Maximum dose/24h or duration limit]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475569"/>
                <w:sz w:val="19"/>
              </w:rPr>
              <w:t>[Titration notes, contraindications, and main side effects]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475569"/>
                <w:sz w:val="19"/>
              </w:rPr>
              <w:t>[Second-line drug or class 3]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475569"/>
                <w:sz w:val="19"/>
              </w:rPr>
              <w:t>[Starting dose, route, and frequency]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475569"/>
                <w:sz w:val="19"/>
              </w:rPr>
              <w:t>[Maximum dose/24h or duration limit]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475569"/>
                <w:sz w:val="19"/>
              </w:rPr>
              <w:t>[Titration notes, contraindications, and main side effects]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475569"/>
                <w:sz w:val="19"/>
              </w:rPr>
              <w:t>[Alternative / Adjoint class 4]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475569"/>
                <w:sz w:val="19"/>
              </w:rPr>
              <w:t>[Starting dose, route, and frequency]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475569"/>
                <w:sz w:val="19"/>
              </w:rPr>
              <w:t>[Maximum dose/24h or duration limit]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475569"/>
                <w:sz w:val="19"/>
              </w:rPr>
              <w:t>[Titration notes, contraindications, and main side effects]</w:t>
            </w:r>
          </w:p>
        </w:tc>
      </w:tr>
    </w:tbl>
    <w:p>
      <w:pPr>
        <w:spacing w:after="240"/>
      </w:pPr>
    </w:p>
    <w:p>
      <w:pPr>
        <w:keepNext/>
        <w:spacing w:before="360" w:after="120"/>
        <w:pBdr>
          <w:top w:val="none"/>
          <w:left w:val="single" w:sz="24" w:space="8" w:color="0F766E"/>
          <w:bottom w:val="none"/>
          <w:right w:val="none"/>
        </w:pBdr>
      </w:pPr>
      <w:r>
        <w:rPr>
          <w:rFonts w:ascii="Georgia" w:hAnsi="Georgia"/>
          <w:b/>
          <w:color w:val="0F766E"/>
          <w:sz w:val="28"/>
        </w:rPr>
        <w:t>6. Warning Signs</w:t>
      </w:r>
    </w:p>
    <w:p>
      <w:pPr>
        <w:spacing w:after="120"/>
      </w:pPr>
      <w:r>
        <w:rPr>
          <w:rFonts w:ascii="Arial" w:hAnsi="Arial"/>
          <w:color w:val="475569"/>
          <w:sz w:val="21"/>
        </w:rPr>
        <w:t>[Identify clinical red flags, alarm symptoms, or indicators that require immediate escalation or referral:]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B45309"/>
                <w:sz w:val="20"/>
              </w:rPr>
              <w:t>Warning Signs &amp; Emergency Red Flags</w:t>
            </w:r>
          </w:p>
          <w:p>
            <w:pPr>
              <w:spacing w:before="40" w:after="40"/>
              <w:ind w:left="288"/>
            </w:pPr>
            <w:r>
              <w:rPr>
                <w:rFonts w:ascii="Arial" w:hAnsi="Arial"/>
                <w:color w:val="B45309"/>
                <w:sz w:val="19"/>
              </w:rPr>
              <w:t xml:space="preserve">•  </w:t>
            </w:r>
            <w:r>
              <w:rPr>
                <w:rFonts w:ascii="Arial" w:hAnsi="Arial"/>
                <w:color w:val="B45309"/>
                <w:sz w:val="19"/>
              </w:rPr>
              <w:t>[Warning sign or alarm symptom requiring urgent secondary workup 1]</w:t>
            </w:r>
          </w:p>
          <w:p>
            <w:pPr>
              <w:spacing w:before="40" w:after="40"/>
              <w:ind w:left="288"/>
            </w:pPr>
            <w:r>
              <w:rPr>
                <w:rFonts w:ascii="Arial" w:hAnsi="Arial"/>
                <w:color w:val="B45309"/>
                <w:sz w:val="19"/>
              </w:rPr>
              <w:t xml:space="preserve">•  </w:t>
            </w:r>
            <w:r>
              <w:rPr>
                <w:rFonts w:ascii="Arial" w:hAnsi="Arial"/>
                <w:color w:val="B45309"/>
                <w:sz w:val="19"/>
              </w:rPr>
              <w:t>[Warning sign or alarm symptom requiring urgent secondary workup 2]</w:t>
            </w:r>
          </w:p>
          <w:p>
            <w:pPr>
              <w:spacing w:before="40" w:after="40"/>
              <w:ind w:left="288"/>
            </w:pPr>
            <w:r>
              <w:rPr>
                <w:rFonts w:ascii="Arial" w:hAnsi="Arial"/>
                <w:color w:val="B45309"/>
                <w:sz w:val="19"/>
              </w:rPr>
              <w:t xml:space="preserve">•  </w:t>
            </w:r>
            <w:r>
              <w:rPr>
                <w:rFonts w:ascii="Arial" w:hAnsi="Arial"/>
                <w:color w:val="B45309"/>
                <w:sz w:val="19"/>
              </w:rPr>
              <w:t>[Contraindication or clinical criteria requiring immediate specialist escalation]</w:t>
            </w:r>
          </w:p>
        </w:tc>
      </w:tr>
    </w:tbl>
    <w:p>
      <w:pPr>
        <w:spacing w:after="120"/>
      </w:pPr>
    </w:p>
    <w:p>
      <w:pPr>
        <w:keepNext/>
        <w:spacing w:before="360" w:after="120"/>
        <w:pBdr>
          <w:top w:val="none"/>
          <w:left w:val="single" w:sz="24" w:space="8" w:color="0F766E"/>
          <w:bottom w:val="none"/>
          <w:right w:val="none"/>
        </w:pBdr>
      </w:pPr>
      <w:r>
        <w:rPr>
          <w:rFonts w:ascii="Georgia" w:hAnsi="Georgia"/>
          <w:b/>
          <w:color w:val="0F766E"/>
          <w:sz w:val="28"/>
        </w:rPr>
        <w:t>7. When to Refer</w:t>
      </w:r>
    </w:p>
    <w:p>
      <w:pPr>
        <w:spacing w:after="120"/>
      </w:pPr>
      <w:r>
        <w:rPr>
          <w:rFonts w:ascii="Arial" w:hAnsi="Arial"/>
          <w:color w:val="475569"/>
          <w:sz w:val="21"/>
        </w:rPr>
        <w:t>[List specific criteria for outpatient specialist referral, allied health coordination, or diagnostic support:]</w:t>
      </w:r>
    </w:p>
    <w:p>
      <w:pPr>
        <w:spacing w:after="60"/>
        <w:ind w:left="360"/>
      </w:pPr>
      <w:r>
        <w:rPr>
          <w:color w:val="475569"/>
        </w:rPr>
        <w:t xml:space="preserve">•  </w:t>
      </w:r>
      <w:r>
        <w:rPr>
          <w:rFonts w:ascii="Arial" w:hAnsi="Arial"/>
          <w:color w:val="475569"/>
          <w:sz w:val="21"/>
        </w:rPr>
        <w:t>[Referral criteria 1]</w:t>
      </w:r>
    </w:p>
    <w:p>
      <w:pPr>
        <w:spacing w:after="60"/>
        <w:ind w:left="360"/>
      </w:pPr>
      <w:r>
        <w:rPr>
          <w:color w:val="475569"/>
        </w:rPr>
        <w:t xml:space="preserve">•  </w:t>
      </w:r>
      <w:r>
        <w:rPr>
          <w:rFonts w:ascii="Arial" w:hAnsi="Arial"/>
          <w:color w:val="475569"/>
          <w:sz w:val="21"/>
        </w:rPr>
        <w:t>[Referral criteria 2]</w:t>
      </w:r>
    </w:p>
    <w:p>
      <w:pPr>
        <w:spacing w:after="60"/>
        <w:ind w:left="360"/>
      </w:pPr>
      <w:r>
        <w:rPr>
          <w:color w:val="475569"/>
        </w:rPr>
        <w:t xml:space="preserve">•  </w:t>
      </w:r>
      <w:r>
        <w:rPr>
          <w:rFonts w:ascii="Arial" w:hAnsi="Arial"/>
          <w:color w:val="475569"/>
          <w:sz w:val="21"/>
        </w:rPr>
        <w:t>[Referral criteria 3]</w:t>
      </w:r>
    </w:p>
    <w:p>
      <w:pPr>
        <w:keepNext/>
        <w:spacing w:before="360" w:after="120"/>
        <w:pBdr>
          <w:top w:val="none"/>
          <w:left w:val="single" w:sz="24" w:space="8" w:color="0F766E"/>
          <w:bottom w:val="none"/>
          <w:right w:val="none"/>
        </w:pBdr>
      </w:pPr>
      <w:r>
        <w:rPr>
          <w:rFonts w:ascii="Georgia" w:hAnsi="Georgia"/>
          <w:b/>
          <w:color w:val="0F766E"/>
          <w:sz w:val="28"/>
        </w:rPr>
        <w:t>8. Prognosis</w:t>
      </w:r>
    </w:p>
    <w:p>
      <w:pPr>
        <w:spacing w:after="60"/>
        <w:ind w:left="360"/>
      </w:pPr>
      <w:r>
        <w:rPr>
          <w:color w:val="475569"/>
        </w:rPr>
        <w:t xml:space="preserve">•  </w:t>
      </w:r>
      <w:r>
        <w:rPr>
          <w:rFonts w:ascii="Arial" w:hAnsi="Arial"/>
          <w:color w:val="475569"/>
          <w:sz w:val="21"/>
        </w:rPr>
        <w:t>[Expected clinical course and recovery timeline for acute presentations]</w:t>
      </w:r>
    </w:p>
    <w:p>
      <w:pPr>
        <w:spacing w:after="60"/>
        <w:ind w:left="360"/>
      </w:pPr>
      <w:r>
        <w:rPr>
          <w:color w:val="475569"/>
        </w:rPr>
        <w:t xml:space="preserve">•  </w:t>
      </w:r>
      <w:r>
        <w:rPr>
          <w:rFonts w:ascii="Arial" w:hAnsi="Arial"/>
          <w:color w:val="475569"/>
          <w:sz w:val="21"/>
        </w:rPr>
        <w:t>[Long-term outcomes, recurrence rates, and risk of progression to chronic disease]</w:t>
      </w:r>
    </w:p>
    <w:p>
      <w:pPr>
        <w:spacing w:after="60"/>
        <w:ind w:left="360"/>
      </w:pPr>
      <w:r>
        <w:rPr>
          <w:color w:val="475569"/>
        </w:rPr>
        <w:t xml:space="preserve">•  </w:t>
      </w:r>
      <w:r>
        <w:rPr>
          <w:rFonts w:ascii="Arial" w:hAnsi="Arial"/>
          <w:color w:val="475569"/>
          <w:sz w:val="21"/>
        </w:rPr>
        <w:t>[Expected improvement with lifestyle modifications and secondary prevention compliance]</w:t>
      </w:r>
    </w:p>
    <w:p>
      <w:pPr>
        <w:keepNext/>
        <w:spacing w:before="360" w:after="120"/>
        <w:pBdr>
          <w:top w:val="none"/>
          <w:left w:val="single" w:sz="24" w:space="8" w:color="0F766E"/>
          <w:bottom w:val="none"/>
          <w:right w:val="none"/>
        </w:pBdr>
      </w:pPr>
      <w:r>
        <w:rPr>
          <w:rFonts w:ascii="Georgia" w:hAnsi="Georgia"/>
          <w:b/>
          <w:color w:val="0F766E"/>
          <w:sz w:val="28"/>
        </w:rPr>
        <w:t>9. Resources</w:t>
      </w:r>
    </w:p>
    <w:p>
      <w:pPr>
        <w:spacing w:after="80"/>
      </w:pPr>
      <w:r>
        <w:rPr>
          <w:rFonts w:ascii="Arial" w:hAnsi="Arial"/>
          <w:b/>
          <w:color w:val="0F766E"/>
          <w:sz w:val="22"/>
        </w:rPr>
        <w:t>For Health Professionals</w:t>
      </w:r>
    </w:p>
    <w:p>
      <w:pPr>
        <w:spacing w:after="60"/>
        <w:ind w:left="360"/>
      </w:pPr>
      <w:r>
        <w:rPr>
          <w:color w:val="475569"/>
        </w:rPr>
        <w:t xml:space="preserve">•  </w:t>
      </w:r>
      <w:r>
        <w:rPr>
          <w:rFonts w:ascii="Arial" w:hAnsi="Arial"/>
          <w:color w:val="475569"/>
          <w:sz w:val="21"/>
        </w:rPr>
        <w:t>[Primary national guidelines or reference handbook 1]</w:t>
      </w:r>
    </w:p>
    <w:p>
      <w:pPr>
        <w:spacing w:after="60"/>
        <w:ind w:left="360"/>
      </w:pPr>
      <w:r>
        <w:rPr>
          <w:color w:val="475569"/>
        </w:rPr>
        <w:t xml:space="preserve">•  </w:t>
      </w:r>
      <w:r>
        <w:rPr>
          <w:rFonts w:ascii="Arial" w:hAnsi="Arial"/>
          <w:color w:val="475569"/>
          <w:sz w:val="21"/>
        </w:rPr>
        <w:t>[Secondary reference website or decision support tool link 2]</w:t>
      </w:r>
    </w:p>
    <w:p>
      <w:pPr>
        <w:spacing w:before="160" w:after="80"/>
      </w:pPr>
      <w:r>
        <w:rPr>
          <w:rFonts w:ascii="Arial" w:hAnsi="Arial"/>
          <w:b/>
          <w:color w:val="0F766E"/>
          <w:sz w:val="22"/>
        </w:rPr>
        <w:t>For Patients</w:t>
      </w:r>
    </w:p>
    <w:p>
      <w:pPr>
        <w:spacing w:after="60"/>
        <w:ind w:left="360"/>
      </w:pPr>
      <w:r>
        <w:rPr>
          <w:color w:val="475569"/>
        </w:rPr>
        <w:t xml:space="preserve">•  </w:t>
      </w:r>
      <w:r>
        <w:rPr>
          <w:rFonts w:ascii="Arial" w:hAnsi="Arial"/>
          <w:color w:val="475569"/>
          <w:sz w:val="21"/>
        </w:rPr>
        <w:t>[Patient information factsheet, support organization website, or mobile application 1]</w:t>
      </w:r>
    </w:p>
    <w:p>
      <w:pPr>
        <w:spacing w:after="60"/>
        <w:ind w:left="360"/>
      </w:pPr>
      <w:r>
        <w:rPr>
          <w:color w:val="475569"/>
        </w:rPr>
        <w:t xml:space="preserve">•  </w:t>
      </w:r>
      <w:r>
        <w:rPr>
          <w:rFonts w:ascii="Arial" w:hAnsi="Arial"/>
          <w:color w:val="475569"/>
          <w:sz w:val="21"/>
        </w:rPr>
        <w:t>[Patient information factsheet, support organization website, or mobile application 2]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80"/>
      <w:pBdr>
        <w:top w:val="single" w:sz="4" w:space="4" w:color="CBD5E1"/>
      </w:pBdr>
    </w:pPr>
    <w:r>
      <w:rPr>
        <w:rFonts w:ascii="Arial" w:hAnsi="Arial"/>
        <w:color w:val="94A3B8"/>
        <w:sz w:val="17"/>
      </w:rPr>
      <w:t>Synapse Clinical Catalogue — [Clinical Guideline/Article Title]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80"/>
      <w:pBdr>
        <w:bottom w:val="single" w:sz="6" w:space="4" w:color="0F766E"/>
      </w:pBdr>
    </w:pPr>
    <w:r>
      <w:rPr>
        <w:rFonts w:ascii="Georgia" w:hAnsi="Georgia"/>
        <w:i/>
        <w:color w:val="0F766E"/>
        <w:sz w:val="17"/>
      </w:rPr>
      <w:t>[Clinical Guideline/Article Title]</w:t>
    </w:r>
    <w:r>
      <w:tab/>
    </w:r>
    <w:r>
      <w:rPr>
        <w:rFonts w:ascii="Arial" w:hAnsi="Arial"/>
        <w:color w:val="94A3B8"/>
        <w:sz w:val="17"/>
      </w:rPr>
      <w:t>Medical Condition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