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F766E"/>
          <w:sz w:val="44"/>
        </w:rPr>
        <w:t>GP EDGE - Clinical Autofill Template</w:t>
      </w:r>
    </w:p>
    <w:p>
      <w:pPr>
        <w:spacing w:after="320"/>
      </w:pPr>
      <w:r>
        <w:rPr>
          <w:i/>
          <w:color w:val="64748B"/>
          <w:sz w:val="20"/>
        </w:rPr>
        <w:t>— Use this template to structure your SOAP notes for importing clinical autofill presets on the GP EDGE platform.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F766E"/>
          <w:left w:val="single" w:sz="6" w:space="0" w:color="0F766E"/>
          <w:bottom w:val="single" w:sz="6" w:space="0" w:color="0F766E"/>
          <w:right w:val="single" w:sz="6" w:space="0" w:color="0F766E"/>
          <w:insideH w:val="single" w:sz="6" w:space="0" w:color="0F766E"/>
          <w:insideV w:val="single" w:sz="6" w:space="0" w:color="0F766E"/>
        </w:tblBorders>
      </w:tblPr>
      <w:tblGrid>
        <w:gridCol w:w="9360"/>
      </w:tblGrid>
      <w:tr>
        <w:tc>
          <w:tcPr>
            <w:tcW w:type="dxa" w:w="9360"/>
            <w:shd w:val="clear" w:color="auto" w:fill="F0FDFA"/>
            <w:tcMar>
              <w:top w:w="180" w:type="dxa"/>
              <w:bottom w:w="180" w:type="dxa"/>
              <w:left w:w="240" w:type="dxa"/>
              <w:right w:w="240" w:type="dxa"/>
            </w:tcMar>
          </w:tcPr>
          <w:p>
            <w:pPr>
              <w:spacing w:after="120"/>
            </w:pPr>
            <w:r>
              <w:rPr>
                <w:b/>
                <w:color w:val="0F766E"/>
                <w:sz w:val="22"/>
              </w:rPr>
              <w:t>IMPORT GUIDELINES:</w:t>
            </w:r>
          </w:p>
          <w:p>
            <w:pPr>
              <w:spacing w:after="80"/>
            </w:pPr>
            <w:r>
              <w:rPr>
                <w:color w:val="115E59"/>
                <w:sz w:val="20"/>
              </w:rPr>
              <w:t>1. Define a unique template Title, System (e.g. Cardiology, Respiratory, Dermatology, Psychiatry, Endocrine, Paediatrics, MBS), and Category (e.g. Acute, Chronic, Screening, Mental Health, Billing).</w:t>
            </w:r>
          </w:p>
          <w:p>
            <w:pPr>
              <w:spacing w:after="80"/>
            </w:pPr>
            <w:r>
              <w:rPr>
                <w:color w:val="115E59"/>
                <w:sz w:val="20"/>
              </w:rPr>
              <w:t>2. Add variables in Subjective, Objective, Assessment, and Plan fields using the double curly brace syntax like {{variable_name}}.</w:t>
            </w:r>
          </w:p>
          <w:p>
            <w:pPr>
              <w:spacing w:after="80"/>
            </w:pPr>
            <w:r>
              <w:rPr>
                <w:color w:val="115E59"/>
                <w:sz w:val="20"/>
              </w:rPr>
              <w:t>3. Keep the labels ('Title:', 'System:', 'Category:', 'Subjective:', 'Objective:', 'Assessment:', 'Plan:') intact.</w:t>
            </w:r>
          </w:p>
          <w:p>
            <w:pPr>
              <w:spacing w:after="80"/>
            </w:pPr>
            <w:r>
              <w:rPr>
                <w:color w:val="115E59"/>
                <w:sz w:val="20"/>
              </w:rPr>
              <w:t>4. Save and upload this document inside the Admin portal under Clinical Autofills.</w:t>
            </w:r>
          </w:p>
        </w:tc>
      </w:tr>
    </w:tbl>
    <w:p>
      <w:pPr>
        <w:spacing w:before="400" w:after="400"/>
      </w:pPr>
    </w:p>
    <w:p>
      <w:pPr>
        <w:spacing w:after="160"/>
      </w:pPr>
      <w:r>
        <w:rPr>
          <w:b/>
          <w:color w:val="0F766E"/>
          <w:sz w:val="24"/>
        </w:rPr>
        <w:t>Metadata Block:</w:t>
      </w:r>
    </w:p>
    <w:p>
      <w:pPr>
        <w:spacing w:after="80"/>
      </w:pPr>
      <w:r>
        <w:rPr>
          <w:b/>
          <w:color w:val="334155"/>
        </w:rPr>
        <w:t xml:space="preserve">Title: </w:t>
      </w:r>
      <w:r>
        <w:rPr>
          <w:sz w:val="22"/>
        </w:rPr>
        <w:t>Acne SOAP Template</w:t>
      </w:r>
    </w:p>
    <w:p>
      <w:pPr>
        <w:spacing w:after="80"/>
      </w:pPr>
      <w:r>
        <w:rPr>
          <w:b/>
          <w:color w:val="334155"/>
        </w:rPr>
        <w:t xml:space="preserve">System: </w:t>
      </w:r>
      <w:r>
        <w:rPr>
          <w:sz w:val="22"/>
        </w:rPr>
        <w:t>Dermatology</w:t>
      </w:r>
    </w:p>
    <w:p>
      <w:pPr>
        <w:spacing w:after="80"/>
      </w:pPr>
      <w:r>
        <w:rPr>
          <w:b/>
          <w:color w:val="334155"/>
        </w:rPr>
        <w:t xml:space="preserve">Category: </w:t>
      </w:r>
      <w:r>
        <w:rPr>
          <w:sz w:val="22"/>
        </w:rPr>
        <w:t>Screening</w:t>
      </w:r>
    </w:p>
    <w:p>
      <w:pPr>
        <w:spacing w:before="200" w:after="200"/>
      </w:pPr>
    </w:p>
    <w:p>
      <w:pPr>
        <w:spacing w:after="160"/>
      </w:pPr>
      <w:r>
        <w:rPr>
          <w:b/>
          <w:color w:val="0F766E"/>
          <w:sz w:val="24"/>
        </w:rPr>
        <w:t>SOAP Fields:</w:t>
      </w:r>
    </w:p>
    <w:p>
      <w:pPr>
        <w:spacing w:after="120"/>
      </w:pPr>
      <w:r>
        <w:rPr>
          <w:b/>
          <w:color w:val="0F766E"/>
          <w:sz w:val="22"/>
        </w:rPr>
        <w:t xml:space="preserve">Subjective: </w:t>
      </w:r>
    </w:p>
    <w:p>
      <w:pPr>
        <w:spacing w:after="240"/>
        <w:ind w:left="360"/>
      </w:pPr>
      <w:r>
        <w:rPr>
          <w:sz w:val="22"/>
        </w:rPr>
        <w:t>Patient presents with acne breakout on face for {{duration_weeks}} weeks. Reports compliance with daily cleaning routine.</w:t>
      </w:r>
    </w:p>
    <w:p>
      <w:pPr>
        <w:spacing w:after="120"/>
      </w:pPr>
      <w:r>
        <w:rPr>
          <w:b/>
          <w:color w:val="0F766E"/>
          <w:sz w:val="22"/>
        </w:rPr>
        <w:t xml:space="preserve">Objective: </w:t>
      </w:r>
    </w:p>
    <w:p>
      <w:pPr>
        <w:spacing w:after="240"/>
        <w:ind w:left="360"/>
      </w:pPr>
      <w:r>
        <w:rPr>
          <w:sz w:val="22"/>
        </w:rPr>
        <w:t>Examination: multiple open and closed comedones observed on forehead and chin. Mild erythema. No nodulocystic lesions.</w:t>
      </w:r>
    </w:p>
    <w:p>
      <w:pPr>
        <w:spacing w:after="120"/>
      </w:pPr>
      <w:r>
        <w:rPr>
          <w:b/>
          <w:color w:val="0F766E"/>
          <w:sz w:val="22"/>
        </w:rPr>
        <w:t xml:space="preserve">Assessment: </w:t>
      </w:r>
    </w:p>
    <w:p>
      <w:pPr>
        <w:spacing w:after="240"/>
        <w:ind w:left="360"/>
      </w:pPr>
      <w:r>
        <w:rPr>
          <w:sz w:val="22"/>
        </w:rPr>
        <w:t>Mild to moderate Acne Vulgaris.</w:t>
      </w:r>
    </w:p>
    <w:p>
      <w:pPr>
        <w:spacing w:after="120"/>
      </w:pPr>
      <w:r>
        <w:rPr>
          <w:b/>
          <w:color w:val="0F766E"/>
          <w:sz w:val="22"/>
        </w:rPr>
        <w:t xml:space="preserve">Plan: </w:t>
      </w:r>
    </w:p>
    <w:p>
      <w:pPr>
        <w:spacing w:after="240"/>
        <w:ind w:left="360"/>
      </w:pPr>
      <w:r>
        <w:rPr>
          <w:sz w:val="22"/>
        </w:rPr>
        <w:t>1. Start Topical Benzoyl Peroxide 5% gel daily.</w:t>
        <w:br/>
        <w:t>2. Educate patient on 6-8 weeks timeline for clinical improvement.</w:t>
        <w:br/>
        <w:t>3. Review in 8 weeks.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