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Georgia" w:hAnsi="Georgia"/>
          <w:b/>
          <w:color w:val="0F766E"/>
          <w:sz w:val="48"/>
        </w:rPr>
        <w:t>GP EDGE - Autofill Import Template</w:t>
      </w:r>
    </w:p>
    <w:p>
      <w:pPr>
        <w:spacing w:after="240"/>
      </w:pPr>
      <w:r>
        <w:rPr>
          <w:rFonts w:ascii="Arial" w:hAnsi="Arial"/>
          <w:color w:val="64748B"/>
          <w:sz w:val="20"/>
        </w:rPr>
        <w:t>Use this template to create custom SOAP note autofill templates.</w:t>
      </w:r>
    </w:p>
    <w:p>
      <w:pPr>
        <w:spacing w:after="320"/>
        <w:pBdr>
          <w:bottom w:val="single" w:sz="12" w:space="4" w:color="0F766E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DFA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0F766E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i/>
                <w:color w:val="0F766E"/>
                <w:sz w:val="19"/>
              </w:rPr>
              <w:t>GUIDELINES:</w:t>
              <w:br/>
              <w:t>1. A shortcut is a text trigger starting with a semicolon (e.g. ';gord').</w:t>
              <w:br/>
              <w:t>2. Set the 'System' to group the template under a specific system tab.</w:t>
              <w:br/>
              <w:t>3. Include text placeholder fields inside brackets like '[Duration]' so they can be easily tabbed through in the consultation editor.</w:t>
            </w:r>
          </w:p>
        </w:tc>
      </w:tr>
    </w:tbl>
    <w:p>
      <w:pPr>
        <w:spacing w:after="120"/>
      </w:pPr>
    </w:p>
    <w:p>
      <w:pPr>
        <w:spacing w:after="240"/>
      </w:pPr>
      <w:r>
        <w:rPr>
          <w:rFonts w:ascii="Arial" w:hAnsi="Arial"/>
          <w:b/>
          <w:color w:val="0F766E"/>
          <w:sz w:val="22"/>
        </w:rPr>
        <w:t xml:space="preserve">Template Name: </w:t>
      </w:r>
      <w:r>
        <w:rPr>
          <w:rFonts w:ascii="Arial" w:hAnsi="Arial"/>
          <w:color w:val="1E293B"/>
          <w:sz w:val="22"/>
        </w:rPr>
        <w:t>GORD SOAP Template</w:t>
      </w:r>
      <w:r>
        <w:br/>
      </w:r>
      <w:r>
        <w:rPr>
          <w:rFonts w:ascii="Arial" w:hAnsi="Arial"/>
          <w:b/>
          <w:color w:val="0F766E"/>
          <w:sz w:val="22"/>
        </w:rPr>
        <w:t xml:space="preserve">Shortcut: </w:t>
      </w:r>
      <w:r>
        <w:rPr>
          <w:rFonts w:ascii="Arial" w:hAnsi="Arial"/>
          <w:color w:val="1E293B"/>
          <w:sz w:val="22"/>
        </w:rPr>
        <w:t>;gord</w:t>
      </w:r>
      <w:r>
        <w:br/>
      </w:r>
      <w:r>
        <w:rPr>
          <w:rFonts w:ascii="Arial" w:hAnsi="Arial"/>
          <w:b/>
          <w:color w:val="0F766E"/>
          <w:sz w:val="22"/>
        </w:rPr>
        <w:t xml:space="preserve">System: </w:t>
      </w:r>
      <w:r>
        <w:rPr>
          <w:rFonts w:ascii="Arial" w:hAnsi="Arial"/>
          <w:color w:val="1E293B"/>
          <w:sz w:val="22"/>
        </w:rPr>
        <w:t>Gastrointestinal</w:t>
      </w:r>
    </w:p>
    <w:p>
      <w:pPr>
        <w:spacing w:before="160" w:after="80"/>
      </w:pPr>
      <w:r>
        <w:rPr>
          <w:rFonts w:ascii="Georgia" w:hAnsi="Georgia"/>
          <w:b/>
          <w:color w:val="0F766E"/>
          <w:sz w:val="28"/>
        </w:rPr>
        <w:t>Subjective</w:t>
      </w:r>
    </w:p>
    <w:p>
      <w:pPr>
        <w:spacing w:after="160"/>
      </w:pPr>
      <w:r>
        <w:rPr>
          <w:rFonts w:ascii="Arial" w:hAnsi="Arial"/>
          <w:color w:val="475569"/>
          <w:sz w:val="21"/>
        </w:rPr>
        <w:t>Patient presents complaining of retrosternal burning sensation for [Duration]. Worsens after eating heavy meals and when lying flat. Describes [Severity, e.g., mild/moderate] symptoms. Denies dysphagia, weight loss, or haematemesis.</w:t>
      </w:r>
    </w:p>
    <w:p>
      <w:pPr>
        <w:spacing w:before="160" w:after="80"/>
      </w:pPr>
      <w:r>
        <w:rPr>
          <w:rFonts w:ascii="Georgia" w:hAnsi="Georgia"/>
          <w:b/>
          <w:color w:val="0F766E"/>
          <w:sz w:val="28"/>
        </w:rPr>
        <w:t>Objective</w:t>
      </w:r>
    </w:p>
    <w:p>
      <w:pPr>
        <w:spacing w:after="160"/>
      </w:pPr>
      <w:r>
        <w:rPr>
          <w:rFonts w:ascii="Arial" w:hAnsi="Arial"/>
          <w:color w:val="475569"/>
          <w:sz w:val="21"/>
        </w:rPr>
        <w:t>Abdomen: soft, non-tender. No epigastric tenderness. No guarding or rebound tenderness. Bowel sounds present and normal. No signs of anaemia.</w:t>
      </w:r>
    </w:p>
    <w:p>
      <w:pPr>
        <w:spacing w:before="160" w:after="80"/>
      </w:pPr>
      <w:r>
        <w:rPr>
          <w:rFonts w:ascii="Georgia" w:hAnsi="Georgia"/>
          <w:b/>
          <w:color w:val="0F766E"/>
          <w:sz w:val="28"/>
        </w:rPr>
        <w:t>Assessment</w:t>
      </w:r>
    </w:p>
    <w:p>
      <w:pPr>
        <w:spacing w:after="160"/>
      </w:pPr>
      <w:r>
        <w:rPr>
          <w:rFonts w:ascii="Arial" w:hAnsi="Arial"/>
          <w:color w:val="475569"/>
          <w:sz w:val="21"/>
        </w:rPr>
        <w:t>Gastro-oesophageal Reflux Disease (GORD). Presentation is typical; no red flags present at this time.</w:t>
      </w:r>
    </w:p>
    <w:p>
      <w:pPr>
        <w:spacing w:before="160" w:after="80"/>
      </w:pPr>
      <w:r>
        <w:rPr>
          <w:rFonts w:ascii="Georgia" w:hAnsi="Georgia"/>
          <w:b/>
          <w:color w:val="0F766E"/>
          <w:sz w:val="28"/>
        </w:rPr>
        <w:t>Plan</w:t>
      </w:r>
    </w:p>
    <w:p>
      <w:pPr>
        <w:spacing w:after="160"/>
      </w:pPr>
      <w:r>
        <w:rPr>
          <w:rFonts w:ascii="Arial" w:hAnsi="Arial"/>
          <w:color w:val="475569"/>
          <w:sz w:val="21"/>
        </w:rPr>
        <w:t>1. Lifestyle modification: avoid eating within 3 hours of bed, elevate head of bed, identify dietary triggers.</w:t>
        <w:br/>
        <w:t>2. Start Proton Pump Inhibitor trial: Esomeprazole 20mg PO daily for 4-8 weeks.</w:t>
        <w:br/>
        <w:t>3. Review in [Review time, e.g., 4 weeks]. Advised to return immediately if dysphagia or persistent vomiting develops.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