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Georgia" w:hAnsi="Georgia"/>
          <w:b/>
          <w:color w:val="0F766E"/>
          <w:sz w:val="48"/>
        </w:rPr>
        <w:t>GP EDGE - Medical Content Import Template</w:t>
      </w:r>
    </w:p>
    <w:p>
      <w:pPr>
        <w:spacing w:after="240"/>
      </w:pPr>
      <w:r>
        <w:rPr>
          <w:rFonts w:ascii="Arial" w:hAnsi="Arial"/>
          <w:color w:val="64748B"/>
          <w:sz w:val="20"/>
        </w:rPr>
        <w:t>Use this template to add clinical articles and guidelines to the Medical Library on GP EDGE.</w:t>
      </w:r>
    </w:p>
    <w:p>
      <w:pPr>
        <w:spacing w:after="320"/>
        <w:pBdr>
          <w:bottom w:val="single" w:sz="12" w:space="4" w:color="0F766E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F766E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0F766E"/>
                <w:sz w:val="19"/>
              </w:rPr>
              <w:t>GUIDELINES:</w:t>
              <w:br/>
              <w:t>1. Modify the content fields below to write your clinical guideline.</w:t>
              <w:br/>
              <w:t>2. Maintain the structure: 'Title:', 'System:', 'Category:', and numbered sections (1. Overview, 2. Symptoms, 3. Diagnosis, 4. Treatment).</w:t>
              <w:br/>
              <w:t>3. Bullet points inside sections will be extracted automatically.</w:t>
            </w:r>
          </w:p>
        </w:tc>
      </w:tr>
    </w:tbl>
    <w:p>
      <w:pPr>
        <w:spacing w:after="120"/>
      </w:pPr>
    </w:p>
    <w:p>
      <w:pPr>
        <w:spacing w:after="240"/>
      </w:pPr>
      <w:r>
        <w:rPr>
          <w:rFonts w:ascii="Arial" w:hAnsi="Arial"/>
          <w:b/>
          <w:color w:val="0F766E"/>
          <w:sz w:val="22"/>
        </w:rPr>
        <w:t xml:space="preserve">Title: </w:t>
      </w:r>
      <w:r>
        <w:rPr>
          <w:rFonts w:ascii="Arial" w:hAnsi="Arial"/>
          <w:color w:val="1E293B"/>
          <w:sz w:val="22"/>
        </w:rPr>
        <w:t>Gastro-oesophageal Reflux Disease (GORD)</w:t>
      </w:r>
      <w:r>
        <w:br/>
      </w:r>
      <w:r>
        <w:rPr>
          <w:rFonts w:ascii="Arial" w:hAnsi="Arial"/>
          <w:b/>
          <w:color w:val="0F766E"/>
          <w:sz w:val="22"/>
        </w:rPr>
        <w:t xml:space="preserve">System: </w:t>
      </w:r>
      <w:r>
        <w:rPr>
          <w:rFonts w:ascii="Arial" w:hAnsi="Arial"/>
          <w:color w:val="1E293B"/>
          <w:sz w:val="22"/>
        </w:rPr>
        <w:t>Gastrointestinal</w:t>
      </w:r>
      <w:r>
        <w:br/>
      </w:r>
      <w:r>
        <w:rPr>
          <w:rFonts w:ascii="Arial" w:hAnsi="Arial"/>
          <w:b/>
          <w:color w:val="0F766E"/>
          <w:sz w:val="22"/>
        </w:rPr>
        <w:t xml:space="preserve">Category: </w:t>
      </w:r>
      <w:r>
        <w:rPr>
          <w:rFonts w:ascii="Arial" w:hAnsi="Arial"/>
          <w:color w:val="1E293B"/>
          <w:sz w:val="22"/>
        </w:rPr>
        <w:t>Clinical Reference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1. Overview</w:t>
      </w:r>
    </w:p>
    <w:p>
      <w:pPr>
        <w:spacing w:after="160"/>
      </w:pPr>
      <w:r>
        <w:rPr>
          <w:rFonts w:ascii="Arial" w:hAnsi="Arial"/>
          <w:color w:val="475569"/>
          <w:sz w:val="21"/>
        </w:rPr>
        <w:t>Gastro-oesophageal reflux disease (GORD) is a chronic gastrointestinal disorder characterized by the backflow of stomach acid into the oesophagus, causing discomfort and potential tissue damage. It affects approximately 10-20% of the adult population in Western countries.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2. Symptoms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Retrosternal burning sensation (heartburn), typically occurring after eating or when lying down.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Acid regurgitation with a bitter or sour taste in the mouth.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Epigastric pain or discomfort.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Dysphagia or sensation of a lump in the throat (globus).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Chronic dry cough, hoarseness, or sore throat due to acid micro-aspiration.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3. Diagnosis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Clinical diagnosis: classic symptoms responsive to empiric Proton Pump Inhibitor (PPI) trial.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Upper endoscopy (Gastroscopy) if red flag symptoms exist (dysphagia, weight loss, anaemia).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24-hour ambulatory pH monitoring to quantify acid exposure.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Oesophageal manometry to assess lower oesophageal sphincter (LOS) function.</w:t>
      </w:r>
    </w:p>
    <w:p>
      <w:pPr>
        <w:spacing w:before="160" w:after="80"/>
      </w:pPr>
      <w:r>
        <w:rPr>
          <w:rFonts w:ascii="Georgia" w:hAnsi="Georgia"/>
          <w:b/>
          <w:color w:val="0F766E"/>
          <w:sz w:val="28"/>
        </w:rPr>
        <w:t>4. Treatment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Lifestyle: weight reduction, elevation of the head of the bed, avoiding meals within 3 hours of sleep.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Dietary triggers: reduce intake of caffeine, chocolate, alcohol, and high-fat foods.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Pharmacological: Proton Pump Inhibitors (PPIs) e.g., Esomeprazole 20mg daily, H2 receptor antagonists.</w:t>
      </w:r>
    </w:p>
    <w:p>
      <w:pPr>
        <w:spacing w:after="60"/>
        <w:ind w:left="360"/>
      </w:pPr>
      <w:r>
        <w:rPr>
          <w:rFonts w:ascii="Arial" w:hAnsi="Arial"/>
          <w:sz w:val="21"/>
        </w:rPr>
        <w:t xml:space="preserve">•  </w:t>
      </w:r>
      <w:r>
        <w:rPr>
          <w:rFonts w:ascii="Arial" w:hAnsi="Arial"/>
          <w:color w:val="475569"/>
          <w:sz w:val="21"/>
        </w:rPr>
        <w:t>Surgical: Laparoscopic Nissen Fundoplication for refractory cases.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