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4"/>
        </w:rPr>
        <w:t>PortfolioForge — Analysis Report</w:t>
      </w:r>
    </w:p>
    <w:p>
      <w:r>
        <w:rPr>
          <w:sz w:val="20"/>
        </w:rPr>
        <w:t>Portfolio: BHP.AX (40%), CBA.AX (35%), VAS.AX (25%)</w:t>
      </w:r>
    </w:p>
    <w:p>
      <w:r>
        <w:rPr>
          <w:sz w:val="20"/>
        </w:rPr>
        <w:t>Period: 01 Jan 2020 – 30 Dec 2024   |   Generated: 16 Mar 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Total Return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After-Tax CAGR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Max Drawdown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Sharpe Ratio</w:t>
            </w:r>
          </w:p>
        </w:tc>
      </w:tr>
      <w:tr>
        <w:tc>
          <w:tcPr>
            <w:tcW w:type="dxa" w:w="2351"/>
            <w:shd w:val="clear" w:color="auto" w:fill="00878A"/>
          </w:tcPr>
          <w:p>
            <w:r>
              <w:rPr>
                <w:b/>
                <w:color w:val="FFFFFF"/>
                <w:sz w:val="28"/>
              </w:rPr>
              <w:t>44.5%</w:t>
            </w:r>
          </w:p>
        </w:tc>
        <w:tc>
          <w:tcPr>
            <w:tcW w:type="dxa" w:w="2351"/>
            <w:shd w:val="clear" w:color="auto" w:fill="00878A"/>
          </w:tcPr>
          <w:p>
            <w:r>
              <w:rPr>
                <w:b/>
                <w:color w:val="FFFFFF"/>
                <w:sz w:val="28"/>
              </w:rPr>
              <w:t>7.6%</w:t>
            </w:r>
          </w:p>
        </w:tc>
        <w:tc>
          <w:tcPr>
            <w:tcW w:type="dxa" w:w="2351"/>
            <w:shd w:val="clear" w:color="auto" w:fill="00878A"/>
          </w:tcPr>
          <w:p>
            <w:r>
              <w:rPr>
                <w:b/>
                <w:color w:val="FFFFFF"/>
                <w:sz w:val="28"/>
              </w:rPr>
              <w:t>-35.3%</w:t>
            </w:r>
          </w:p>
        </w:tc>
        <w:tc>
          <w:tcPr>
            <w:tcW w:type="dxa" w:w="2351"/>
            <w:shd w:val="clear" w:color="auto" w:fill="00878A"/>
          </w:tcPr>
          <w:p>
            <w:r>
              <w:rPr>
                <w:b/>
                <w:color w:val="FFFFFF"/>
                <w:sz w:val="28"/>
              </w:rPr>
              <w:t>0.45</w:t>
            </w:r>
          </w:p>
        </w:tc>
      </w:tr>
    </w:tbl>
    <w:p>
      <w:r>
        <w:br w:type="page"/>
      </w:r>
    </w:p>
    <w:p>
      <w:r>
        <w:rPr>
          <w:b/>
          <w:color w:val="00878A"/>
          <w:sz w:val="26"/>
        </w:rPr>
        <w:t>Portfolio Composition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Franking Credit %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BHP.AX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40.0%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CBA.AX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35.0%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VAS.AX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25.0%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80%</w:t>
            </w:r>
          </w:p>
        </w:tc>
      </w:tr>
    </w:tbl>
    <w:p/>
    <w:p>
      <w:r>
        <w:rPr>
          <w:b/>
          <w:color w:val="00878A"/>
          <w:sz w:val="26"/>
        </w:rPr>
        <w:t>Performance vs Benchmark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Portfolio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STW.AX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Total Return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44.53%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18.35%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CAGR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7.65%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3.43%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Max Drawdown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-35.28%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-35.02%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Sharpe Ratio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0.28</w:t>
            </w:r>
          </w:p>
        </w:tc>
      </w:tr>
    </w:tbl>
    <w:p/>
    <w:p>
      <w:pPr>
        <w:pStyle w:val="ListBullet"/>
      </w:pPr>
      <w:r>
        <w:rPr>
          <w:sz w:val="18"/>
        </w:rPr>
        <w:t>Over the full period, the portfolio gained 44.5% in total.</w:t>
      </w:r>
    </w:p>
    <w:p>
      <w:pPr>
        <w:pStyle w:val="ListBullet"/>
      </w:pPr>
      <w:r>
        <w:rPr>
          <w:sz w:val="18"/>
        </w:rPr>
        <w:t>You would have earned 7.7% per year on average (CAGR — the annualised compound growth rate), beating inflation by 5.2 percentage points.</w:t>
      </w:r>
    </w:p>
    <w:p>
      <w:pPr>
        <w:pStyle w:val="ListBullet"/>
      </w:pPr>
      <w:r>
        <w:rPr>
          <w:sz w:val="18"/>
        </w:rPr>
        <w:t>The portfolio fell at most 35.3% from its peak (max drawdown — the worst peak-to-trough decline), recovering in 269 days.</w:t>
      </w:r>
    </w:p>
    <w:p>
      <w:pPr>
        <w:pStyle w:val="ListBullet"/>
      </w:pPr>
      <w:r>
        <w:rPr>
          <w:sz w:val="18"/>
        </w:rPr>
        <w:t>The Sharpe ratio (risk-adjusted return per unit of volatility) was 0.45, indicating weak risk-adjusted performance.</w:t>
      </w:r>
    </w:p>
    <w:p/>
    <w:p>
      <w:r>
        <w:rPr>
          <w:b/>
          <w:color w:val="00878A"/>
          <w:sz w:val="26"/>
        </w:rPr>
        <w:t>Australian Tax Analysis (CGT)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Tax Year</w:t>
            </w:r>
          </w:p>
        </w:tc>
        <w:tc>
          <w:tcPr>
            <w:tcW w:type="dxa" w:w="15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CGT Events</w:t>
            </w:r>
          </w:p>
        </w:tc>
        <w:tc>
          <w:tcPr>
            <w:tcW w:type="dxa" w:w="15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CGT Payable (AUD)</w:t>
            </w:r>
          </w:p>
        </w:tc>
        <w:tc>
          <w:tcPr>
            <w:tcW w:type="dxa" w:w="15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Franking Credits (AUD)</w:t>
            </w:r>
          </w:p>
        </w:tc>
        <w:tc>
          <w:tcPr>
            <w:tcW w:type="dxa" w:w="15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Dividend Income (AUD)</w:t>
            </w:r>
          </w:p>
        </w:tc>
        <w:tc>
          <w:tcPr>
            <w:tcW w:type="dxa" w:w="1568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Carry-Fwd Loss (AUD)</w:t>
            </w:r>
          </w:p>
        </w:tc>
      </w:tr>
      <w:tr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FY2020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$4,777.91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$12,471.68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FY2021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$4.18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$8,245.47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$19,778.70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FY2022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$608.69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$18,947.39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$46,276.08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FY2023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$1,434.32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$15,278.54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$36,556.73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FY2024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$147.75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$12,297.76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$30,271.38</w:t>
            </w:r>
          </w:p>
        </w:tc>
        <w:tc>
          <w:tcPr>
            <w:tcW w:type="dxa" w:w="156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</w:tr>
      <w:tr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FY2025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$6,400.50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$5,480.77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$13,161.12</w:t>
            </w:r>
          </w:p>
        </w:tc>
        <w:tc>
          <w:tcPr>
            <w:tcW w:type="dxa" w:w="1568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$0.00</w:t>
            </w:r>
          </w:p>
        </w:tc>
      </w:tr>
    </w:tbl>
    <w:p>
      <w:r>
        <w:rPr>
          <w:sz w:val="18"/>
        </w:rPr>
        <w:t>Total tax paid: $8,595.44   |   After-tax CAGR: 7.58%</w:t>
      </w:r>
    </w:p>
    <w:p/>
    <w:p>
      <w:r>
        <w:rPr>
          <w:b/>
          <w:color w:val="00878A"/>
          <w:sz w:val="26"/>
        </w:rPr>
        <w:t>CGT Event Log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shd w:val="clear" w:color="auto" w:fill="1F3864"/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shd w:val="clear" w:color="auto" w:fill="1F3864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Tax Year</w:t>
            </w:r>
          </w:p>
        </w:tc>
        <w:tc>
          <w:tcPr>
            <w:shd w:val="clear" w:color="auto" w:fill="1F3864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Ticker</w:t>
            </w:r>
          </w:p>
        </w:tc>
        <w:tc>
          <w:tcPr>
            <w:shd w:val="clear" w:color="auto" w:fill="1F3864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Acquired</w:t>
            </w:r>
          </w:p>
        </w:tc>
        <w:tc>
          <w:tcPr>
            <w:shd w:val="clear" w:color="auto" w:fill="1F3864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Disposed</w:t>
            </w:r>
          </w:p>
        </w:tc>
        <w:tc>
          <w:tcPr>
            <w:shd w:val="clear" w:color="auto" w:fill="1F3864"/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Gain/Loss (AUD)</w:t>
            </w:r>
          </w:p>
        </w:tc>
        <w:tc>
          <w:tcPr>
            <w:shd w:val="clear" w:color="auto" w:fill="1F3864"/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6"/>
              </w:rPr>
              <w:t>ATO Rule Applied</w:t>
            </w:r>
          </w:p>
        </w:tc>
      </w:tr>
      <w:tr>
        <w:tc>
          <w:tcPr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FY2021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BHP.AX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Jan 2020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30 Dec 2020</w:t>
            </w:r>
          </w:p>
        </w:tc>
        <w:tc>
          <w:tcPr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$27.88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Jan 2020 — no discount (held 11 months, ≤12)</w:t>
            </w:r>
          </w:p>
        </w:tc>
      </w:tr>
      <w:tr>
        <w:tc>
          <w:tcPr>
            <w:shd w:val="clear" w:color="auto" w:fill="F2F2F2"/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2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FY2022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CBA.AX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Jan 2020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30 Dec 2021</w:t>
            </w:r>
          </w:p>
        </w:tc>
        <w:tc>
          <w:tcPr>
            <w:shd w:val="clear" w:color="auto" w:fill="F2F2F2"/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$5,661.50</w:t>
            </w:r>
          </w:p>
        </w:tc>
        <w:tc>
          <w:tcPr>
            <w:shd w:val="clear" w:color="auto" w:fill="F2F2F2"/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Jan 2020 — 33.33% CGT discount applied (SMSF) (held 23 months)</w:t>
            </w:r>
          </w:p>
        </w:tc>
      </w:tr>
      <w:tr>
        <w:tc>
          <w:tcPr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FY2022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VAS.AX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Jan 2020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30 Dec 2021</w:t>
            </w:r>
          </w:p>
        </w:tc>
        <w:tc>
          <w:tcPr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$425.41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Jan 2020 — 33.33% CGT discount applied (SMSF) (held 23 months)</w:t>
            </w:r>
          </w:p>
        </w:tc>
      </w:tr>
      <w:tr>
        <w:tc>
          <w:tcPr>
            <w:shd w:val="clear" w:color="auto" w:fill="F2F2F2"/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4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FY2023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BHP.AX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Jan 2020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29 Dec 2022</w:t>
            </w:r>
          </w:p>
        </w:tc>
        <w:tc>
          <w:tcPr>
            <w:shd w:val="clear" w:color="auto" w:fill="F2F2F2"/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$14,343.16</w:t>
            </w:r>
          </w:p>
        </w:tc>
        <w:tc>
          <w:tcPr>
            <w:shd w:val="clear" w:color="auto" w:fill="F2F2F2"/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Jan 2020 — 33.33% CGT discount applied (SMSF) (held 35 months)</w:t>
            </w:r>
          </w:p>
        </w:tc>
      </w:tr>
      <w:tr>
        <w:tc>
          <w:tcPr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FY2024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BHP.AX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Jan 2020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28 Dec 2023</w:t>
            </w:r>
          </w:p>
        </w:tc>
        <w:tc>
          <w:tcPr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$1,477.54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Jan 2020 — 33.33% CGT discount applied (SMSF) (held 47 months)</w:t>
            </w:r>
          </w:p>
        </w:tc>
      </w:tr>
      <w:tr>
        <w:tc>
          <w:tcPr>
            <w:shd w:val="clear" w:color="auto" w:fill="F2F2F2"/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6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FY2025</w:t>
            </w:r>
          </w:p>
        </w:tc>
        <w:tc>
          <w:tcPr>
            <w:shd w:val="clear" w:color="auto" w:fill="F2F2F2"/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CBA.AX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Jan 2020</w:t>
            </w:r>
          </w:p>
        </w:tc>
        <w:tc>
          <w:tcPr>
            <w:shd w:val="clear" w:color="auto" w:fill="F2F2F2"/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30 Dec 2024</w:t>
            </w:r>
          </w:p>
        </w:tc>
        <w:tc>
          <w:tcPr>
            <w:shd w:val="clear" w:color="auto" w:fill="F2F2F2"/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$62,955.89</w:t>
            </w:r>
          </w:p>
        </w:tc>
        <w:tc>
          <w:tcPr>
            <w:shd w:val="clear" w:color="auto" w:fill="F2F2F2"/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Jan 2020 — 33.33% CGT discount applied (SMSF) (held 59 months)</w:t>
            </w:r>
          </w:p>
        </w:tc>
      </w:tr>
      <w:tr>
        <w:tc>
          <w:tcPr>
            <w:tcW w:w="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7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FY2025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VAS.AX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01 Jan 2020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30 Dec 2024</w:t>
            </w:r>
          </w:p>
        </w:tc>
        <w:tc>
          <w:tcPr>
            <w:tcW w:w="11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$1,049.08</w:t>
            </w:r>
          </w:p>
        </w:tc>
        <w:tc>
          <w:tcPr>
            <w:tcW w:w="3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6"/>
              </w:rPr>
              <w:t>FIFO parcel 01 Jan 2020 — 33.33% CGT discount applied (SMSF) (held 59 months)</w:t>
            </w:r>
          </w:p>
        </w:tc>
      </w:tr>
    </w:tbl>
    <w:p/>
    <w:p>
      <w:r>
        <w:rPr>
          <w:b/>
          <w:color w:val="00878A"/>
          <w:sz w:val="26"/>
        </w:rPr>
        <w:t>Data Coverage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88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188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188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Records</w:t>
            </w:r>
          </w:p>
        </w:tc>
        <w:tc>
          <w:tcPr>
            <w:tcW w:type="dxa" w:w="1881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Quality Status</w:t>
            </w:r>
          </w:p>
        </w:tc>
      </w:tr>
      <w:tr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BHP.AX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01 Jan 2020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30 Dec 2024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1266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CBA.AX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01 Jan 2020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30 Dec 2024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1265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VAS.AX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01 Jan 2020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30 Dec 2024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1266</w:t>
            </w:r>
          </w:p>
        </w:tc>
        <w:tc>
          <w:tcPr>
            <w:tcW w:type="dxa" w:w="188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validated</w:t>
            </w:r>
          </w:p>
        </w:tc>
      </w:tr>
      <w:tr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STW.AX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01 Jan 2020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30 Dec 2024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1266</w:t>
            </w:r>
          </w:p>
        </w:tc>
        <w:tc>
          <w:tcPr>
            <w:tcW w:type="dxa" w:w="1881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validated</w:t>
            </w:r>
          </w:p>
        </w:tc>
      </w:tr>
    </w:tbl>
    <w:p>
      <w:r>
        <w:rPr>
          <w:sz w:val="16"/>
        </w:rPr>
        <w:t>Quality status 'validated': price records passed all quality checks (quality_flags=0 filter applied). Only validated records are used in backtests.</w:t>
      </w:r>
    </w:p>
    <w:p/>
    <w:p>
      <w:r>
        <w:rPr>
          <w:b/>
          <w:color w:val="00878A"/>
          <w:sz w:val="26"/>
        </w:rPr>
        <w:t>Calculation Methodology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Election / Method</w:t>
            </w:r>
          </w:p>
        </w:tc>
        <w:tc>
          <w:tcPr>
            <w:tcW w:type="dxa" w:w="3135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b/>
                <w:color w:val="FFFFFF"/>
                <w:sz w:val="18"/>
              </w:rPr>
              <w:t>ATO Reference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Cost basis method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First In, First Out (FIFO)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1997 s. 104-240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CGT discount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33.33% for assets held strictly &gt; 12 months (SMSF — ATO s.115-100)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1997 s. 115-100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Discount threshold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Disposed strictly after 12-month anniversary of acquisition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1997 s. 115-25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Loss ordering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Losses applied to non-discountable gains first, then discountable gains before 50% discount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ATO CGT guide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Franking credits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45-day holding rule per dividend; $5,000 small-shareholder exemption does NOT apply to SMSFs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1936 s. 160APHO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Capital loss carry-forward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Net losses carry forward indefinitely until absorbed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1997 s. 102-10</w:t>
            </w:r>
          </w:p>
        </w:tc>
      </w:tr>
      <w:tr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Australian tax year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1 July to 30 June</w:t>
            </w:r>
          </w:p>
        </w:tc>
        <w:tc>
          <w:tcPr>
            <w:tcW w:type="dxa" w:w="313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1997 s. 995-1</w:t>
            </w:r>
          </w:p>
        </w:tc>
      </w:tr>
      <w:tr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Brokerage treatment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Acquisition brokerage added to cost base; disposal brokerage deducted from proceeds</w:t>
            </w:r>
          </w:p>
        </w:tc>
        <w:tc>
          <w:tcPr>
            <w:tcW w:type="dxa" w:w="3135"/>
            <w:shd w:val="clear" w:color="auto" w:fill="F2F2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r>
              <w:rPr>
                <w:sz w:val="18"/>
              </w:rPr>
              <w:t>ITAA 1997 s. 110-25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Marginal tax rate applied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User-supplied parameter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Carry-forward loss at period end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$0.00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sz w:val="18"/>
              </w:rPr>
              <w:t>Carries to next tax year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Tax engine version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1.0.0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PortfolioForge internal — audit traceability</w:t>
            </w:r>
          </w:p>
        </w:tc>
      </w:tr>
    </w:tbl>
    <w:p/>
    <w:p>
      <w:r>
        <w:rPr>
          <w:sz w:val="18"/>
        </w:rPr>
        <w:t>This report is generated by PortfolioForge. Backtesting simulates historical portfolio performance using end-of-day price data with mandatory brokerage costs ($10 minimum or 0.1% of trade value). Prices are adjusted for corporate actions (splits). CGT calculations are ATO-validated against published worked examples (Sonya short-term, Mei-Ling long-term, FIFO multi-parcel). This tool is not licensed to provide personal financial advice.</w:t>
      </w:r>
    </w:p>
    <w:p/>
    <w:p>
      <w:r>
        <w:rPr>
          <w:b/>
          <w:color w:val="00878A"/>
          <w:sz w:val="26"/>
        </w:rPr>
        <w:t>Disclaimer</w:t>
      </w:r>
    </w:p>
    <w:p>
      <w:r>
        <w:rPr>
          <w:i/>
          <w:color w:val="1F3864"/>
          <w:sz w:val="18"/>
        </w:rPr>
        <w:t>This is not financial advice. Past performance is not a reliable indicator of future results.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1F3864"/>
        <w:sz w:val="16"/>
      </w:rPr>
      <w:t xml:space="preserve">Page </w:t>
      <w:fldChar w:fldCharType="begin"/>
      <w:instrText xml:space="preserve"> PAGE </w:instrText>
      <w:fldChar w:fldCharType="end"/>
    </w:r>
    <w:r>
      <w:rPr>
        <w:color w:val="1F3864"/>
        <w:sz w:val="16"/>
      </w:rPr>
      <w:t xml:space="preserve"> of </w:t>
      <w:fldChar w:fldCharType="begin"/>
      <w:instrText xml:space="preserve"> NUMPAGES </w:instrText>
      <w:fldChar w:fldCharType="end"/>
    </w:r>
    <w:r>
      <w:rPr>
        <w:color w:val="1F3864"/>
        <w:sz w:val="16"/>
      </w:rPr>
      <w:t xml:space="preserve">   |   PortfolioForge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