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image1.png" ContentType="image/png"/>
  <Override PartName="/word/media/image3.png" ContentType="image/png"/>
  <Override PartName="/word/media/image5.png" ContentType="image/png"/>
  <Override PartName="/word/media/image2.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COVID-19</w:t>
      </w:r>
      <w:r>
        <w:t xml:space="preserve"> </w:t>
      </w:r>
      <w:r>
        <w:t xml:space="preserve">Contact</w:t>
      </w:r>
      <w:r>
        <w:t xml:space="preserve"> </w:t>
      </w:r>
      <w:r>
        <w:t xml:space="preserve">Tracing</w:t>
      </w:r>
      <w:r>
        <w:t xml:space="preserve"> </w:t>
      </w:r>
      <w:r>
        <w:t xml:space="preserve">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value-box-summaries"/>
    <w:p>
      <w:pPr>
        <w:pStyle w:val="Heading1"/>
      </w:pPr>
      <w:r>
        <w:t xml:space="preserve">VALUE BOX SUMMARIES</w:t>
      </w:r>
    </w:p>
    <w:p>
      <w:pPr>
        <w:jc w:val="center"/>
        <w:pStyle w:val="Figure"/>
      </w:pPr>
      <w:r>
        <w:rPr/>
        <w:drawing>
          <wp:inline distT="0" distB="0" distL="0" distR="0">
            <wp:extent cx="3200400" cy="1828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1"/>
                    <a:srcRect/>
                    <a:stretch>
                      <a:fillRect/>
                    </a:stretch>
                  </pic:blipFill>
                  <pic:spPr bwMode="auto">
                    <a:xfrm>
                      <a:off x="0" y="0"/>
                      <a:ext cx="44450" cy="25400"/>
                    </a:xfrm>
                    <a:prstGeom prst="rect">
                      <a:avLst/>
                    </a:prstGeom>
                    <a:noFill/>
                  </pic:spPr>
                </pic:pic>
              </a:graphicData>
            </a:graphic>
          </wp:inline>
        </w:drawing>
      </w:r>
    </w:p>
    <w:p>
      <w:pPr>
        <w:jc w:val="center"/>
        <w:pStyle w:val="Figure"/>
      </w:pPr>
      <w:r>
        <w:rPr/>
        <w:drawing>
          <wp:inline distT="0" distB="0" distL="0" distR="0">
            <wp:extent cx="3200400" cy="1828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
                    <a:srcRect/>
                    <a:stretch>
                      <a:fillRect/>
                    </a:stretch>
                  </pic:blipFill>
                  <pic:spPr bwMode="auto">
                    <a:xfrm>
                      <a:off x="0" y="0"/>
                      <a:ext cx="44450" cy="25400"/>
                    </a:xfrm>
                    <a:prstGeom prst="rect">
                      <a:avLst/>
                    </a:prstGeom>
                    <a:noFill/>
                  </pic:spPr>
                </pic:pic>
              </a:graphicData>
            </a:graphic>
          </wp:inline>
        </w:drawing>
      </w:r>
    </w:p>
    <w:p>
      <w:pPr>
        <w:jc w:val="center"/>
        <w:pStyle w:val="Figure"/>
      </w:pPr>
      <w:r>
        <w:rPr/>
        <w:drawing>
          <wp:inline distT="0" distB="0" distL="0" distR="0">
            <wp:extent cx="3200400" cy="1828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rcRect/>
                    <a:stretch>
                      <a:fillRect/>
                    </a:stretch>
                  </pic:blipFill>
                  <pic:spPr bwMode="auto">
                    <a:xfrm>
                      <a:off x="0" y="0"/>
                      <a:ext cx="44450" cy="25400"/>
                    </a:xfrm>
                    <a:prstGeom prst="rect">
                      <a:avLst/>
                    </a:prstGeom>
                    <a:noFill/>
                  </pic:spPr>
                </pic:pic>
              </a:graphicData>
            </a:graphic>
          </wp:inline>
        </w:drawing>
      </w:r>
    </w:p>
    <w:p>
      <w:pPr>
        <w:jc w:val="center"/>
        <w:pStyle w:val="Figure"/>
      </w:pPr>
      <w:r>
        <w:rPr/>
        <w:drawing>
          <wp:inline distT="0" distB="0" distL="0" distR="0">
            <wp:extent cx="3200400" cy="1828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4"/>
                    <a:srcRect/>
                    <a:stretch>
                      <a:fillRect/>
                    </a:stretch>
                  </pic:blipFill>
                  <pic:spPr bwMode="auto">
                    <a:xfrm>
                      <a:off x="0" y="0"/>
                      <a:ext cx="44450" cy="25400"/>
                    </a:xfrm>
                    <a:prstGeom prst="rect">
                      <a:avLst/>
                    </a:prstGeom>
                    <a:noFill/>
                  </pic:spPr>
                </pic:pic>
              </a:graphicData>
            </a:graphic>
          </wp:inline>
        </w:drawing>
      </w:r>
    </w:p>
    <w:bookmarkEnd w:id="20"/>
    <w:bookmarkStart w:id="21" w:name="all-contacts"/>
    <w:p>
      <w:pPr>
        <w:pStyle w:val="Heading1"/>
      </w:pPr>
      <w:r>
        <w:t xml:space="preserve">ALL CONTACTS</w:t>
      </w:r>
    </w:p>
    <w:bookmarkEnd w:id="21"/>
    <w:bookmarkStart w:id="26" w:name="regional-breakdown"/>
    <w:p>
      <w:pPr>
        <w:pStyle w:val="Heading1"/>
      </w:pPr>
      <w:r>
        <w:t xml:space="preserve">Regional breakdown</w:t>
      </w:r>
    </w:p>
    <w:bookmarkStart w:id="22" w:name="section"/>
    <w:p>
      <w:pPr>
        <w:pStyle w:val="Heading2"/>
      </w:pPr>
    </w:p>
    <w:p>
      <w:pPr>
        <w:pStyle w:val="FirstParagraph"/>
      </w:pPr>
      <w:r>
        <w:t xml:space="preserve">ℹ: The table and plots show the count of all contacts recorded in each region since database inception.</w:t>
      </w:r>
    </w:p>
    <w:p>
      <w:pPr>
        <w:pStyle w:val="BodyText"/>
      </w:pPr>
      <w:r>
        <w:t xml:space="preserve">The region with the most total contacts since database inception is Abidjan 2, with 193 contacts (48.7% of the total)</w:t>
      </w:r>
    </w:p>
    <w:bookmarkEnd w:id="22"/>
    <w:bookmarkStart w:id="23" w:name="regional-breakdown-bar-chart"/>
    <w:p>
      <w:pPr>
        <w:pStyle w:val="Heading2"/>
      </w:pPr>
      <w:r>
        <w:t xml:space="preserve">Regional breakdown bar chart</w:t>
      </w:r>
    </w:p>
    <w:p>
      <w:pPr>
        <w:jc w:val="center"/>
        <w:pStyle w:val="Figure"/>
      </w:pPr>
      <w:r>
        <w:rPr/>
        <w:drawing>
          <wp:inline distT="0" distB="0" distL="0" distR="0">
            <wp:extent cx="3657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5"/>
                    <a:srcRect/>
                    <a:stretch>
                      <a:fillRect/>
                    </a:stretch>
                  </pic:blipFill>
                  <pic:spPr bwMode="auto">
                    <a:xfrm>
                      <a:off x="0" y="0"/>
                      <a:ext cx="50800" cy="50800"/>
                    </a:xfrm>
                    <a:prstGeom prst="rect">
                      <a:avLst/>
                    </a:prstGeom>
                    <a:noFill/>
                  </pic:spPr>
                </pic:pic>
              </a:graphicData>
            </a:graphic>
          </wp:inline>
        </w:drawing>
      </w:r>
    </w:p>
    <w:p>
      <w:pPr>
        <w:pStyle w:val="SourceCode"/>
      </w:pPr>
      <w:r>
        <w:rPr>
          <w:rStyle w:val="VerbatimChar"/>
        </w:rPr>
        <w:t xml:space="preserve">## NULL</w:t>
      </w:r>
    </w:p>
    <w:bookmarkEnd w:id="23"/>
    <w:bookmarkStart w:id="24" w:name="regional-breakdown-sunburst-plot"/>
    <w:p>
      <w:pPr>
        <w:pStyle w:val="Heading2"/>
      </w:pPr>
      <w:r>
        <w:t xml:space="preserve">Regional breakdown sunburst plot</w:t>
      </w:r>
    </w:p>
    <w:p>
      <w:pPr>
        <w:jc w:val="center"/>
        <w:pStyle w:val="Figure"/>
      </w:pPr>
      <w:r>
        <w:rPr/>
        <w:drawing>
          <wp:inline distT="0" distB="0" distL="0" distR="0">
            <wp:extent cx="3657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6"/>
                    <a:srcRect/>
                    <a:stretch>
                      <a:fillRect/>
                    </a:stretch>
                  </pic:blipFill>
                  <pic:spPr bwMode="auto">
                    <a:xfrm>
                      <a:off x="0" y="0"/>
                      <a:ext cx="50800" cy="50800"/>
                    </a:xfrm>
                    <a:prstGeom prst="rect">
                      <a:avLst/>
                    </a:prstGeom>
                    <a:noFill/>
                  </pic:spPr>
                </pic:pic>
              </a:graphicData>
            </a:graphic>
          </wp:inline>
        </w:drawing>
      </w:r>
    </w:p>
    <w:p>
      <w:pPr>
        <w:pStyle w:val="SourceCode"/>
      </w:pPr>
      <w:r>
        <w:rPr>
          <w:rStyle w:val="VerbatimChar"/>
        </w:rPr>
        <w:t xml:space="preserve">## NULL</w:t>
      </w:r>
    </w:p>
    <w:bookmarkEnd w:id="24"/>
    <w:bookmarkStart w:id="25" w:name="regional-breakdown-table"/>
    <w:p>
      <w:pPr>
        <w:pStyle w:val="Heading2"/>
      </w:pPr>
      <w:r>
        <w:t xml:space="preserve">Regional breakdown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35"/>
        <w:gridCol w:w="3191"/>
        <w:gridCol w:w="1662"/>
        <w:gridCol w:w="868"/>
      </w:tblGrid>
      <w:tr>
        <w:trPr>
          <w:cantSplit/>
          <w:trHeight w:val="378"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line="24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FFFFFF"/>
              </w:rPr>
              <w:t xml:space="preserve">Region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FFFFFF"/>
              </w:rPr>
              <w:t xml:space="preserve">District</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FFFFFF"/>
              </w:rPr>
              <w:t xml:space="preserve">Total contacts</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FFFFFF"/>
              </w:rPr>
              <w:t xml:space="preserve">%</w:t>
            </w:r>
          </w:p>
        </w:tc>
      </w:tr>
      <w:tr>
        <w:trPr>
          <w:cantSplit/>
          <w:trHeight w:val="375" w:hRule="auto"/>
        </w:trPr>
        <w:tc>
          <w:tcPr>
            <w:vMerge w:val="restart"/>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Abidjan 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Adjame &amp; Plateau &amp; Attecoube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 </w:t>
            </w:r>
          </w:p>
        </w:tc>
      </w:tr>
      <w:tr>
        <w:trPr>
          <w:cantSplit/>
          <w:trHeight w:val="333"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Port Bouet &amp; Vridi</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10.3 </w:t>
            </w:r>
          </w:p>
        </w:tc>
      </w:tr>
      <w:tr>
        <w:trPr>
          <w:cantSplit/>
          <w:trHeight w:val="381"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Cocody Bingerville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10.1 </w:t>
            </w:r>
          </w:p>
        </w:tc>
      </w:tr>
      <w:tr>
        <w:trPr>
          <w:cantSplit/>
          <w:trHeight w:val="333"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Koumassi</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8.33</w:t>
            </w:r>
          </w:p>
        </w:tc>
      </w:tr>
      <w:tr>
        <w:trPr>
          <w:cantSplit/>
          <w:trHeight w:val="376"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Trechville &amp; Marcory</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7.32</w:t>
            </w:r>
          </w:p>
        </w:tc>
      </w:tr>
      <w:tr>
        <w:trPr>
          <w:cantSplit/>
          <w:trHeight w:val="377" w:hRule="auto"/>
        </w:trPr>
        <w:tc>
          <w:tcPr>
            <w:vMerge w:val="restart"/>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Abidjan 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Yopougan Est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 </w:t>
            </w:r>
          </w:p>
        </w:tc>
      </w:tr>
      <w:tr>
        <w:trPr>
          <w:cantSplit/>
          <w:trHeight w:val="333"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Abobo Est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12.1 </w:t>
            </w:r>
          </w:p>
        </w:tc>
      </w:tr>
      <w:tr>
        <w:trPr>
          <w:cantSplit/>
          <w:trHeight w:val="376"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Anyama</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 </w:t>
            </w:r>
          </w:p>
        </w:tc>
      </w:tr>
      <w:tr>
        <w:trPr>
          <w:cantSplit/>
          <w:trHeight w:val="381"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Yopougan Ouest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7.32</w:t>
            </w:r>
          </w:p>
        </w:tc>
      </w:tr>
      <w:tr>
        <w:trPr>
          <w:cantSplit/>
          <w:trHeight w:val="337" w:hRule="auto"/>
        </w:trPr>
        <w:tc>
          <w:tcPr>
            <w:vMerge/>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Abobo Ouest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5.81</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2.78</w:t>
            </w:r>
          </w:p>
        </w:tc>
      </w:tr>
      <w:tr>
        <w:trPr>
          <w:cantSplit/>
          <w:trHeight w:val="33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Total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396</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line="24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   </w:t>
            </w:r>
          </w:p>
        </w:tc>
      </w:tr>
    </w:tbl>
    <w:bookmarkEnd w:id="25"/>
    <w:bookmarkEnd w:id="26"/>
    <w:bookmarkStart w:id="30" w:name="regional-trends"/>
    <w:p>
      <w:pPr>
        <w:pStyle w:val="Heading1"/>
      </w:pPr>
      <w:r>
        <w:t xml:space="preserve">Regional trends</w:t>
      </w:r>
    </w:p>
    <w:bookmarkStart w:id="27" w:name="section-1"/>
    <w:p>
      <w:pPr>
        <w:pStyle w:val="Heading2"/>
      </w:pPr>
    </w:p>
    <w:p>
      <w:pPr>
        <w:pStyle w:val="SourceCode"/>
      </w:pPr>
      <w:r>
        <w:rPr>
          <w:rStyle w:val="VerbatimChar"/>
        </w:rPr>
        <w:t xml:space="preserve">## </w:t>
      </w:r>
      <w:r>
        <w:br/>
      </w:r>
      <w:r>
        <w:rPr>
          <w:rStyle w:val="VerbatimChar"/>
        </w:rPr>
        <w:t xml:space="preserve">## </w:t>
      </w:r>
      <w:r>
        <w:br/>
      </w:r>
      <w:r>
        <w:rPr>
          <w:rStyle w:val="VerbatimChar"/>
        </w:rPr>
        <w:t xml:space="preserve">## ℹ: The plots show the number of contacts under surveillance on each day, whether or not they were successfully contacted.</w:t>
      </w:r>
      <w:r>
        <w:br/>
      </w:r>
      <w:r>
        <w:rPr>
          <w:rStyle w:val="VerbatimChar"/>
        </w:rPr>
        <w:t xml:space="preserve">## </w:t>
      </w:r>
      <w:r>
        <w:br/>
      </w:r>
      <w:r>
        <w:rPr>
          <w:rStyle w:val="VerbatimChar"/>
        </w:rPr>
        <w:t xml:space="preserve">## The day on which the highest number contacts were under surveillance was Jan 26, 2021, with 56 contacts under surveillance.</w:t>
      </w:r>
    </w:p>
    <w:p>
      <w:pPr>
        <w:pStyle w:val="SourceCode"/>
      </w:pPr>
      <w:r>
        <w:rPr>
          <w:rStyle w:val="VerbatimChar"/>
        </w:rPr>
        <w:t xml:space="preserve">## NULL</w:t>
      </w:r>
    </w:p>
    <w:bookmarkEnd w:id="27"/>
    <w:bookmarkStart w:id="28" w:name="regional-trends-absolute-counts"/>
    <w:p>
      <w:pPr>
        <w:pStyle w:val="Heading2"/>
      </w:pPr>
      <w:r>
        <w:t xml:space="preserve">Regional trends absolute counts</w:t>
      </w:r>
    </w:p>
    <w:p>
      <w:pPr>
        <w:jc w:val="center"/>
        <w:pStyle w:val="Figure"/>
      </w:pPr>
      <w:r>
        <w:rPr/>
        <w:drawing>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7"/>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28"/>
    <w:bookmarkStart w:id="29" w:name="regional-trends-relative-proportions"/>
    <w:p>
      <w:pPr>
        <w:pStyle w:val="Heading2"/>
      </w:pPr>
      <w:r>
        <w:t xml:space="preserve">Regional trends relative proportions</w:t>
      </w:r>
    </w:p>
    <w:p>
      <w:pPr>
        <w:jc w:val="center"/>
        <w:pStyle w:val="Figure"/>
      </w:pPr>
      <w:r>
        <w:rPr/>
        <w:drawing>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8"/>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29"/>
    <w:bookmarkEnd w:id="30"/>
    <w:bookmarkStart w:id="34" w:name="contacts-per-case"/>
    <w:p>
      <w:pPr>
        <w:pStyle w:val="Heading1"/>
      </w:pPr>
      <w:r>
        <w:t xml:space="preserve">Contacts per case</w:t>
      </w:r>
    </w:p>
    <w:bookmarkStart w:id="31" w:name="section-2"/>
    <w:p>
      <w:pPr>
        <w:pStyle w:val="Heading2"/>
      </w:pPr>
    </w:p>
    <w:p>
      <w:pPr>
        <w:pStyle w:val="SourceCode"/>
      </w:pPr>
      <w:r>
        <w:rPr>
          <w:rStyle w:val="VerbatimChar"/>
        </w:rPr>
        <w:t xml:space="preserve">## </w:t>
      </w:r>
      <w:r>
        <w:br/>
      </w:r>
      <w:r>
        <w:rPr>
          <w:rStyle w:val="VerbatimChar"/>
        </w:rPr>
        <w:t xml:space="preserve">## </w:t>
      </w:r>
      <w:r>
        <w:br/>
      </w:r>
      <w:r>
        <w:rPr>
          <w:rStyle w:val="VerbatimChar"/>
        </w:rPr>
        <w:t xml:space="preserve">## ℹ: The plots show the number of contacts linked to each case.</w:t>
      </w:r>
      <w:r>
        <w:br/>
      </w:r>
      <w:r>
        <w:rPr>
          <w:rStyle w:val="VerbatimChar"/>
        </w:rPr>
        <w:t xml:space="preserve">## </w:t>
      </w:r>
      <w:r>
        <w:br/>
      </w:r>
      <w:r>
        <w:rPr>
          <w:rStyle w:val="VerbatimChar"/>
        </w:rPr>
        <w:t xml:space="preserve">## The mean number of contacts per case is 12.8, (SD:5.3) with a minimum of 2 and a maximum of 24</w:t>
      </w:r>
    </w:p>
    <w:p>
      <w:pPr>
        <w:pStyle w:val="SourceCode"/>
      </w:pPr>
      <w:r>
        <w:rPr>
          <w:rStyle w:val="VerbatimChar"/>
        </w:rPr>
        <w:t xml:space="preserve">## NULL</w:t>
      </w:r>
    </w:p>
    <w:bookmarkEnd w:id="31"/>
    <w:bookmarkStart w:id="32" w:name="contacts-per-case-donut-plot"/>
    <w:p>
      <w:pPr>
        <w:pStyle w:val="Heading2"/>
      </w:pPr>
      <w:r>
        <w:t xml:space="preserve">Contacts per case donut plot</w:t>
      </w:r>
    </w:p>
    <w:p>
      <w:pPr>
        <w:jc w:val="center"/>
        <w:pStyle w:val="Figure"/>
      </w:pPr>
      <w:r>
        <w:rPr/>
        <w:drawing>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9"/>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32"/>
    <w:bookmarkStart w:id="33" w:name="contacts-per-case-bar-chart"/>
    <w:p>
      <w:pPr>
        <w:pStyle w:val="Heading2"/>
      </w:pPr>
      <w:r>
        <w:t xml:space="preserve">Contacts per case bar chart</w:t>
      </w:r>
    </w:p>
    <w:p>
      <w:pPr>
        <w:jc w:val="center"/>
        <w:pStyle w:val="Figure"/>
      </w:pPr>
      <w:r>
        <w:rPr/>
        <w:drawing>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0"/>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33"/>
    <w:bookmarkEnd w:id="34"/>
    <w:bookmarkStart w:id="38" w:name="link-type-between-contacts-and-cases"/>
    <w:p>
      <w:pPr>
        <w:pStyle w:val="Heading1"/>
      </w:pPr>
      <w:r>
        <w:t xml:space="preserve">Link type between contacts and cases</w:t>
      </w:r>
    </w:p>
    <w:bookmarkStart w:id="35" w:name="section-3"/>
    <w:p>
      <w:pPr>
        <w:pStyle w:val="Heading2"/>
      </w:pPr>
    </w:p>
    <w:p>
      <w:pPr>
        <w:pStyle w:val="SourceCode"/>
      </w:pPr>
      <w:r>
        <w:rPr>
          <w:rStyle w:val="VerbatimChar"/>
        </w:rPr>
        <w:t xml:space="preserve">## </w:t>
      </w:r>
      <w:r>
        <w:br/>
      </w:r>
      <w:r>
        <w:rPr>
          <w:rStyle w:val="VerbatimChar"/>
        </w:rPr>
        <w:t xml:space="preserve">## </w:t>
      </w:r>
      <w:r>
        <w:br/>
      </w:r>
      <w:r>
        <w:rPr>
          <w:rStyle w:val="VerbatimChar"/>
        </w:rPr>
        <w:t xml:space="preserve">## ℹ: The plots show the number of contacts per type of type of link. The categories have been cleaned and condensed. Access the data in tabular form by clicking on the top-right button.</w:t>
      </w:r>
      <w:r>
        <w:br/>
      </w:r>
      <w:r>
        <w:rPr>
          <w:rStyle w:val="VerbatimChar"/>
        </w:rPr>
        <w:t xml:space="preserve">## </w:t>
      </w:r>
      <w:r>
        <w:br/>
      </w:r>
      <w:r>
        <w:rPr>
          <w:rStyle w:val="VerbatimChar"/>
        </w:rPr>
        <w:t xml:space="preserve">## The most common link category is 'parent proche', with 66 contacts (16.67%).</w:t>
      </w:r>
    </w:p>
    <w:p>
      <w:pPr>
        <w:pStyle w:val="SourceCode"/>
      </w:pPr>
      <w:r>
        <w:rPr>
          <w:rStyle w:val="VerbatimChar"/>
        </w:rPr>
        <w:t xml:space="preserve">## NULL</w:t>
      </w:r>
    </w:p>
    <w:bookmarkEnd w:id="35"/>
    <w:bookmarkStart w:id="36" w:name="link-type-donut-plot"/>
    <w:p>
      <w:pPr>
        <w:pStyle w:val="Heading2"/>
      </w:pPr>
      <w:r>
        <w:t xml:space="preserve">Link type donut plot</w:t>
      </w:r>
    </w:p>
    <w:p>
      <w:pPr>
        <w:jc w:val="center"/>
        <w:pStyle w:val="Figure"/>
      </w:pPr>
      <w:r>
        <w:rPr/>
        <w:drawing>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1"/>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36"/>
    <w:bookmarkStart w:id="37" w:name="link-type-bar-chart"/>
    <w:p>
      <w:pPr>
        <w:pStyle w:val="Heading2"/>
      </w:pPr>
      <w:r>
        <w:t xml:space="preserve">Link type bar chart</w:t>
      </w:r>
    </w:p>
    <w:p>
      <w:pPr>
        <w:jc w:val="center"/>
        <w:pStyle w:val="Figure"/>
      </w:pPr>
      <w:r>
        <w:rPr/>
        <w:drawing>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2"/>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37"/>
    <w:bookmarkEnd w:id="38"/>
    <w:bookmarkStart w:id="43" w:name="active-contacts"/>
    <w:p>
      <w:pPr>
        <w:pStyle w:val="Heading1"/>
      </w:pPr>
      <w:r>
        <w:t xml:space="preserve">ACTIVE CONTACTS</w:t>
      </w:r>
    </w:p>
    <w:bookmarkStart w:id="39" w:name="follow-up-timelines"/>
    <w:p>
      <w:pPr>
        <w:pStyle w:val="Heading2"/>
      </w:pPr>
      <w:r>
        <w:t xml:space="preserve">Follow-up timelines</w:t>
      </w:r>
    </w:p>
    <w:bookmarkEnd w:id="39"/>
    <w:bookmarkStart w:id="40" w:name="section-4"/>
    <w:p>
      <w:pPr>
        <w:pStyle w:val="Heading2"/>
      </w:pPr>
    </w:p>
    <w:p>
      <w:pPr>
        <w:pStyle w:val="SourceCode"/>
      </w:pPr>
      <w:r>
        <w:rPr>
          <w:rStyle w:val="VerbatimChar"/>
        </w:rPr>
        <w:t xml:space="preserve">## </w:t>
      </w:r>
      <w:r>
        <w:br/>
      </w:r>
      <w:r>
        <w:rPr>
          <w:rStyle w:val="VerbatimChar"/>
        </w:rPr>
        <w:t xml:space="preserve">## </w:t>
      </w:r>
      <w:r>
        <w:br/>
      </w:r>
      <w:r>
        <w:rPr>
          <w:rStyle w:val="VerbatimChar"/>
        </w:rPr>
        <w:t xml:space="preserve">## There are 13 active contacts</w:t>
      </w:r>
    </w:p>
    <w:p>
      <w:pPr>
        <w:pStyle w:val="SourceCode"/>
      </w:pPr>
      <w:r>
        <w:rPr>
          <w:rStyle w:val="VerbatimChar"/>
        </w:rPr>
        <w:t xml:space="preserve">## NULL</w:t>
      </w:r>
    </w:p>
    <w:bookmarkEnd w:id="40"/>
    <w:bookmarkStart w:id="41" w:name="follow-up-timeline-snake-plot"/>
    <w:p>
      <w:pPr>
        <w:pStyle w:val="Heading2"/>
      </w:pPr>
      <w:r>
        <w:t xml:space="preserve">Follow-up timeline snake plot</w:t>
      </w:r>
    </w:p>
    <w:p>
      <w:pPr>
        <w:jc w:val="center"/>
        <w:pStyle w:val="Figure"/>
      </w:pPr>
      <w:r>
        <w:rPr/>
        <w:drawing>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3"/>
                    <a:srcRect/>
                    <a:stretch>
                      <a:fillRect/>
                    </a:stretch>
                  </pic:blipFill>
                  <pic:spPr bwMode="auto">
                    <a:xfrm>
                      <a:off x="0" y="0"/>
                      <a:ext cx="63500" cy="50800"/>
                    </a:xfrm>
                    <a:prstGeom prst="rect">
                      <a:avLst/>
                    </a:prstGeom>
                    <a:noFill/>
                  </pic:spPr>
                </pic:pic>
              </a:graphicData>
            </a:graphic>
          </wp:inline>
        </w:drawing>
      </w:r>
    </w:p>
    <w:p>
      <w:pPr>
        <w:pStyle w:val="SourceCode"/>
      </w:pPr>
      <w:r>
        <w:rPr>
          <w:rStyle w:val="VerbatimChar"/>
        </w:rPr>
        <w:t xml:space="preserve">## NULL</w:t>
      </w:r>
    </w:p>
    <w:bookmarkEnd w:id="41"/>
    <w:bookmarkStart w:id="42" w:name="follow-up-timeline-summary-bar-chart"/>
    <w:p>
      <w:pPr>
        <w:pStyle w:val="Heading2"/>
      </w:pPr>
      <w:r>
        <w:t xml:space="preserve">Follow-up timeline summary bar chart</w:t>
      </w:r>
    </w:p>
    <w:bookmarkEnd w:id="42"/>
    <w:bookmarkEnd w:id="43"/>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Open Sans">
    <w:altName w:val="﷽﷽﷽﷽﷽﷽﷽﷽s"/>
    <w:panose1 w:val="020B0606030504020204"/>
    <w:charset w:val="00"/>
    <w:family w:val="swiss"/>
    <w:pitch w:val="variable"/>
    <w:sig w:usb0="E00002EF" w:usb1="4000205B" w:usb2="00000028" w:usb3="00000000" w:csb0="0000019F" w:csb1="00000000"/>
  </w:font>
  <w:font w:name="Avenir">
    <w:altName w:val="Avenir"/>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venir Book">
    <w:altName w:val="Avenir Book"/>
    <w:panose1 w:val="02000503020000020003"/>
    <w:charset w:val="00"/>
    <w:family w:val="auto"/>
    <w:pitch w:val="variable"/>
    <w:sig w:usb0="800000AF" w:usb1="5000204A" w:usb2="00000000" w:usb3="00000000" w:csb0="0000009B" w:csb1="00000000"/>
  </w:font>
  <w:font w:name="Apple Color Emoji">
    <w:altName w:val="Apple Color Emoji"/>
    <w:panose1 w:val="00000000000000000000"/>
    <w:charset w:val="00"/>
    <w:family w:val="auto"/>
    <w:pitch w:val="variable"/>
    <w:sig w:usb0="00000003" w:usb1="18000000" w:usb2="14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3494321"/>
      <w:docPartObj>
        <w:docPartGallery w:val="Page Numbers (Bottom of Page)"/>
        <w:docPartUnique/>
      </w:docPartObj>
    </w:sdtPr>
    <w:sdtContent>
      <w:p w14:paraId="419C121F" w14:textId="34257B9A" w:rsidR="00334D78" w:rsidRDefault="00334D78" w:rsidP="00945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5A293A" w14:textId="77777777" w:rsidR="00334D78" w:rsidRDefault="00334D78" w:rsidP="00334D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C95ED" w14:textId="77777777" w:rsidR="00334D78" w:rsidRDefault="00334D78" w:rsidP="00334D78">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33EE0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24CA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BEFB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AC08B1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CE68FA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7149F1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878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8430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748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FA64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2C1AE401"/>
    <w:multiLevelType w:val="multilevel"/>
    <w:tmpl w:val="3190D8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903262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3"/>
  </w:num>
  <w:num w:numId="13">
    <w:abstractNumId w:val="22"/>
  </w:num>
  <w:num w:numId="14">
    <w:abstractNumId w:val="21"/>
  </w:num>
  <w:num w:numId="15">
    <w:abstractNumId w:val="20"/>
  </w:num>
  <w:num w:numId="16">
    <w:abstractNumId w:val="13"/>
  </w:num>
  <w:num w:numId="17">
    <w:abstractNumId w:val="14"/>
  </w:num>
  <w:num w:numId="18">
    <w:abstractNumId w:val="25"/>
  </w:num>
  <w:num w:numId="19">
    <w:abstractNumId w:val="19"/>
  </w:num>
  <w:num w:numId="20">
    <w:abstractNumId w:val="24"/>
  </w:num>
  <w:num w:numId="21">
    <w:abstractNumId w:val="11"/>
  </w:num>
  <w:num w:numId="22">
    <w:abstractNumId w:val="15"/>
  </w:num>
  <w:num w:numId="23">
    <w:abstractNumId w:val="18"/>
  </w:num>
  <w:num w:numId="24">
    <w:abstractNumId w:val="10"/>
  </w:num>
  <w:num w:numId="25">
    <w:abstractNumId w:val="16"/>
  </w:num>
  <w:num w:numId="26">
    <w:abstractNumId w:val="17"/>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7174"/>
    <w:rPr>
      <w:rFonts w:ascii="Open Sans" w:hAnsi="Open Sans"/>
      <w:sz w:val="20"/>
    </w:rPr>
  </w:style>
  <w:style w:type="paragraph" w:styleId="Heading1">
    <w:name w:val="heading 1"/>
    <w:basedOn w:val="Normal"/>
    <w:next w:val="BodyText"/>
    <w:autoRedefine/>
    <w:uiPriority w:val="9"/>
    <w:qFormat/>
    <w:rsid w:val="00B71453"/>
    <w:pPr>
      <w:keepNext/>
      <w:keepLines/>
      <w:numPr>
        <w:numId w:val="20"/>
      </w:numPr>
      <w:spacing w:before="480" w:after="0"/>
      <w:ind w:left="567" w:hanging="567"/>
      <w:outlineLvl w:val="0"/>
    </w:pPr>
    <w:rPr>
      <w:rFonts w:ascii="Avenir" w:eastAsiaTheme="majorEastAsia" w:hAnsi="Avenir" w:cstheme="majorBidi"/>
      <w:bCs/>
      <w:color w:val="548DD4" w:themeColor="text2" w:themeTint="99"/>
      <w:sz w:val="40"/>
      <w:szCs w:val="32"/>
    </w:rPr>
  </w:style>
  <w:style w:type="paragraph" w:styleId="Heading2">
    <w:name w:val="heading 2"/>
    <w:basedOn w:val="Normal"/>
    <w:next w:val="BodyText"/>
    <w:autoRedefine/>
    <w:uiPriority w:val="9"/>
    <w:unhideWhenUsed/>
    <w:qFormat/>
    <w:rsid w:val="00B71453"/>
    <w:pPr>
      <w:keepNext/>
      <w:keepLines/>
      <w:numPr>
        <w:ilvl w:val="1"/>
        <w:numId w:val="20"/>
      </w:numPr>
      <w:adjustRightInd w:val="0"/>
      <w:spacing w:before="200" w:after="0"/>
      <w:ind w:left="57" w:firstLine="0"/>
      <w:outlineLvl w:val="1"/>
    </w:pPr>
    <w:rPr>
      <w:rFonts w:ascii="Avenir" w:eastAsiaTheme="majorEastAsia" w:hAnsi="Avenir" w:cstheme="majorBidi"/>
      <w:bCs/>
      <w:color w:val="548DD4" w:themeColor="text2" w:themeTint="99"/>
      <w:sz w:val="32"/>
      <w:szCs w:val="32"/>
    </w:rPr>
  </w:style>
  <w:style w:type="paragraph" w:styleId="Heading3">
    <w:name w:val="heading 3"/>
    <w:basedOn w:val="Normal"/>
    <w:next w:val="BodyText"/>
    <w:autoRedefine/>
    <w:uiPriority w:val="9"/>
    <w:unhideWhenUsed/>
    <w:qFormat/>
    <w:rsid w:val="00B71453"/>
    <w:pPr>
      <w:keepNext/>
      <w:keepLines/>
      <w:numPr>
        <w:ilvl w:val="2"/>
        <w:numId w:val="20"/>
      </w:numPr>
      <w:spacing w:before="200" w:after="0"/>
      <w:ind w:left="1134" w:hanging="907"/>
      <w:outlineLvl w:val="2"/>
    </w:pPr>
    <w:rPr>
      <w:rFonts w:ascii="Avenir" w:eastAsiaTheme="majorEastAsia" w:hAnsi="Avenir" w:cstheme="majorBidi"/>
      <w:bCs/>
      <w:color w:val="548DD4" w:themeColor="text2" w:themeTint="99"/>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autoRedefine/>
    <w:qFormat/>
    <w:rsid w:val="00277174"/>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B71453"/>
    <w:pPr>
      <w:keepNext/>
      <w:keepLines/>
      <w:pBdr>
        <w:bottom w:val="single" w:sz="4" w:space="1" w:color="auto"/>
      </w:pBdr>
      <w:spacing w:before="480" w:after="240"/>
    </w:pPr>
    <w:rPr>
      <w:rFonts w:ascii="Avenir" w:eastAsiaTheme="majorEastAsia" w:hAnsi="Avenir" w:cstheme="majorBidi"/>
      <w:bCs/>
      <w:color w:val="548DD4" w:themeColor="text2" w:themeTint="99"/>
      <w:sz w:val="80"/>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uiPriority w:val="99"/>
    <w:rsid w:val="009137D8"/>
    <w:rPr>
      <w:color w:val="C00000"/>
    </w:rPr>
  </w:style>
  <w:style w:type="paragraph" w:styleId="TOCHeading">
    <w:name w:val="TOC Heading"/>
    <w:basedOn w:val="Heading1"/>
    <w:next w:val="BodyText"/>
    <w:autoRedefine/>
    <w:uiPriority w:val="39"/>
    <w:unhideWhenUsed/>
    <w:qFormat/>
    <w:rsid w:val="00B71453"/>
    <w:pPr>
      <w:numPr>
        <w:numId w:val="0"/>
      </w:numPr>
      <w:spacing w:before="240" w:line="259" w:lineRule="auto"/>
      <w:jc w:val="center"/>
      <w:outlineLvl w:val="9"/>
    </w:pPr>
    <w:rPr>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iPriority w:val="99"/>
    <w:unhideWhenUsed/>
    <w:qFormat/>
    <w:rsid w:val="00380D58"/>
    <w:pPr>
      <w:tabs>
        <w:tab w:val="center" w:pos="4536"/>
        <w:tab w:val="right" w:pos="9072"/>
      </w:tabs>
      <w:spacing w:after="0"/>
    </w:pPr>
    <w:rPr>
      <w:noProof/>
    </w:rPr>
  </w:style>
  <w:style w:type="character" w:customStyle="1" w:styleId="HeaderChar">
    <w:name w:val="Header Char"/>
    <w:basedOn w:val="DefaultParagraphFont"/>
    <w:link w:val="Header"/>
    <w:uiPriority w:val="99"/>
    <w:rsid w:val="00380D58"/>
    <w:rPr>
      <w:noProo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OC2">
    <w:name w:val="toc 2"/>
    <w:basedOn w:val="Normal"/>
    <w:next w:val="Normal"/>
    <w:autoRedefine/>
    <w:uiPriority w:val="39"/>
    <w:unhideWhenUsed/>
    <w:rsid w:val="00195E93"/>
    <w:pPr>
      <w:spacing w:after="100"/>
      <w:ind w:left="240"/>
    </w:pPr>
  </w:style>
  <w:style w:type="paragraph" w:styleId="TOC1">
    <w:name w:val="toc 1"/>
    <w:basedOn w:val="Normal"/>
    <w:next w:val="Normal"/>
    <w:autoRedefine/>
    <w:uiPriority w:val="39"/>
    <w:unhideWhenUsed/>
    <w:qFormat/>
    <w:rsid w:val="00195E93"/>
    <w:pPr>
      <w:spacing w:after="100"/>
    </w:pPr>
  </w:style>
  <w:style w:type="paragraph" w:styleId="NoSpacing">
    <w:name w:val="No Spacing"/>
    <w:uiPriority w:val="1"/>
    <w:qFormat/>
    <w:rsid w:val="00AE0264"/>
    <w:pPr>
      <w:spacing w:after="0"/>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11" Type="http://schemas.openxmlformats.org/officeDocument/2006/relationships/image" Target="media/file140a860f3327b.png"/>
<Relationship Id="rId12" Type="http://schemas.openxmlformats.org/officeDocument/2006/relationships/image" Target="media/file140a87e775af6.png"/>
<Relationship Id="rId13" Type="http://schemas.openxmlformats.org/officeDocument/2006/relationships/image" Target="media/file140a84df50d57.png"/>
<Relationship Id="rId14" Type="http://schemas.openxmlformats.org/officeDocument/2006/relationships/image" Target="media/file140a8133ef2bd.png"/>
<Relationship Id="rId15" Type="http://schemas.openxmlformats.org/officeDocument/2006/relationships/image" Target="media/file140a89b2602a.png"/>
<Relationship Id="rId16" Type="http://schemas.openxmlformats.org/officeDocument/2006/relationships/image" Target="media/file140a81dc76a5f.png"/>
<Relationship Id="rId17" Type="http://schemas.openxmlformats.org/officeDocument/2006/relationships/image" Target="media/file140a8f18923f.png"/>
<Relationship Id="rId18" Type="http://schemas.openxmlformats.org/officeDocument/2006/relationships/image" Target="media/file140a816296dd7.png"/>
<Relationship Id="rId19" Type="http://schemas.openxmlformats.org/officeDocument/2006/relationships/image" Target="media/file140a879ea499e.png"/>
<Relationship Id="rId20" Type="http://schemas.openxmlformats.org/officeDocument/2006/relationships/image" Target="media/file140a8487629a.png"/>
<Relationship Id="rId21" Type="http://schemas.openxmlformats.org/officeDocument/2006/relationships/image" Target="media/file140a8545a6ec8.png"/>
<Relationship Id="rId22" Type="http://schemas.openxmlformats.org/officeDocument/2006/relationships/image" Target="media/file140a87d1f37bb.png"/>
<Relationship Id="rId23" Type="http://schemas.openxmlformats.org/officeDocument/2006/relationships/image" Target="media/file140a8c84162a.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175</Words>
  <Characters>999</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1172</CharactersWithSpaces>
  <SharedDoc>false</SharedDoc>
  <HLinks>
    <vt:vector size="30" baseType="variant">
      <vt:variant>
        <vt:i4>1179706</vt:i4>
      </vt:variant>
      <vt:variant>
        <vt:i4>26</vt:i4>
      </vt:variant>
      <vt:variant>
        <vt:i4>0</vt:i4>
      </vt:variant>
      <vt:variant>
        <vt:i4>5</vt:i4>
      </vt:variant>
      <vt:variant>
        <vt:lpwstr/>
      </vt:variant>
      <vt:variant>
        <vt:lpwstr>_Toc69820648</vt:lpwstr>
      </vt:variant>
      <vt:variant>
        <vt:i4>1900602</vt:i4>
      </vt:variant>
      <vt:variant>
        <vt:i4>20</vt:i4>
      </vt:variant>
      <vt:variant>
        <vt:i4>0</vt:i4>
      </vt:variant>
      <vt:variant>
        <vt:i4>5</vt:i4>
      </vt:variant>
      <vt:variant>
        <vt:lpwstr/>
      </vt:variant>
      <vt:variant>
        <vt:lpwstr>_Toc69820647</vt:lpwstr>
      </vt:variant>
      <vt:variant>
        <vt:i4>1835066</vt:i4>
      </vt:variant>
      <vt:variant>
        <vt:i4>14</vt:i4>
      </vt:variant>
      <vt:variant>
        <vt:i4>0</vt:i4>
      </vt:variant>
      <vt:variant>
        <vt:i4>5</vt:i4>
      </vt:variant>
      <vt:variant>
        <vt:lpwstr/>
      </vt:variant>
      <vt:variant>
        <vt:lpwstr>_Toc69820646</vt:lpwstr>
      </vt:variant>
      <vt:variant>
        <vt:i4>2031674</vt:i4>
      </vt:variant>
      <vt:variant>
        <vt:i4>8</vt:i4>
      </vt:variant>
      <vt:variant>
        <vt:i4>0</vt:i4>
      </vt:variant>
      <vt:variant>
        <vt:i4>5</vt:i4>
      </vt:variant>
      <vt:variant>
        <vt:lpwstr/>
      </vt:variant>
      <vt:variant>
        <vt:lpwstr>_Toc69820645</vt:lpwstr>
      </vt:variant>
      <vt:variant>
        <vt:i4>1966138</vt:i4>
      </vt:variant>
      <vt:variant>
        <vt:i4>2</vt:i4>
      </vt:variant>
      <vt:variant>
        <vt:i4>0</vt:i4>
      </vt:variant>
      <vt:variant>
        <vt:i4>5</vt:i4>
      </vt:variant>
      <vt:variant>
        <vt:lpwstr/>
      </vt:variant>
      <vt:variant>
        <vt:lpwstr>_Toc69820644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COVID-19 Contact Tracing Report</dc:title>
  <dc:creator/>
  <cp:keywords/>
  <dcterms:created xsi:type="dcterms:W3CDTF">2021-04-21T16:08:21Z</dcterms:created>
  <dcterms:modified xsi:type="dcterms:W3CDTF">2021-04-21T18:08:21Z</dcterms:modified>
  <cp:lastModifiedBy>kenwosu</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fontsize">
    <vt:lpwstr>10pt</vt:lpwstr>
  </property>
  <property fmtid="{D5CDD505-2E9C-101B-9397-08002B2CF9AE}" pid="4" name="geometry">
    <vt:lpwstr>left=2cm,right=2cm,top=2.5cm,bottom=2cm</vt:lpwstr>
  </property>
  <property fmtid="{D5CDD505-2E9C-101B-9397-08002B2CF9AE}" pid="5" name="google-font">
    <vt:lpwstr>True</vt:lpwstr>
  </property>
  <property fmtid="{D5CDD505-2E9C-101B-9397-08002B2CF9AE}" pid="6" name="main-color">
    <vt:lpwstr>#3391CF</vt:lpwstr>
  </property>
  <property fmtid="{D5CDD505-2E9C-101B-9397-08002B2CF9AE}" pid="7" name="main-font">
    <vt:lpwstr>Open Sans</vt:lpwstr>
  </property>
  <property fmtid="{D5CDD505-2E9C-101B-9397-08002B2CF9AE}" pid="8" name="mainfont">
    <vt:lpwstr>Avenir</vt:lpwstr>
  </property>
  <property fmtid="{D5CDD505-2E9C-101B-9397-08002B2CF9AE}" pid="9" name="output">
    <vt:lpwstr/>
  </property>
  <property fmtid="{D5CDD505-2E9C-101B-9397-08002B2CF9AE}" pid="10" name="params">
    <vt:lpwstr/>
  </property>
</Properties>
</file>