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</w:pPr>
      <w:r>
        <w:t xml:space="preserve">March 24, 2026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Editorial Board</w:t>
      </w:r>
    </w:p>
    <w:p>
      <w:pPr>
        <w:spacing w:after="240" w:line="276"/>
      </w:pPr>
      <w:r>
        <w:t xml:space="preserve">PLOS ONE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rPr>
          <w:i w:val="false"/>
          <w:iCs w:val="false"/>
        </w:rPr>
        <w:t xml:space="preserve">Re: Submission of manuscript </w:t>
      </w:r>
      <w:r>
        <w:rPr>
          <w:i/>
          <w:iCs/>
        </w:rPr>
        <w:t xml:space="preserve">"From Migration to Monumentality: The Alison Great Circle as a 60,000-Year Human Corridor"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Dear Editors,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I am writing to submit the above manuscript for consideration as a Research Article in PLOS ONE. This paper presents twelve independent statistical analyses testing the mechanism behind a recently documented monument-settlement divergence along a specific great circle, and proposes a parsimonious explanation grounded in established Out-of-Africa dispersal science.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A companion study (Allan 2026, preprint, doi:10.5281/zenodo.19046176) established that ancient monumental sites cluster along a specific great circle at 5.05× the expected rate while settlements do not (Z = 11.83, replicated across seven independent databases). The present paper asks what causes this divergence. Using twelve independent analyses across five time scales — from Out-of-Africa dispersal sites dated to ~60,000 BP through Bronze Age monument construction — we demonstrate that the same narrow geographic corridor shows statistically significant human activity at every tested epoch except the Last Glacial Maximum, when the Arabian segment was climatically impassable.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The central novel finding is that the geographic corridor used during the earliest human migrations is statistically associated with later monument placement. The co-location of Bronze Age monuments with early Holocene occupation sites along the corridor (p = 0.004) demonstrates spatial continuity across deep time. To our knowledge, no previous study has quantitatively tested whether Out-of-Africa dispersal corridors predict later monument placement. The southern dispersal literature treats migration as a Pleistocene event that ended; the Egyptological literature treats pyramid siting as a local Nile geography problem. This paper bridges these fields for the first time. We address the post-hoc nature of the circle’s identification through latitude-matched Monte Carlo null distributions and Benjamini-Hochberg correction, and we note that the deep-time enrichment (p = 0.001) predates the monuments that originally motivated the circle’s identification by 50,000 years.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Fifteen alternative hypotheses — spanning astronomical alignment, geomagnetic correlation, gravitational anomaly, oral tradition, Polynesian navigation, and catastrophist frameworks — all return null results. Benjamini-Hochberg correction across the twelve primary analyses confirms that seven tests survive at FDR q &lt; 0.05. All code and data are publicly available.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This work is appropriate for PLOS ONE because it applies rigorous statistical methodology to a question that spans multiple disciplines — palaeoanthropology, spatial statistics, Egyptology, and landscape archaeology — and because the public availability of all code and data supports full reproducibility. The manuscript has not been published elsewhere and is not under consideration at another journal.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Data availability: All datasets used are publicly available or cited with full provenance. Analysis code is deposited at github.com/thegreatcircledata/great-circle-analysis.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Suggested subject areas: Archaeology, Spatial Statistics, Human Migration, Landscape Archaeology.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Thank you for your consideration.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Sincerely,</w:t>
      </w:r>
    </w:p>
    <w:p>
      <w:pPr>
        <w:spacing w:after="240" w:line="276"/>
      </w:pPr>
      <w:r>
        <w:t xml:space="preserve"/>
      </w:r>
    </w:p>
    <w:p>
      <w:pPr>
        <w:spacing w:after="240" w:line="276"/>
      </w:pPr>
      <w:r>
        <w:t xml:space="preserve">Elliot Allan</w:t>
      </w:r>
    </w:p>
    <w:p>
      <w:pPr>
        <w:spacing w:after="240" w:line="276"/>
      </w:pPr>
      <w:r>
        <w:t xml:space="preserve">Independent Researcher</w:t>
      </w:r>
    </w:p>
    <w:p>
      <w:pPr>
        <w:spacing w:after="240" w:line="276"/>
      </w:pPr>
      <w:r>
        <w:t xml:space="preserve">New York, United States</w:t>
      </w:r>
    </w:p>
    <w:p>
      <w:pPr>
        <w:spacing w:after="240" w:line="276"/>
      </w:pPr>
      <w:r>
        <w:t xml:space="preserve">ellallan@proton.me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2026-03-24T18:59:11.354Z</dcterms:created>
  <dcterms:modified xsi:type="dcterms:W3CDTF">2026-03-24T18:59:11.354Z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