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B2A4A"/>
          <w:sz w:val="36"/>
          <w:szCs w:val="36"/>
        </w:rPr>
        <w:t xml:space="preserve">Section 13: Payroll &amp; Leave V2</w:t>
      </w:r>
    </w:p>
    <w:p>
      <w:pPr>
        <w:spacing w:after="400"/>
      </w:pPr>
      <w:r>
        <w:rPr>
          <w:i/>
          <w:iCs/>
          <w:color w:val="7A8499"/>
          <w:sz w:val="22"/>
          <w:szCs w:val="22"/>
        </w:rPr>
        <w:t xml:space="preserve">Pay Runs · Payslips · Monthly Report · SARS Liability</w:t>
      </w:r>
    </w:p>
    <w:p>
      <w:pPr>
        <w:pStyle w:val="Heading2"/>
        <w:spacing w:after="150" w:before="300"/>
      </w:pPr>
      <w:r>
        <w:t xml:space="preserve">13.1 Overview</w:t>
      </w:r>
    </w:p>
    <w:p>
      <w:pPr>
        <w:spacing w:after="120"/>
      </w:pPr>
      <w:r>
        <w:t xml:space="preserve">This section documents the Payroll &amp; Leave V2 build, delivered as a separate workstream from the offboarding system covered in Section 12. It replaces the single-page payroll view with four purpose-built features, backed by new Power Automate flows and one new Azure SQL table.</w:t>
      </w:r>
    </w:p>
    <w:p>
      <w:pPr>
        <w:spacing w:after="120"/>
      </w:pPr>
      <w:r>
        <w:t xml:space="preserve">Delivered in this build:</w:t>
      </w:r>
    </w:p>
    <w:p>
      <w:pPr>
        <w:pStyle w:val="ListParagraph"/>
        <w:numPr>
          <w:ilvl w:val="0"/>
          <w:numId w:val="1"/>
        </w:numPr>
        <w:spacing w:after="80"/>
      </w:pPr>
      <w:r>
        <w:t xml:space="preserve">Pay Runs — browse SimplePay's finalised pay runs and drill into every payslip within a run.</w:t>
      </w:r>
    </w:p>
    <w:p>
      <w:pPr>
        <w:pStyle w:val="ListParagraph"/>
        <w:numPr>
          <w:ilvl w:val="0"/>
          <w:numId w:val="1"/>
        </w:numPr>
        <w:spacing w:after="80"/>
      </w:pPr>
      <w:r>
        <w:t xml:space="preserve">Payslips — Trilogy-branded payslip rendering, available to HR (any employee) and to employees themselves (self-service, own payslips only).</w:t>
      </w:r>
    </w:p>
    <w:p>
      <w:pPr>
        <w:pStyle w:val="ListParagraph"/>
        <w:numPr>
          <w:ilvl w:val="0"/>
          <w:numId w:val="1"/>
        </w:numPr>
        <w:spacing w:after="80"/>
      </w:pPr>
      <w:r>
        <w:t xml:space="preserve">Monthly Report — an aggregate view across all employees for a selected pay period.</w:t>
      </w:r>
    </w:p>
    <w:p>
      <w:pPr>
        <w:pStyle w:val="ListParagraph"/>
        <w:numPr>
          <w:ilvl w:val="0"/>
          <w:numId w:val="1"/>
        </w:numPr>
        <w:spacing w:after="80"/>
      </w:pPr>
      <w:r>
        <w:t xml:space="preserve">SARS Report — PAYE/UIF/SDL/ETI liability sourced directly from SimplePay's EMP201 submission.</w:t>
      </w:r>
    </w:p>
    <w:p>
      <w:pPr>
        <w:spacing w:after="120"/>
      </w:pPr>
      <w:r>
        <w:t xml:space="preserve">The pre-existing contract-vs-actual comparison (salary agreement tracking, e.g. a founder deferring salary until the company scales) was preserved unchanged, but moved out of the main payroll page into its own page so it no longer convolutes the new reporting views.</w:t>
      </w:r>
    </w:p>
    <w:p>
      <w:pPr>
        <w:pStyle w:val="Heading2"/>
        <w:spacing w:after="150" w:before="300"/>
      </w:pPr>
      <w:r>
        <w:t xml:space="preserve">13.2 Architecture decisions</w:t>
      </w:r>
    </w:p>
    <w:p>
      <w:pPr>
        <w:pStyle w:val="Heading3"/>
        <w:spacing w:after="100" w:before="200"/>
      </w:pPr>
      <w:r>
        <w:t xml:space="preserve">Page split</w:t>
      </w:r>
    </w:p>
    <w:p>
      <w:pPr>
        <w:spacing w:after="120"/>
      </w:pPr>
      <w:r>
        <w:t xml:space="preserve">/payroll/index.html was rebuilt as a tabbed hub (Pay Runs / Payslips / Monthly Report / SARS Report). The pre-existing comparison page was copied verbatim (same flows, same logic) to /payroll/salary-agreements.html, linked from the new hub's nav bar.</w:t>
      </w:r>
    </w:p>
    <w:p>
      <w:pPr>
        <w:pStyle w:val="Heading3"/>
        <w:spacing w:after="100" w:before="200"/>
      </w:pPr>
      <w:r>
        <w:t xml:space="preserve">Pay Runs are read-only by necessity</w:t>
      </w:r>
    </w:p>
    <w:p>
      <w:pPr>
        <w:spacing w:after="120"/>
      </w:pPr>
      <w:r>
        <w:t xml:space="preserve">SimplePay's API exposes no endpoint to trigger or finalise a pay run — only to list pay runs and read their payslips/accounting journal after the fact. Pay run finalisation must happen inside SimplePay's own UI. The Pay Runs tab was scoped accordingly: a read-only browser and drill-down, not a payroll-processing tool.</w:t>
      </w:r>
    </w:p>
    <w:p>
      <w:pPr>
        <w:pStyle w:val="Heading3"/>
        <w:spacing w:after="100" w:before="200"/>
      </w:pPr>
      <w:r>
        <w:t xml:space="preserve">Caching for scale</w:t>
      </w:r>
    </w:p>
    <w:p>
      <w:pPr>
        <w:spacing w:after="120"/>
      </w:pPr>
      <w:r>
        <w:t xml:space="preserve">SimplePay's employees?include=recent_payslips_with_data endpoint (the only way to get payslip data with employee names attached) takes 17–36 seconds to respond regardless of headcount, and would not survive scaling to Trilogy's target of 200+ seats if called on every page view.</w:t>
      </w:r>
    </w:p>
    <w:p>
      <w:pPr>
        <w:spacing w:after="120"/>
      </w:pPr>
      <w:r>
        <w:t xml:space="preserve">Solution: a new table, PayRunPayslips, caches every employee's payslip per finalised pay run. Because a finalised pay run's data never changes, this only needs to be pulled from SimplePay once, the first time a given pay run is seen:</w:t>
      </w:r>
    </w:p>
    <w:p>
      <w:pPr>
        <w:pStyle w:val="ListParagraph"/>
        <w:numPr>
          <w:ilvl w:val="0"/>
          <w:numId w:val="1"/>
        </w:numPr>
        <w:spacing w:after="80"/>
      </w:pPr>
      <w:r>
        <w:t xml:space="preserve">A scheduled background flow (Sync New Pay Runs) checks for pay run IDs not yet cached and syncs only those — most scheduled runs do nothing, since new pay runs appear ~monthly.</w:t>
      </w:r>
    </w:p>
    <w:p>
      <w:pPr>
        <w:pStyle w:val="ListParagraph"/>
        <w:numPr>
          <w:ilvl w:val="0"/>
          <w:numId w:val="1"/>
        </w:numPr>
        <w:spacing w:after="80"/>
      </w:pPr>
      <w:r>
        <w:t xml:space="preserve">All user-facing reads (Pay Runs detail, Payslips, Monthly Report) query PayRunPayslips directly — sub-second regardless of employee count.</w:t>
      </w:r>
    </w:p>
    <w:p>
      <w:pPr>
        <w:pStyle w:val="Heading3"/>
        <w:spacing w:after="100" w:before="200"/>
      </w:pPr>
      <w:r>
        <w:t xml:space="preserve">SARS liability sourced from EMP201, not PayrollSnapshot</w:t>
      </w:r>
    </w:p>
    <w:p>
      <w:pPr>
        <w:spacing w:after="120"/>
      </w:pPr>
      <w:r>
        <w:t xml:space="preserve">SimplePay's EMP201 submissions endpoint returns the actual figures submitted to SARS (PAYE, UIF, SDL, ETI) for a finalised period — authoritative, not an internal estimate. This is a materially better source than deriving liability from PayrollSnapshot.SARSEmployerActual, which is a per-employee aggregate computed internally. No caching was built for this endpoint — it's a lightweight single call, and the data is inherently unavailable until the client actually finalises an EMP201 in SimplePay (confirmed both existing pay periods return "not yet finalised" as of this build, which is an account-level SimplePay state, not a bug in our flow).</w:t>
      </w:r>
    </w:p>
    <w:p>
      <w:pPr>
        <w:pStyle w:val="Heading3"/>
        <w:spacing w:after="100" w:before="200"/>
      </w:pPr>
      <w:r>
        <w:t xml:space="preserve">Self-service identity resolution</w:t>
      </w:r>
    </w:p>
    <w:p>
      <w:pPr>
        <w:spacing w:after="120"/>
      </w:pPr>
      <w:r>
        <w:t xml:space="preserve">Employee self-service payslip access resolves identity server-side: the flow takes the employee's login email, looks up their IDNumber in the Employees table, and only then queries PayRunPayslips — never trusting a client-supplied employee ID directly. This prevents one employee from viewing another's payslip by manipulating a request.</w:t>
      </w:r>
    </w:p>
    <w:p>
      <w:pPr>
        <w:pStyle w:val="Heading2"/>
        <w:spacing w:after="150" w:before="300"/>
      </w:pPr>
      <w:r>
        <w:t xml:space="preserve">13.3 New table: PayRunPayslips</w:t>
      </w:r>
    </w:p>
    <w:p>
      <w:pPr>
        <w:spacing w:after="120"/>
      </w:pPr>
      <w:r>
        <w:rPr>
          <w:i/>
          <w:iCs/>
          <w:color w:val="7A8499"/>
        </w:rPr>
        <w:t xml:space="preserve">Server: trilogy-hr.database.windows.net · Database: trilogy-hr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50"/>
      </w:tblGrid>
      <w:tr>
        <w:tc>
          <w:tcPr>
            <w:tcW w:type="dxa" w:w="1600"/>
            <w:shd w:fill="1B2A4A" w:val="clear"/>
            <w:tcMar>
              <w:top w:type="dxa" w:w="80"/>
              <w:left w:type="dxa" w:w="100"/>
              <w:bottom w:type="dxa" w:w="80"/>
              <w:right w:type="dxa" w:w="100"/>
            </w:tcMar>
          </w:tcPr>
          <w:p>
            <w:r>
              <w:rPr>
                <w:b/>
                <w:bCs/>
                <w:color w:val="FFFFFF"/>
                <w:sz w:val="20"/>
                <w:szCs w:val="20"/>
              </w:rPr>
              <w:t xml:space="preserve">Column</w:t>
            </w:r>
          </w:p>
        </w:tc>
        <w:tc>
          <w:tcPr>
            <w:tcW w:type="dxa" w:w="1600"/>
            <w:shd w:fill="1B2A4A" w:val="clear"/>
            <w:tcMar>
              <w:top w:type="dxa" w:w="80"/>
              <w:left w:type="dxa" w:w="100"/>
              <w:bottom w:type="dxa" w:w="80"/>
              <w:right w:type="dxa" w:w="100"/>
            </w:tcMar>
          </w:tcPr>
          <w:p>
            <w:r>
              <w:rPr>
                <w:b/>
                <w:bCs/>
                <w:color w:val="FFFFFF"/>
                <w:sz w:val="20"/>
                <w:szCs w:val="20"/>
              </w:rPr>
              <w:t xml:space="preserve">Type</w:t>
            </w:r>
          </w:p>
        </w:tc>
        <w:tc>
          <w:tcPr>
            <w:tcW w:type="dxa" w:w="6150"/>
            <w:shd w:fill="1B2A4A" w:val="clear"/>
            <w:tcMar>
              <w:top w:type="dxa" w:w="80"/>
              <w:left w:type="dxa" w:w="100"/>
              <w:bottom w:type="dxa" w:w="80"/>
              <w:right w:type="dxa" w:w="100"/>
            </w:tcMar>
          </w:tcPr>
          <w:p>
            <w:r>
              <w:rPr>
                <w:b/>
                <w:bCs/>
                <w:color w:val="FFFFFF"/>
                <w:sz w:val="20"/>
                <w:szCs w:val="20"/>
              </w:rPr>
              <w:t xml:space="preserve">Notes</w:t>
            </w:r>
          </w:p>
        </w:tc>
      </w:tr>
      <w:tr>
        <w:tc>
          <w:tcPr>
            <w:tcW w:type="dxa" w:w="1600"/>
            <w:tcMar>
              <w:top w:type="dxa" w:w="80"/>
              <w:left w:type="dxa" w:w="100"/>
              <w:bottom w:type="dxa" w:w="80"/>
              <w:right w:type="dxa" w:w="100"/>
            </w:tcMar>
          </w:tcPr>
          <w:p>
            <w:r>
              <w:rPr>
                <w:b w:val="false"/>
                <w:bCs w:val="false"/>
                <w:color w:val="000000"/>
                <w:sz w:val="20"/>
                <w:szCs w:val="20"/>
              </w:rPr>
              <w:t xml:space="preserve">ID</w:t>
            </w:r>
          </w:p>
        </w:tc>
        <w:tc>
          <w:tcPr>
            <w:tcW w:type="dxa" w:w="1600"/>
            <w:tcMar>
              <w:top w:type="dxa" w:w="80"/>
              <w:left w:type="dxa" w:w="100"/>
              <w:bottom w:type="dxa" w:w="80"/>
              <w:right w:type="dxa" w:w="100"/>
            </w:tcMar>
          </w:tcPr>
          <w:p>
            <w:r>
              <w:rPr>
                <w:b w:val="false"/>
                <w:bCs w:val="false"/>
                <w:color w:val="000000"/>
                <w:sz w:val="20"/>
                <w:szCs w:val="20"/>
              </w:rPr>
              <w:t xml:space="preserve">INT IDENTITY</w:t>
            </w:r>
          </w:p>
        </w:tc>
        <w:tc>
          <w:tcPr>
            <w:tcW w:type="dxa" w:w="6150"/>
            <w:tcMar>
              <w:top w:type="dxa" w:w="80"/>
              <w:left w:type="dxa" w:w="100"/>
              <w:bottom w:type="dxa" w:w="80"/>
              <w:right w:type="dxa" w:w="100"/>
            </w:tcMar>
          </w:tcPr>
          <w:p>
            <w:r>
              <w:rPr>
                <w:b w:val="false"/>
                <w:bCs w:val="false"/>
                <w:color w:val="000000"/>
                <w:sz w:val="20"/>
                <w:szCs w:val="20"/>
              </w:rPr>
              <w:t xml:space="preserve">Primary key</w:t>
            </w:r>
          </w:p>
        </w:tc>
      </w:tr>
      <w:tr>
        <w:tc>
          <w:tcPr>
            <w:tcW w:type="dxa" w:w="1600"/>
            <w:tcMar>
              <w:top w:type="dxa" w:w="80"/>
              <w:left w:type="dxa" w:w="100"/>
              <w:bottom w:type="dxa" w:w="80"/>
              <w:right w:type="dxa" w:w="100"/>
            </w:tcMar>
          </w:tcPr>
          <w:p>
            <w:r>
              <w:rPr>
                <w:b w:val="false"/>
                <w:bCs w:val="false"/>
                <w:color w:val="000000"/>
                <w:sz w:val="20"/>
                <w:szCs w:val="20"/>
              </w:rPr>
              <w:t xml:space="preserve">PaymentRunID</w:t>
            </w:r>
          </w:p>
        </w:tc>
        <w:tc>
          <w:tcPr>
            <w:tcW w:type="dxa" w:w="1600"/>
            <w:tcMar>
              <w:top w:type="dxa" w:w="80"/>
              <w:left w:type="dxa" w:w="100"/>
              <w:bottom w:type="dxa" w:w="80"/>
              <w:right w:type="dxa" w:w="100"/>
            </w:tcMar>
          </w:tcPr>
          <w:p>
            <w:r>
              <w:rPr>
                <w:b w:val="false"/>
                <w:bCs w:val="false"/>
                <w:color w:val="000000"/>
                <w:sz w:val="20"/>
                <w:szCs w:val="20"/>
              </w:rPr>
              <w:t xml:space="preserve">BIGINT</w:t>
            </w:r>
          </w:p>
        </w:tc>
        <w:tc>
          <w:tcPr>
            <w:tcW w:type="dxa" w:w="6150"/>
            <w:tcMar>
              <w:top w:type="dxa" w:w="80"/>
              <w:left w:type="dxa" w:w="100"/>
              <w:bottom w:type="dxa" w:w="80"/>
              <w:right w:type="dxa" w:w="100"/>
            </w:tcMar>
          </w:tcPr>
          <w:p>
            <w:r>
              <w:rPr>
                <w:b w:val="false"/>
                <w:bCs w:val="false"/>
                <w:color w:val="000000"/>
                <w:sz w:val="20"/>
                <w:szCs w:val="20"/>
              </w:rPr>
              <w:t xml:space="preserve">SimplePay pay run ID</w:t>
            </w:r>
          </w:p>
        </w:tc>
      </w:tr>
      <w:tr>
        <w:tc>
          <w:tcPr>
            <w:tcW w:type="dxa" w:w="1600"/>
            <w:tcMar>
              <w:top w:type="dxa" w:w="80"/>
              <w:left w:type="dxa" w:w="100"/>
              <w:bottom w:type="dxa" w:w="80"/>
              <w:right w:type="dxa" w:w="100"/>
            </w:tcMar>
          </w:tcPr>
          <w:p>
            <w:r>
              <w:rPr>
                <w:b w:val="false"/>
                <w:bCs w:val="false"/>
                <w:color w:val="000000"/>
                <w:sz w:val="20"/>
                <w:szCs w:val="20"/>
              </w:rPr>
              <w:t xml:space="preserve">PeriodEndDate</w:t>
            </w:r>
          </w:p>
        </w:tc>
        <w:tc>
          <w:tcPr>
            <w:tcW w:type="dxa" w:w="1600"/>
            <w:tcMar>
              <w:top w:type="dxa" w:w="80"/>
              <w:left w:type="dxa" w:w="100"/>
              <w:bottom w:type="dxa" w:w="80"/>
              <w:right w:type="dxa" w:w="100"/>
            </w:tcMar>
          </w:tcPr>
          <w:p>
            <w:r>
              <w:rPr>
                <w:b w:val="false"/>
                <w:bCs w:val="false"/>
                <w:color w:val="000000"/>
                <w:sz w:val="20"/>
                <w:szCs w:val="20"/>
              </w:rPr>
              <w:t xml:space="preserve">DATE</w:t>
            </w:r>
          </w:p>
        </w:tc>
        <w:tc>
          <w:tcPr>
            <w:tcW w:type="dxa" w:w="6150"/>
            <w:tcMar>
              <w:top w:type="dxa" w:w="80"/>
              <w:left w:type="dxa" w:w="100"/>
              <w:bottom w:type="dxa" w:w="80"/>
              <w:right w:type="dxa" w:w="100"/>
            </w:tcMar>
          </w:tcPr>
          <w:p>
            <w:r>
              <w:rPr>
                <w:b w:val="false"/>
                <w:bCs w:val="false"/>
                <w:color w:val="000000"/>
                <w:sz w:val="20"/>
                <w:szCs w:val="20"/>
              </w:rPr>
              <w:t xml:space="preserve">Pay period end date</w:t>
            </w:r>
          </w:p>
        </w:tc>
      </w:tr>
      <w:tr>
        <w:tc>
          <w:tcPr>
            <w:tcW w:type="dxa" w:w="1600"/>
            <w:tcMar>
              <w:top w:type="dxa" w:w="80"/>
              <w:left w:type="dxa" w:w="100"/>
              <w:bottom w:type="dxa" w:w="80"/>
              <w:right w:type="dxa" w:w="100"/>
            </w:tcMar>
          </w:tcPr>
          <w:p>
            <w:r>
              <w:rPr>
                <w:b w:val="false"/>
                <w:bCs w:val="false"/>
                <w:color w:val="000000"/>
                <w:sz w:val="20"/>
                <w:szCs w:val="20"/>
              </w:rPr>
              <w:t xml:space="preserve">SimplePayEmployeeID</w:t>
            </w:r>
          </w:p>
        </w:tc>
        <w:tc>
          <w:tcPr>
            <w:tcW w:type="dxa" w:w="1600"/>
            <w:tcMar>
              <w:top w:type="dxa" w:w="80"/>
              <w:left w:type="dxa" w:w="100"/>
              <w:bottom w:type="dxa" w:w="80"/>
              <w:right w:type="dxa" w:w="100"/>
            </w:tcMar>
          </w:tcPr>
          <w:p>
            <w:r>
              <w:rPr>
                <w:b w:val="false"/>
                <w:bCs w:val="false"/>
                <w:color w:val="000000"/>
                <w:sz w:val="20"/>
                <w:szCs w:val="20"/>
              </w:rPr>
              <w:t xml:space="preserve">BIGINT</w:t>
            </w:r>
          </w:p>
        </w:tc>
        <w:tc>
          <w:tcPr>
            <w:tcW w:type="dxa" w:w="6150"/>
            <w:tcMar>
              <w:top w:type="dxa" w:w="80"/>
              <w:left w:type="dxa" w:w="100"/>
              <w:bottom w:type="dxa" w:w="80"/>
              <w:right w:type="dxa" w:w="100"/>
            </w:tcMar>
          </w:tcPr>
          <w:p>
            <w:r>
              <w:rPr>
                <w:b w:val="false"/>
                <w:bCs w:val="false"/>
                <w:color w:val="000000"/>
                <w:sz w:val="20"/>
                <w:szCs w:val="20"/>
              </w:rPr>
              <w:t xml:space="preserve">SimplePay's internal employee ID</w:t>
            </w:r>
          </w:p>
        </w:tc>
      </w:tr>
      <w:tr>
        <w:tc>
          <w:tcPr>
            <w:tcW w:type="dxa" w:w="1600"/>
            <w:tcMar>
              <w:top w:type="dxa" w:w="80"/>
              <w:left w:type="dxa" w:w="100"/>
              <w:bottom w:type="dxa" w:w="80"/>
              <w:right w:type="dxa" w:w="100"/>
            </w:tcMar>
          </w:tcPr>
          <w:p>
            <w:r>
              <w:rPr>
                <w:b w:val="false"/>
                <w:bCs w:val="false"/>
                <w:color w:val="000000"/>
                <w:sz w:val="20"/>
                <w:szCs w:val="20"/>
              </w:rPr>
              <w:t xml:space="preserve">IDNumber</w:t>
            </w:r>
          </w:p>
        </w:tc>
        <w:tc>
          <w:tcPr>
            <w:tcW w:type="dxa" w:w="1600"/>
            <w:tcMar>
              <w:top w:type="dxa" w:w="80"/>
              <w:left w:type="dxa" w:w="100"/>
              <w:bottom w:type="dxa" w:w="80"/>
              <w:right w:type="dxa" w:w="100"/>
            </w:tcMar>
          </w:tcPr>
          <w:p>
            <w:r>
              <w:rPr>
                <w:b w:val="false"/>
                <w:bCs w:val="false"/>
                <w:color w:val="000000"/>
                <w:sz w:val="20"/>
                <w:szCs w:val="20"/>
              </w:rPr>
              <w:t xml:space="preserve">NVARCHAR(20)</w:t>
            </w:r>
          </w:p>
        </w:tc>
        <w:tc>
          <w:tcPr>
            <w:tcW w:type="dxa" w:w="6150"/>
            <w:tcMar>
              <w:top w:type="dxa" w:w="80"/>
              <w:left w:type="dxa" w:w="100"/>
              <w:bottom w:type="dxa" w:w="80"/>
              <w:right w:type="dxa" w:w="100"/>
            </w:tcMar>
          </w:tcPr>
          <w:p>
            <w:r>
              <w:rPr>
                <w:b w:val="false"/>
                <w:bCs w:val="false"/>
                <w:color w:val="000000"/>
                <w:sz w:val="20"/>
                <w:szCs w:val="20"/>
              </w:rPr>
              <w:t xml:space="preserve">Canonical join key back to Employees.IDNumber</w:t>
            </w:r>
          </w:p>
        </w:tc>
      </w:tr>
      <w:tr>
        <w:tc>
          <w:tcPr>
            <w:tcW w:type="dxa" w:w="1600"/>
            <w:tcMar>
              <w:top w:type="dxa" w:w="80"/>
              <w:left w:type="dxa" w:w="100"/>
              <w:bottom w:type="dxa" w:w="80"/>
              <w:right w:type="dxa" w:w="100"/>
            </w:tcMar>
          </w:tcPr>
          <w:p>
            <w:r>
              <w:rPr>
                <w:b w:val="false"/>
                <w:bCs w:val="false"/>
                <w:color w:val="000000"/>
                <w:sz w:val="20"/>
                <w:szCs w:val="20"/>
              </w:rPr>
              <w:t xml:space="preserve">FirstName / LastName</w:t>
            </w:r>
          </w:p>
        </w:tc>
        <w:tc>
          <w:tcPr>
            <w:tcW w:type="dxa" w:w="1600"/>
            <w:tcMar>
              <w:top w:type="dxa" w:w="80"/>
              <w:left w:type="dxa" w:w="100"/>
              <w:bottom w:type="dxa" w:w="80"/>
              <w:right w:type="dxa" w:w="100"/>
            </w:tcMar>
          </w:tcPr>
          <w:p>
            <w:r>
              <w:rPr>
                <w:b w:val="false"/>
                <w:bCs w:val="false"/>
                <w:color w:val="000000"/>
                <w:sz w:val="20"/>
                <w:szCs w:val="20"/>
              </w:rPr>
              <w:t xml:space="preserve">NVARCHAR(100)</w:t>
            </w:r>
          </w:p>
        </w:tc>
        <w:tc>
          <w:tcPr>
            <w:tcW w:type="dxa" w:w="6150"/>
            <w:tcMar>
              <w:top w:type="dxa" w:w="80"/>
              <w:left w:type="dxa" w:w="100"/>
              <w:bottom w:type="dxa" w:w="80"/>
              <w:right w:type="dxa" w:w="100"/>
            </w:tcMar>
          </w:tcPr>
          <w:p>
            <w:r>
              <w:rPr>
                <w:b w:val="false"/>
                <w:bCs w:val="false"/>
                <w:color w:val="000000"/>
                <w:sz w:val="20"/>
                <w:szCs w:val="20"/>
              </w:rPr>
              <w:t xml:space="preserve">As returned by SimplePay at sync time</w:t>
            </w:r>
          </w:p>
        </w:tc>
      </w:tr>
      <w:tr>
        <w:tc>
          <w:tcPr>
            <w:tcW w:type="dxa" w:w="1600"/>
            <w:tcMar>
              <w:top w:type="dxa" w:w="80"/>
              <w:left w:type="dxa" w:w="100"/>
              <w:bottom w:type="dxa" w:w="80"/>
              <w:right w:type="dxa" w:w="100"/>
            </w:tcMar>
          </w:tcPr>
          <w:p>
            <w:r>
              <w:rPr>
                <w:b w:val="false"/>
                <w:bCs w:val="false"/>
                <w:color w:val="000000"/>
                <w:sz w:val="20"/>
                <w:szCs w:val="20"/>
              </w:rPr>
              <w:t xml:space="preserve">PayslipID</w:t>
            </w:r>
          </w:p>
        </w:tc>
        <w:tc>
          <w:tcPr>
            <w:tcW w:type="dxa" w:w="1600"/>
            <w:tcMar>
              <w:top w:type="dxa" w:w="80"/>
              <w:left w:type="dxa" w:w="100"/>
              <w:bottom w:type="dxa" w:w="80"/>
              <w:right w:type="dxa" w:w="100"/>
            </w:tcMar>
          </w:tcPr>
          <w:p>
            <w:r>
              <w:rPr>
                <w:b w:val="false"/>
                <w:bCs w:val="false"/>
                <w:color w:val="000000"/>
                <w:sz w:val="20"/>
                <w:szCs w:val="20"/>
              </w:rPr>
              <w:t xml:space="preserve">BIGINT</w:t>
            </w:r>
          </w:p>
        </w:tc>
        <w:tc>
          <w:tcPr>
            <w:tcW w:type="dxa" w:w="6150"/>
            <w:tcMar>
              <w:top w:type="dxa" w:w="80"/>
              <w:left w:type="dxa" w:w="100"/>
              <w:bottom w:type="dxa" w:w="80"/>
              <w:right w:type="dxa" w:w="100"/>
            </w:tcMar>
          </w:tcPr>
          <w:p>
            <w:r>
              <w:rPr>
                <w:b w:val="false"/>
                <w:bCs w:val="false"/>
                <w:color w:val="000000"/>
                <w:sz w:val="20"/>
                <w:szCs w:val="20"/>
              </w:rPr>
              <w:t xml:space="preserve">SimplePay payslip ID</w:t>
            </w:r>
          </w:p>
        </w:tc>
      </w:tr>
      <w:tr>
        <w:tc>
          <w:tcPr>
            <w:tcW w:type="dxa" w:w="1600"/>
            <w:tcMar>
              <w:top w:type="dxa" w:w="80"/>
              <w:left w:type="dxa" w:w="100"/>
              <w:bottom w:type="dxa" w:w="80"/>
              <w:right w:type="dxa" w:w="100"/>
            </w:tcMar>
          </w:tcPr>
          <w:p>
            <w:r>
              <w:rPr>
                <w:b w:val="false"/>
                <w:bCs w:val="false"/>
                <w:color w:val="000000"/>
                <w:sz w:val="20"/>
                <w:szCs w:val="20"/>
              </w:rPr>
              <w:t xml:space="preserve">NettPay</w:t>
            </w:r>
          </w:p>
        </w:tc>
        <w:tc>
          <w:tcPr>
            <w:tcW w:type="dxa" w:w="1600"/>
            <w:tcMar>
              <w:top w:type="dxa" w:w="80"/>
              <w:left w:type="dxa" w:w="100"/>
              <w:bottom w:type="dxa" w:w="80"/>
              <w:right w:type="dxa" w:w="100"/>
            </w:tcMar>
          </w:tcPr>
          <w:p>
            <w:r>
              <w:rPr>
                <w:b w:val="false"/>
                <w:bCs w:val="false"/>
                <w:color w:val="000000"/>
                <w:sz w:val="20"/>
                <w:szCs w:val="20"/>
              </w:rPr>
              <w:t xml:space="preserve">DECIMAL(12,2)</w:t>
            </w:r>
          </w:p>
        </w:tc>
        <w:tc>
          <w:tcPr>
            <w:tcW w:type="dxa" w:w="6150"/>
            <w:tcMar>
              <w:top w:type="dxa" w:w="80"/>
              <w:left w:type="dxa" w:w="100"/>
              <w:bottom w:type="dxa" w:w="80"/>
              <w:right w:type="dxa" w:w="100"/>
            </w:tcMar>
          </w:tcPr>
          <w:p>
            <w:r>
              <w:rPr>
                <w:b w:val="false"/>
                <w:bCs w:val="false"/>
                <w:color w:val="000000"/>
                <w:sz w:val="20"/>
                <w:szCs w:val="20"/>
              </w:rPr>
              <w:t xml:space="preserve"/>
            </w:r>
          </w:p>
        </w:tc>
      </w:tr>
      <w:tr>
        <w:tc>
          <w:tcPr>
            <w:tcW w:type="dxa" w:w="1600"/>
            <w:tcMar>
              <w:top w:type="dxa" w:w="80"/>
              <w:left w:type="dxa" w:w="100"/>
              <w:bottom w:type="dxa" w:w="80"/>
              <w:right w:type="dxa" w:w="100"/>
            </w:tcMar>
          </w:tcPr>
          <w:p>
            <w:r>
              <w:rPr>
                <w:b w:val="false"/>
                <w:bCs w:val="false"/>
                <w:color w:val="000000"/>
                <w:sz w:val="20"/>
                <w:szCs w:val="20"/>
              </w:rPr>
              <w:t xml:space="preserve">IncomeJSON / DeductionJSON / SidelineJSON</w:t>
            </w:r>
          </w:p>
        </w:tc>
        <w:tc>
          <w:tcPr>
            <w:tcW w:type="dxa" w:w="1600"/>
            <w:tcMar>
              <w:top w:type="dxa" w:w="80"/>
              <w:left w:type="dxa" w:w="100"/>
              <w:bottom w:type="dxa" w:w="80"/>
              <w:right w:type="dxa" w:w="100"/>
            </w:tcMar>
          </w:tcPr>
          <w:p>
            <w:r>
              <w:rPr>
                <w:b w:val="false"/>
                <w:bCs w:val="false"/>
                <w:color w:val="000000"/>
                <w:sz w:val="20"/>
                <w:szCs w:val="20"/>
              </w:rPr>
              <w:t xml:space="preserve">NVARCHAR(MAX)</w:t>
            </w:r>
          </w:p>
        </w:tc>
        <w:tc>
          <w:tcPr>
            <w:tcW w:type="dxa" w:w="6150"/>
            <w:tcMar>
              <w:top w:type="dxa" w:w="80"/>
              <w:left w:type="dxa" w:w="100"/>
              <w:bottom w:type="dxa" w:w="80"/>
              <w:right w:type="dxa" w:w="100"/>
            </w:tcMar>
          </w:tcPr>
          <w:p>
            <w:r>
              <w:rPr>
                <w:b w:val="false"/>
                <w:bCs w:val="false"/>
                <w:color w:val="000000"/>
                <w:sz w:val="20"/>
                <w:szCs w:val="20"/>
              </w:rPr>
              <w:t xml:space="preserve">Raw SimplePay line-item arrays, stored as JSON text</w:t>
            </w:r>
          </w:p>
        </w:tc>
      </w:tr>
      <w:tr>
        <w:tc>
          <w:tcPr>
            <w:tcW w:type="dxa" w:w="1600"/>
            <w:tcMar>
              <w:top w:type="dxa" w:w="80"/>
              <w:left w:type="dxa" w:w="100"/>
              <w:bottom w:type="dxa" w:w="80"/>
              <w:right w:type="dxa" w:w="100"/>
            </w:tcMar>
          </w:tcPr>
          <w:p>
            <w:r>
              <w:rPr>
                <w:b w:val="false"/>
                <w:bCs w:val="false"/>
                <w:color w:val="000000"/>
                <w:sz w:val="20"/>
                <w:szCs w:val="20"/>
              </w:rPr>
              <w:t xml:space="preserve">SyncedAt</w:t>
            </w:r>
          </w:p>
        </w:tc>
        <w:tc>
          <w:tcPr>
            <w:tcW w:type="dxa" w:w="1600"/>
            <w:tcMar>
              <w:top w:type="dxa" w:w="80"/>
              <w:left w:type="dxa" w:w="100"/>
              <w:bottom w:type="dxa" w:w="80"/>
              <w:right w:type="dxa" w:w="100"/>
            </w:tcMar>
          </w:tcPr>
          <w:p>
            <w:r>
              <w:rPr>
                <w:b w:val="false"/>
                <w:bCs w:val="false"/>
                <w:color w:val="000000"/>
                <w:sz w:val="20"/>
                <w:szCs w:val="20"/>
              </w:rPr>
              <w:t xml:space="preserve">DATETIME2</w:t>
            </w:r>
          </w:p>
        </w:tc>
        <w:tc>
          <w:tcPr>
            <w:tcW w:type="dxa" w:w="6150"/>
            <w:tcMar>
              <w:top w:type="dxa" w:w="80"/>
              <w:left w:type="dxa" w:w="100"/>
              <w:bottom w:type="dxa" w:w="80"/>
              <w:right w:type="dxa" w:w="100"/>
            </w:tcMar>
          </w:tcPr>
          <w:p>
            <w:r>
              <w:rPr>
                <w:b w:val="false"/>
                <w:bCs w:val="false"/>
                <w:color w:val="000000"/>
                <w:sz w:val="20"/>
                <w:szCs w:val="20"/>
              </w:rPr>
              <w:t xml:space="preserve">Defaults to GETDATE()</w:t>
            </w:r>
          </w:p>
        </w:tc>
      </w:tr>
    </w:tbl>
    <w:p>
      <w:pPr>
        <w:spacing w:after="120"/>
      </w:pPr>
      <w:r>
        <w:t xml:space="preserve"/>
      </w:r>
    </w:p>
    <w:p>
      <w:pPr>
        <w:spacing w:after="120"/>
      </w:pPr>
      <w:r>
        <w:t xml:space="preserve">Indexed on PaymentRunID (IX_PayRunPayslips_PaymentRunID). One row per employee per finalised pay run — rows are never updated once written, since finalised payslip data doesn't change.</w:t>
      </w:r>
    </w:p>
    <w:p>
      <w:pPr>
        <w:pStyle w:val="Heading2"/>
        <w:spacing w:after="150" w:before="300"/>
      </w:pPr>
      <w:r>
        <w:t xml:space="preserve">13.4 New flows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50"/>
      </w:tblGrid>
      <w:tr>
        <w:tc>
          <w:tcPr>
            <w:tcW w:type="dxa" w:w="2600"/>
            <w:shd w:fill="1B2A4A" w:val="clear"/>
            <w:tcMar>
              <w:top w:type="dxa" w:w="80"/>
              <w:left w:type="dxa" w:w="100"/>
              <w:bottom w:type="dxa" w:w="80"/>
              <w:right w:type="dxa" w:w="100"/>
            </w:tcMar>
          </w:tcPr>
          <w:p>
            <w:r>
              <w:rPr>
                <w:b/>
                <w:bCs/>
                <w:color w:val="FFFFFF"/>
                <w:sz w:val="20"/>
                <w:szCs w:val="20"/>
              </w:rPr>
              <w:t xml:space="preserve">Flow name</w:t>
            </w:r>
          </w:p>
        </w:tc>
        <w:tc>
          <w:tcPr>
            <w:tcW w:type="dxa" w:w="1500"/>
            <w:shd w:fill="1B2A4A" w:val="clear"/>
            <w:tcMar>
              <w:top w:type="dxa" w:w="80"/>
              <w:left w:type="dxa" w:w="100"/>
              <w:bottom w:type="dxa" w:w="80"/>
              <w:right w:type="dxa" w:w="100"/>
            </w:tcMar>
          </w:tcPr>
          <w:p>
            <w:r>
              <w:rPr>
                <w:b/>
                <w:bCs/>
                <w:color w:val="FFFFFF"/>
                <w:sz w:val="20"/>
                <w:szCs w:val="20"/>
              </w:rPr>
              <w:t xml:space="preserve">Trigger</w:t>
            </w:r>
          </w:p>
        </w:tc>
        <w:tc>
          <w:tcPr>
            <w:tcW w:type="dxa" w:w="5250"/>
            <w:shd w:fill="1B2A4A" w:val="clear"/>
            <w:tcMar>
              <w:top w:type="dxa" w:w="80"/>
              <w:left w:type="dxa" w:w="100"/>
              <w:bottom w:type="dxa" w:w="80"/>
              <w:right w:type="dxa" w:w="100"/>
            </w:tcMar>
          </w:tcPr>
          <w:p>
            <w:r>
              <w:rPr>
                <w:b/>
                <w:bCs/>
                <w:color w:val="FFFFFF"/>
                <w:sz w:val="20"/>
                <w:szCs w:val="20"/>
              </w:rPr>
              <w:t xml:space="preserve">Purpose</w:t>
            </w:r>
          </w:p>
        </w:tc>
      </w:tr>
      <w:tr>
        <w:tc>
          <w:tcPr>
            <w:tcW w:type="dxa" w:w="2600"/>
            <w:tcMar>
              <w:top w:type="dxa" w:w="80"/>
              <w:left w:type="dxa" w:w="100"/>
              <w:bottom w:type="dxa" w:w="80"/>
              <w:right w:type="dxa" w:w="100"/>
            </w:tcMar>
          </w:tcPr>
          <w:p>
            <w:r>
              <w:rPr>
                <w:b w:val="false"/>
                <w:bCs w:val="false"/>
                <w:color w:val="000000"/>
                <w:sz w:val="20"/>
                <w:szCs w:val="20"/>
              </w:rPr>
              <w:t xml:space="preserve">List Pay Runs (SimplePay)</w:t>
            </w:r>
          </w:p>
        </w:tc>
        <w:tc>
          <w:tcPr>
            <w:tcW w:type="dxa" w:w="1500"/>
            <w:tcMar>
              <w:top w:type="dxa" w:w="80"/>
              <w:left w:type="dxa" w:w="100"/>
              <w:bottom w:type="dxa" w:w="80"/>
              <w:right w:type="dxa" w:w="100"/>
            </w:tcMar>
          </w:tcPr>
          <w:p>
            <w:r>
              <w:rPr>
                <w:b w:val="false"/>
                <w:bCs w:val="false"/>
                <w:color w:val="000000"/>
                <w:sz w:val="20"/>
                <w:szCs w:val="20"/>
              </w:rPr>
              <w:t xml:space="preserve">HTTP (manual)</w:t>
            </w:r>
          </w:p>
        </w:tc>
        <w:tc>
          <w:tcPr>
            <w:tcW w:type="dxa" w:w="5250"/>
            <w:tcMar>
              <w:top w:type="dxa" w:w="80"/>
              <w:left w:type="dxa" w:w="100"/>
              <w:bottom w:type="dxa" w:w="80"/>
              <w:right w:type="dxa" w:w="100"/>
            </w:tcMar>
          </w:tcPr>
          <w:p>
            <w:r>
              <w:rPr>
                <w:b w:val="false"/>
                <w:bCs w:val="false"/>
                <w:color w:val="000000"/>
                <w:sz w:val="20"/>
                <w:szCs w:val="20"/>
              </w:rPr>
              <w:t xml:space="preserve">Straight passthrough of SimplePay's payment_runs list — no SQL.</w:t>
            </w:r>
          </w:p>
        </w:tc>
      </w:tr>
      <w:tr>
        <w:tc>
          <w:tcPr>
            <w:tcW w:type="dxa" w:w="2600"/>
            <w:tcMar>
              <w:top w:type="dxa" w:w="80"/>
              <w:left w:type="dxa" w:w="100"/>
              <w:bottom w:type="dxa" w:w="80"/>
              <w:right w:type="dxa" w:w="100"/>
            </w:tcMar>
          </w:tcPr>
          <w:p>
            <w:r>
              <w:rPr>
                <w:b w:val="false"/>
                <w:bCs w:val="false"/>
                <w:color w:val="000000"/>
                <w:sz w:val="20"/>
                <w:szCs w:val="20"/>
              </w:rPr>
              <w:t xml:space="preserve">Sync New Pay Runs (SimplePay)</w:t>
            </w:r>
          </w:p>
        </w:tc>
        <w:tc>
          <w:tcPr>
            <w:tcW w:type="dxa" w:w="1500"/>
            <w:tcMar>
              <w:top w:type="dxa" w:w="80"/>
              <w:left w:type="dxa" w:w="100"/>
              <w:bottom w:type="dxa" w:w="80"/>
              <w:right w:type="dxa" w:w="100"/>
            </w:tcMar>
          </w:tcPr>
          <w:p>
            <w:r>
              <w:rPr>
                <w:b w:val="false"/>
                <w:bCs w:val="false"/>
                <w:color w:val="000000"/>
                <w:sz w:val="20"/>
                <w:szCs w:val="20"/>
              </w:rPr>
              <w:t xml:space="preserve">Recurrence (daily)</w:t>
            </w:r>
          </w:p>
        </w:tc>
        <w:tc>
          <w:tcPr>
            <w:tcW w:type="dxa" w:w="5250"/>
            <w:tcMar>
              <w:top w:type="dxa" w:w="80"/>
              <w:left w:type="dxa" w:w="100"/>
              <w:bottom w:type="dxa" w:w="80"/>
              <w:right w:type="dxa" w:w="100"/>
            </w:tcMar>
          </w:tcPr>
          <w:p>
            <w:r>
              <w:rPr>
                <w:b w:val="false"/>
                <w:bCs w:val="false"/>
                <w:color w:val="000000"/>
                <w:sz w:val="20"/>
                <w:szCs w:val="20"/>
              </w:rPr>
              <w:t xml:space="preserve">Background job. Detects pay run IDs not yet in PayRunPayslips, pulls full employee+payslip data from SimplePay only for those, and bulk-inserts. Emails on failure.</w:t>
            </w:r>
          </w:p>
        </w:tc>
      </w:tr>
      <w:tr>
        <w:tc>
          <w:tcPr>
            <w:tcW w:type="dxa" w:w="2600"/>
            <w:tcMar>
              <w:top w:type="dxa" w:w="80"/>
              <w:left w:type="dxa" w:w="100"/>
              <w:bottom w:type="dxa" w:w="80"/>
              <w:right w:type="dxa" w:w="100"/>
            </w:tcMar>
          </w:tcPr>
          <w:p>
            <w:r>
              <w:rPr>
                <w:b w:val="false"/>
                <w:bCs w:val="false"/>
                <w:color w:val="000000"/>
                <w:sz w:val="20"/>
                <w:szCs w:val="20"/>
              </w:rPr>
              <w:t xml:space="preserve">Get Pay Run Detail (Cached)</w:t>
            </w:r>
          </w:p>
        </w:tc>
        <w:tc>
          <w:tcPr>
            <w:tcW w:type="dxa" w:w="1500"/>
            <w:tcMar>
              <w:top w:type="dxa" w:w="80"/>
              <w:left w:type="dxa" w:w="100"/>
              <w:bottom w:type="dxa" w:w="80"/>
              <w:right w:type="dxa" w:w="100"/>
            </w:tcMar>
          </w:tcPr>
          <w:p>
            <w:r>
              <w:rPr>
                <w:b w:val="false"/>
                <w:bCs w:val="false"/>
                <w:color w:val="000000"/>
                <w:sz w:val="20"/>
                <w:szCs w:val="20"/>
              </w:rPr>
              <w:t xml:space="preserve">HTTP (manual)</w:t>
            </w:r>
          </w:p>
        </w:tc>
        <w:tc>
          <w:tcPr>
            <w:tcW w:type="dxa" w:w="5250"/>
            <w:tcMar>
              <w:top w:type="dxa" w:w="80"/>
              <w:left w:type="dxa" w:w="100"/>
              <w:bottom w:type="dxa" w:w="80"/>
              <w:right w:type="dxa" w:w="100"/>
            </w:tcMar>
          </w:tcPr>
          <w:p>
            <w:r>
              <w:rPr>
                <w:b w:val="false"/>
                <w:bCs w:val="false"/>
                <w:color w:val="000000"/>
                <w:sz w:val="20"/>
                <w:szCs w:val="20"/>
              </w:rPr>
              <w:t xml:space="preserve">Fast SQL read of PayRunPayslips for a given payment_run_id. Powers the Pay Runs tab.</w:t>
            </w:r>
          </w:p>
        </w:tc>
      </w:tr>
      <w:tr>
        <w:tc>
          <w:tcPr>
            <w:tcW w:type="dxa" w:w="2600"/>
            <w:tcMar>
              <w:top w:type="dxa" w:w="80"/>
              <w:left w:type="dxa" w:w="100"/>
              <w:bottom w:type="dxa" w:w="80"/>
              <w:right w:type="dxa" w:w="100"/>
            </w:tcMar>
          </w:tcPr>
          <w:p>
            <w:r>
              <w:rPr>
                <w:b w:val="false"/>
                <w:bCs w:val="false"/>
                <w:color w:val="000000"/>
                <w:sz w:val="20"/>
                <w:szCs w:val="20"/>
              </w:rPr>
              <w:t xml:space="preserve">Get My Payslips (Self-Service)</w:t>
            </w:r>
          </w:p>
        </w:tc>
        <w:tc>
          <w:tcPr>
            <w:tcW w:type="dxa" w:w="1500"/>
            <w:tcMar>
              <w:top w:type="dxa" w:w="80"/>
              <w:left w:type="dxa" w:w="100"/>
              <w:bottom w:type="dxa" w:w="80"/>
              <w:right w:type="dxa" w:w="100"/>
            </w:tcMar>
          </w:tcPr>
          <w:p>
            <w:r>
              <w:rPr>
                <w:b w:val="false"/>
                <w:bCs w:val="false"/>
                <w:color w:val="000000"/>
                <w:sz w:val="20"/>
                <w:szCs w:val="20"/>
              </w:rPr>
              <w:t xml:space="preserve">HTTP (manual)</w:t>
            </w:r>
          </w:p>
        </w:tc>
        <w:tc>
          <w:tcPr>
            <w:tcW w:type="dxa" w:w="5250"/>
            <w:tcMar>
              <w:top w:type="dxa" w:w="80"/>
              <w:left w:type="dxa" w:w="100"/>
              <w:bottom w:type="dxa" w:w="80"/>
              <w:right w:type="dxa" w:w="100"/>
            </w:tcMar>
          </w:tcPr>
          <w:p>
            <w:r>
              <w:rPr>
                <w:b w:val="false"/>
                <w:bCs w:val="false"/>
                <w:color w:val="000000"/>
                <w:sz w:val="20"/>
                <w:szCs w:val="20"/>
              </w:rPr>
              <w:t xml:space="preserve">Takes an employee email, resolves IDNumber via Employees, returns that employee's own payslip history from PayRunPayslips.</w:t>
            </w:r>
          </w:p>
        </w:tc>
      </w:tr>
      <w:tr>
        <w:tc>
          <w:tcPr>
            <w:tcW w:type="dxa" w:w="2600"/>
            <w:tcMar>
              <w:top w:type="dxa" w:w="80"/>
              <w:left w:type="dxa" w:w="100"/>
              <w:bottom w:type="dxa" w:w="80"/>
              <w:right w:type="dxa" w:w="100"/>
            </w:tcMar>
          </w:tcPr>
          <w:p>
            <w:r>
              <w:rPr>
                <w:b w:val="false"/>
                <w:bCs w:val="false"/>
                <w:color w:val="000000"/>
                <w:sz w:val="20"/>
                <w:szCs w:val="20"/>
              </w:rPr>
              <w:t xml:space="preserve">Get Employee Payslips (HR Admin)</w:t>
            </w:r>
          </w:p>
        </w:tc>
        <w:tc>
          <w:tcPr>
            <w:tcW w:type="dxa" w:w="1500"/>
            <w:tcMar>
              <w:top w:type="dxa" w:w="80"/>
              <w:left w:type="dxa" w:w="100"/>
              <w:bottom w:type="dxa" w:w="80"/>
              <w:right w:type="dxa" w:w="100"/>
            </w:tcMar>
          </w:tcPr>
          <w:p>
            <w:r>
              <w:rPr>
                <w:b w:val="false"/>
                <w:bCs w:val="false"/>
                <w:color w:val="000000"/>
                <w:sz w:val="20"/>
                <w:szCs w:val="20"/>
              </w:rPr>
              <w:t xml:space="preserve">HTTP (manual)</w:t>
            </w:r>
          </w:p>
        </w:tc>
        <w:tc>
          <w:tcPr>
            <w:tcW w:type="dxa" w:w="5250"/>
            <w:tcMar>
              <w:top w:type="dxa" w:w="80"/>
              <w:left w:type="dxa" w:w="100"/>
              <w:bottom w:type="dxa" w:w="80"/>
              <w:right w:type="dxa" w:w="100"/>
            </w:tcMar>
          </w:tcPr>
          <w:p>
            <w:r>
              <w:rPr>
                <w:b w:val="false"/>
                <w:bCs w:val="false"/>
                <w:color w:val="000000"/>
                <w:sz w:val="20"/>
                <w:szCs w:val="20"/>
              </w:rPr>
              <w:t xml:space="preserve">Takes an id_number directly (HR-only, gated by the portal's own module permissions) and returns that employee's payslip history.</w:t>
            </w:r>
          </w:p>
        </w:tc>
      </w:tr>
      <w:tr>
        <w:tc>
          <w:tcPr>
            <w:tcW w:type="dxa" w:w="2600"/>
            <w:tcMar>
              <w:top w:type="dxa" w:w="80"/>
              <w:left w:type="dxa" w:w="100"/>
              <w:bottom w:type="dxa" w:w="80"/>
              <w:right w:type="dxa" w:w="100"/>
            </w:tcMar>
          </w:tcPr>
          <w:p>
            <w:r>
              <w:rPr>
                <w:b w:val="false"/>
                <w:bCs w:val="false"/>
                <w:color w:val="000000"/>
                <w:sz w:val="20"/>
                <w:szCs w:val="20"/>
              </w:rPr>
              <w:t xml:space="preserve">Get Monthly Payroll Report</w:t>
            </w:r>
          </w:p>
        </w:tc>
        <w:tc>
          <w:tcPr>
            <w:tcW w:type="dxa" w:w="1500"/>
            <w:tcMar>
              <w:top w:type="dxa" w:w="80"/>
              <w:left w:type="dxa" w:w="100"/>
              <w:bottom w:type="dxa" w:w="80"/>
              <w:right w:type="dxa" w:w="100"/>
            </w:tcMar>
          </w:tcPr>
          <w:p>
            <w:r>
              <w:rPr>
                <w:b w:val="false"/>
                <w:bCs w:val="false"/>
                <w:color w:val="000000"/>
                <w:sz w:val="20"/>
                <w:szCs w:val="20"/>
              </w:rPr>
              <w:t xml:space="preserve">HTTP (manual)</w:t>
            </w:r>
          </w:p>
        </w:tc>
        <w:tc>
          <w:tcPr>
            <w:tcW w:type="dxa" w:w="5250"/>
            <w:tcMar>
              <w:top w:type="dxa" w:w="80"/>
              <w:left w:type="dxa" w:w="100"/>
              <w:bottom w:type="dxa" w:w="80"/>
              <w:right w:type="dxa" w:w="100"/>
            </w:tcMar>
          </w:tcPr>
          <w:p>
            <w:r>
              <w:rPr>
                <w:b w:val="false"/>
                <w:bCs w:val="false"/>
                <w:color w:val="000000"/>
                <w:sz w:val="20"/>
                <w:szCs w:val="20"/>
              </w:rPr>
              <w:t xml:space="preserve">SQL read of PayRunPayslips for a given payment_run_id, returned with IDNumber included for HR aggregate reporting.</w:t>
            </w:r>
          </w:p>
        </w:tc>
      </w:tr>
      <w:tr>
        <w:tc>
          <w:tcPr>
            <w:tcW w:type="dxa" w:w="2600"/>
            <w:tcMar>
              <w:top w:type="dxa" w:w="80"/>
              <w:left w:type="dxa" w:w="100"/>
              <w:bottom w:type="dxa" w:w="80"/>
              <w:right w:type="dxa" w:w="100"/>
            </w:tcMar>
          </w:tcPr>
          <w:p>
            <w:r>
              <w:rPr>
                <w:b w:val="false"/>
                <w:bCs w:val="false"/>
                <w:color w:val="000000"/>
                <w:sz w:val="20"/>
                <w:szCs w:val="20"/>
              </w:rPr>
              <w:t xml:space="preserve">Get SARS Liability (EMP201)</w:t>
            </w:r>
          </w:p>
        </w:tc>
        <w:tc>
          <w:tcPr>
            <w:tcW w:type="dxa" w:w="1500"/>
            <w:tcMar>
              <w:top w:type="dxa" w:w="80"/>
              <w:left w:type="dxa" w:w="100"/>
              <w:bottom w:type="dxa" w:w="80"/>
              <w:right w:type="dxa" w:w="100"/>
            </w:tcMar>
          </w:tcPr>
          <w:p>
            <w:r>
              <w:rPr>
                <w:b w:val="false"/>
                <w:bCs w:val="false"/>
                <w:color w:val="000000"/>
                <w:sz w:val="20"/>
                <w:szCs w:val="20"/>
              </w:rPr>
              <w:t xml:space="preserve">HTTP (manual)</w:t>
            </w:r>
          </w:p>
        </w:tc>
        <w:tc>
          <w:tcPr>
            <w:tcW w:type="dxa" w:w="5250"/>
            <w:tcMar>
              <w:top w:type="dxa" w:w="80"/>
              <w:left w:type="dxa" w:w="100"/>
              <w:bottom w:type="dxa" w:w="80"/>
              <w:right w:type="dxa" w:w="100"/>
            </w:tcMar>
          </w:tcPr>
          <w:p>
            <w:r>
              <w:rPr>
                <w:b w:val="false"/>
                <w:bCs w:val="false"/>
                <w:color w:val="000000"/>
                <w:sz w:val="20"/>
                <w:szCs w:val="20"/>
              </w:rPr>
              <w:t xml:space="preserve">Calls SimplePay's EMP201 endpoint for a given period_end_date. Returns {available:false, message} gracefully if not yet finalised, rather than erroring.</w:t>
            </w:r>
          </w:p>
        </w:tc>
      </w:tr>
    </w:tbl>
    <w:p>
      <w:pPr>
        <w:pStyle w:val="Heading2"/>
        <w:spacing w:after="150" w:before="300"/>
      </w:pPr>
      <w:r>
        <w:t xml:space="preserve">13.5 Key technical learnings from this build</w:t>
      </w:r>
    </w:p>
    <w:p>
      <w:pPr>
        <w:spacing w:after="120"/>
      </w:pPr>
      <w:r>
        <w:t xml:space="preserve">These extend the Power Automate learnings already captured in this document's earlier sections.</w:t>
      </w:r>
    </w:p>
    <w:p>
      <w:pPr>
        <w:pStyle w:val="ListParagraph"/>
        <w:numPr>
          <w:ilvl w:val="0"/>
          <w:numId w:val="1"/>
        </w:numPr>
        <w:spacing w:after="80"/>
      </w:pPr>
      <w:r>
        <w:t xml:space="preserve">Filter array and Select both compile to the same underlying "Query" action, which does not support nested functions like filter() or first() inside its expression — even though those functions work fine in other contexts (e.g. inside an Append to array variable value). Any lookup requiring "find the matching item inside a nested array" must be built with actual nested Apply to each loops + a Condition, not a declarative Select/Filter.</w:t>
      </w:r>
    </w:p>
    <w:p>
      <w:pPr>
        <w:pStyle w:val="ListParagraph"/>
        <w:numPr>
          <w:ilvl w:val="0"/>
          <w:numId w:val="1"/>
        </w:numPr>
        <w:spacing w:after="80"/>
      </w:pPr>
      <w:r>
        <w:t xml:space="preserve">A SQL query returning zero rows can cause ResultSets.Table1 to come back null rather than an empty array — this broke a Select step on the very first (empty-table) run. Fix: coalesce(body('Execute_a_SQL_query_(V2)')?['ResultSets']?['Table1'], json('[]')). Note createArray() cannot be called with zero arguments to produce an empty array — json('[]') is the reliable way.</w:t>
      </w:r>
    </w:p>
    <w:p>
      <w:pPr>
        <w:pStyle w:val="ListParagraph"/>
        <w:numPr>
          <w:ilvl w:val="0"/>
          <w:numId w:val="1"/>
        </w:numPr>
        <w:spacing w:after="80"/>
      </w:pPr>
      <w:r>
        <w:t xml:space="preserve">Power Automate's HTTP action treats any non-2xx response from the called API as an action failure by default, not just a body to inspect. SimplePay's EMP201 endpoint legitimately returns 404 when a period isn't finalised — this is expected business state, not a system error, and would otherwise crash the whole flow. Fix: two Response actions after the HTTP action, with mutually exclusive Configure run after settings ("is successful" vs "has failed"), so the flow always returns clean JSON either way.</w:t>
      </w:r>
    </w:p>
    <w:p>
      <w:pPr>
        <w:pStyle w:val="ListParagraph"/>
        <w:numPr>
          <w:ilvl w:val="0"/>
          <w:numId w:val="1"/>
        </w:numPr>
        <w:spacing w:after="80"/>
      </w:pPr>
      <w:r>
        <w:t xml:space="preserve">A flow whose trigger is Recurrence (scheduled) cannot contain a Response action at all — Power Automate rejects this at save time with WorkflowUnsupportedRecurrenceTriggerForResponseAction. Background/scheduled flows must end without responding; anything needing a synchronous reply belongs in a separate, manually-triggered flow.</w:t>
      </w:r>
    </w:p>
    <w:p>
      <w:pPr>
        <w:pStyle w:val="ListParagraph"/>
        <w:numPr>
          <w:ilvl w:val="0"/>
          <w:numId w:val="1"/>
        </w:numPr>
        <w:spacing w:after="80"/>
      </w:pPr>
      <w:r>
        <w:t xml:space="preserve">Nested loop actions are auto-named Apply to each, Apply to each 1, Apply to each 2, etc., and do not rename themselves if actions are added/removed during editing. Two separate debugging sessions in this build were caused by an expression referencing a loop name (e.g. Apply_to_each_2) that no longer matched the actual title-bar name — always re-verify nested loop names after any structural edit, not just after reordering.</w:t>
      </w:r>
    </w:p>
    <w:p>
      <w:pPr>
        <w:pStyle w:val="ListParagraph"/>
        <w:numPr>
          <w:ilvl w:val="0"/>
          <w:numId w:val="1"/>
        </w:numPr>
        <w:spacing w:after="80"/>
      </w:pPr>
      <w:r>
        <w:t xml:space="preserve">SimplePay's employees?include=recent_payslips_with_data can return an HTTP 202-style "still recalculating" message body instead of data when its cache is cold. This is documented, expected behaviour — retry after a short wait, not an error condition to handle defensively in the flow.</w:t>
      </w:r>
    </w:p>
    <w:p>
      <w:pPr>
        <w:pStyle w:val="ListParagraph"/>
        <w:numPr>
          <w:ilvl w:val="0"/>
          <w:numId w:val="1"/>
        </w:numPr>
        <w:spacing w:after="80"/>
      </w:pPr>
      <w:r>
        <w:t xml:space="preserve">SimplePay payslip objects (as returned inside recent_payslips_with_data) carry no employee identifier at the payslip level — id_number and the SimplePay employee id only exist on the parent employee object. Any table joining payslips back to a person must capture these fields explicitly during the parent loop, not assume they're present on the payslip itself.</w:t>
      </w:r>
    </w:p>
    <w:p>
      <w:pPr>
        <w:pStyle w:val="Heading2"/>
        <w:spacing w:after="150" w:before="300"/>
      </w:pPr>
      <w:r>
        <w:t xml:space="preserve">13.6 Files delivered this session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350"/>
      </w:tblGrid>
      <w:tr>
        <w:tc>
          <w:tcPr>
            <w:tcW w:type="dxa" w:w="2300"/>
            <w:shd w:fill="1B2A4A" w:val="clear"/>
            <w:tcMar>
              <w:top w:type="dxa" w:w="80"/>
              <w:left w:type="dxa" w:w="100"/>
              <w:bottom w:type="dxa" w:w="80"/>
              <w:right w:type="dxa" w:w="100"/>
            </w:tcMar>
          </w:tcPr>
          <w:p>
            <w:r>
              <w:rPr>
                <w:b/>
                <w:bCs/>
                <w:color w:val="FFFFFF"/>
                <w:sz w:val="20"/>
                <w:szCs w:val="20"/>
              </w:rPr>
              <w:t xml:space="preserve">File</w:t>
            </w:r>
          </w:p>
        </w:tc>
        <w:tc>
          <w:tcPr>
            <w:tcW w:type="dxa" w:w="3700"/>
            <w:shd w:fill="1B2A4A" w:val="clear"/>
            <w:tcMar>
              <w:top w:type="dxa" w:w="80"/>
              <w:left w:type="dxa" w:w="100"/>
              <w:bottom w:type="dxa" w:w="80"/>
              <w:right w:type="dxa" w:w="100"/>
            </w:tcMar>
          </w:tcPr>
          <w:p>
            <w:r>
              <w:rPr>
                <w:b/>
                <w:bCs/>
                <w:color w:val="FFFFFF"/>
                <w:sz w:val="20"/>
                <w:szCs w:val="20"/>
              </w:rPr>
              <w:t xml:space="preserve">Destination</w:t>
            </w:r>
          </w:p>
        </w:tc>
        <w:tc>
          <w:tcPr>
            <w:tcW w:type="dxa" w:w="3350"/>
            <w:shd w:fill="1B2A4A" w:val="clear"/>
            <w:tcMar>
              <w:top w:type="dxa" w:w="80"/>
              <w:left w:type="dxa" w:w="100"/>
              <w:bottom w:type="dxa" w:w="80"/>
              <w:right w:type="dxa" w:w="100"/>
            </w:tcMar>
          </w:tcPr>
          <w:p>
            <w:r>
              <w:rPr>
                <w:b/>
                <w:bCs/>
                <w:color w:val="FFFFFF"/>
                <w:sz w:val="20"/>
                <w:szCs w:val="20"/>
              </w:rPr>
              <w:t xml:space="preserve">Notes</w:t>
            </w:r>
          </w:p>
        </w:tc>
      </w:tr>
      <w:tr>
        <w:tc>
          <w:tcPr>
            <w:tcW w:type="dxa" w:w="2300"/>
            <w:tcMar>
              <w:top w:type="dxa" w:w="80"/>
              <w:left w:type="dxa" w:w="100"/>
              <w:bottom w:type="dxa" w:w="80"/>
              <w:right w:type="dxa" w:w="100"/>
            </w:tcMar>
          </w:tcPr>
          <w:p>
            <w:r>
              <w:rPr>
                <w:b w:val="false"/>
                <w:bCs w:val="false"/>
                <w:color w:val="000000"/>
                <w:sz w:val="20"/>
                <w:szCs w:val="20"/>
              </w:rPr>
              <w:t xml:space="preserve">index.html</w:t>
            </w:r>
          </w:p>
        </w:tc>
        <w:tc>
          <w:tcPr>
            <w:tcW w:type="dxa" w:w="3700"/>
            <w:tcMar>
              <w:top w:type="dxa" w:w="80"/>
              <w:left w:type="dxa" w:w="100"/>
              <w:bottom w:type="dxa" w:w="80"/>
              <w:right w:type="dxa" w:w="100"/>
            </w:tcMar>
          </w:tcPr>
          <w:p>
            <w:r>
              <w:rPr>
                <w:b w:val="false"/>
                <w:bCs w:val="false"/>
                <w:color w:val="000000"/>
                <w:sz w:val="20"/>
                <w:szCs w:val="20"/>
              </w:rPr>
              <w:t xml:space="preserve">hr.trilogybpo.com/payroll/index.html (overwrite)</w:t>
            </w:r>
          </w:p>
        </w:tc>
        <w:tc>
          <w:tcPr>
            <w:tcW w:type="dxa" w:w="3350"/>
            <w:tcMar>
              <w:top w:type="dxa" w:w="80"/>
              <w:left w:type="dxa" w:w="100"/>
              <w:bottom w:type="dxa" w:w="80"/>
              <w:right w:type="dxa" w:w="100"/>
            </w:tcMar>
          </w:tcPr>
          <w:p>
            <w:r>
              <w:rPr>
                <w:b w:val="false"/>
                <w:bCs w:val="false"/>
                <w:color w:val="000000"/>
                <w:sz w:val="20"/>
                <w:szCs w:val="20"/>
              </w:rPr>
              <w:t xml:space="preserve">New tabbed hub: Pay Runs, Payslips, Monthly Report, SARS Report.</w:t>
            </w:r>
          </w:p>
        </w:tc>
      </w:tr>
      <w:tr>
        <w:tc>
          <w:tcPr>
            <w:tcW w:type="dxa" w:w="2300"/>
            <w:tcMar>
              <w:top w:type="dxa" w:w="80"/>
              <w:left w:type="dxa" w:w="100"/>
              <w:bottom w:type="dxa" w:w="80"/>
              <w:right w:type="dxa" w:w="100"/>
            </w:tcMar>
          </w:tcPr>
          <w:p>
            <w:r>
              <w:rPr>
                <w:b w:val="false"/>
                <w:bCs w:val="false"/>
                <w:color w:val="000000"/>
                <w:sz w:val="20"/>
                <w:szCs w:val="20"/>
              </w:rPr>
              <w:t xml:space="preserve">salary-agreements.html</w:t>
            </w:r>
          </w:p>
        </w:tc>
        <w:tc>
          <w:tcPr>
            <w:tcW w:type="dxa" w:w="3700"/>
            <w:tcMar>
              <w:top w:type="dxa" w:w="80"/>
              <w:left w:type="dxa" w:w="100"/>
              <w:bottom w:type="dxa" w:w="80"/>
              <w:right w:type="dxa" w:w="100"/>
            </w:tcMar>
          </w:tcPr>
          <w:p>
            <w:r>
              <w:rPr>
                <w:b w:val="false"/>
                <w:bCs w:val="false"/>
                <w:color w:val="000000"/>
                <w:sz w:val="20"/>
                <w:szCs w:val="20"/>
              </w:rPr>
              <w:t xml:space="preserve">hr.trilogybpo.com/payroll/salary-agreements.html (new file)</w:t>
            </w:r>
          </w:p>
        </w:tc>
        <w:tc>
          <w:tcPr>
            <w:tcW w:type="dxa" w:w="3350"/>
            <w:tcMar>
              <w:top w:type="dxa" w:w="80"/>
              <w:left w:type="dxa" w:w="100"/>
              <w:bottom w:type="dxa" w:w="80"/>
              <w:right w:type="dxa" w:w="100"/>
            </w:tcMar>
          </w:tcPr>
          <w:p>
            <w:r>
              <w:rPr>
                <w:b w:val="false"/>
                <w:bCs w:val="false"/>
                <w:color w:val="000000"/>
                <w:sz w:val="20"/>
                <w:szCs w:val="20"/>
              </w:rPr>
              <w:t xml:space="preserve">Contract-vs-actual comparison, split out unchanged from the previous payroll page.</w:t>
            </w:r>
          </w:p>
        </w:tc>
      </w:tr>
      <w:tr>
        <w:tc>
          <w:tcPr>
            <w:tcW w:type="dxa" w:w="2300"/>
            <w:tcMar>
              <w:top w:type="dxa" w:w="80"/>
              <w:left w:type="dxa" w:w="100"/>
              <w:bottom w:type="dxa" w:w="80"/>
              <w:right w:type="dxa" w:w="100"/>
            </w:tcMar>
          </w:tcPr>
          <w:p>
            <w:r>
              <w:rPr>
                <w:b w:val="false"/>
                <w:bCs w:val="false"/>
                <w:color w:val="000000"/>
                <w:sz w:val="20"/>
                <w:szCs w:val="20"/>
              </w:rPr>
              <w:t xml:space="preserve">portal-index.html</w:t>
            </w:r>
          </w:p>
        </w:tc>
        <w:tc>
          <w:tcPr>
            <w:tcW w:type="dxa" w:w="3700"/>
            <w:tcMar>
              <w:top w:type="dxa" w:w="80"/>
              <w:left w:type="dxa" w:w="100"/>
              <w:bottom w:type="dxa" w:w="80"/>
              <w:right w:type="dxa" w:w="100"/>
            </w:tcMar>
          </w:tcPr>
          <w:p>
            <w:r>
              <w:rPr>
                <w:b w:val="false"/>
                <w:bCs w:val="false"/>
                <w:color w:val="000000"/>
                <w:sz w:val="20"/>
                <w:szCs w:val="20"/>
              </w:rPr>
              <w:t xml:space="preserve">portal.trilogybpo.com/index.html (overwrite)</w:t>
            </w:r>
          </w:p>
        </w:tc>
        <w:tc>
          <w:tcPr>
            <w:tcW w:type="dxa" w:w="3350"/>
            <w:tcMar>
              <w:top w:type="dxa" w:w="80"/>
              <w:left w:type="dxa" w:w="100"/>
              <w:bottom w:type="dxa" w:w="80"/>
              <w:right w:type="dxa" w:w="100"/>
            </w:tcMar>
          </w:tcPr>
          <w:p>
            <w:r>
              <w:rPr>
                <w:b w:val="false"/>
                <w:bCs w:val="false"/>
                <w:color w:val="000000"/>
                <w:sz w:val="20"/>
                <w:szCs w:val="20"/>
              </w:rPr>
              <w:t xml:space="preserve">Fixed the existing "View Payslip" quick action, which previously linked to the HR portal (inaccessible to ordinary employees) and passed a raw employee ID as a URL parameter. Now opens an in-page modal backed by Get My Payslips (Self-Service), resolving identity from the logged-in employee's WorkEmail rather than a client-supplied ID.</w:t>
            </w:r>
          </w:p>
        </w:tc>
      </w:tr>
    </w:tbl>
    <w:p>
      <w:pPr>
        <w:pStyle w:val="Heading2"/>
        <w:spacing w:after="150" w:before="300"/>
      </w:pPr>
      <w:r>
        <w:t xml:space="preserve">13.7 Logo sizing reference</w:t>
      </w:r>
    </w:p>
    <w:p>
      <w:pPr>
        <w:spacing w:after="120"/>
      </w:pPr>
      <w:r>
        <w:t xml:space="preserve">Compiled while reviewing pages during this build. Each logo instance below is sized independently — there is no shared source of truth across the three domains, so changing one does not affect the others.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3200"/>
        <w:gridCol w:w="1550"/>
      </w:tblGrid>
      <w:tr>
        <w:tc>
          <w:tcPr>
            <w:tcW w:type="dxa" w:w="2600"/>
            <w:shd w:fill="1B2A4A" w:val="clear"/>
            <w:tcMar>
              <w:top w:type="dxa" w:w="80"/>
              <w:left w:type="dxa" w:w="100"/>
              <w:bottom w:type="dxa" w:w="80"/>
              <w:right w:type="dxa" w:w="100"/>
            </w:tcMar>
          </w:tcPr>
          <w:p>
            <w:r>
              <w:rPr>
                <w:b/>
                <w:bCs/>
                <w:color w:val="FFFFFF"/>
                <w:sz w:val="20"/>
                <w:szCs w:val="20"/>
              </w:rPr>
              <w:t xml:space="preserve">Domain / page</w:t>
            </w:r>
          </w:p>
        </w:tc>
        <w:tc>
          <w:tcPr>
            <w:tcW w:type="dxa" w:w="2000"/>
            <w:shd w:fill="1B2A4A" w:val="clear"/>
            <w:tcMar>
              <w:top w:type="dxa" w:w="80"/>
              <w:left w:type="dxa" w:w="100"/>
              <w:bottom w:type="dxa" w:w="80"/>
              <w:right w:type="dxa" w:w="100"/>
            </w:tcMar>
          </w:tcPr>
          <w:p>
            <w:r>
              <w:rPr>
                <w:b/>
                <w:bCs/>
                <w:color w:val="FFFFFF"/>
                <w:sz w:val="20"/>
                <w:szCs w:val="20"/>
              </w:rPr>
              <w:t xml:space="preserve">Location</w:t>
            </w:r>
          </w:p>
        </w:tc>
        <w:tc>
          <w:tcPr>
            <w:tcW w:type="dxa" w:w="3200"/>
            <w:shd w:fill="1B2A4A" w:val="clear"/>
            <w:tcMar>
              <w:top w:type="dxa" w:w="80"/>
              <w:left w:type="dxa" w:w="100"/>
              <w:bottom w:type="dxa" w:w="80"/>
              <w:right w:type="dxa" w:w="100"/>
            </w:tcMar>
          </w:tcPr>
          <w:p>
            <w:r>
              <w:rPr>
                <w:b/>
                <w:bCs/>
                <w:color w:val="FFFFFF"/>
                <w:sz w:val="20"/>
                <w:szCs w:val="20"/>
              </w:rPr>
              <w:t xml:space="preserve">Control</w:t>
            </w:r>
          </w:p>
        </w:tc>
        <w:tc>
          <w:tcPr>
            <w:tcW w:type="dxa" w:w="1550"/>
            <w:shd w:fill="1B2A4A" w:val="clear"/>
            <w:tcMar>
              <w:top w:type="dxa" w:w="80"/>
              <w:left w:type="dxa" w:w="100"/>
              <w:bottom w:type="dxa" w:w="80"/>
              <w:right w:type="dxa" w:w="100"/>
            </w:tcMar>
          </w:tcPr>
          <w:p>
            <w:r>
              <w:rPr>
                <w:b/>
                <w:bCs/>
                <w:color w:val="FFFFFF"/>
                <w:sz w:val="20"/>
                <w:szCs w:val="20"/>
              </w:rPr>
              <w:t xml:space="preserve">Current size</w:t>
            </w:r>
          </w:p>
        </w:tc>
      </w:tr>
      <w:tr>
        <w:tc>
          <w:tcPr>
            <w:tcW w:type="dxa" w:w="2600"/>
            <w:tcMar>
              <w:top w:type="dxa" w:w="80"/>
              <w:left w:type="dxa" w:w="100"/>
              <w:bottom w:type="dxa" w:w="80"/>
              <w:right w:type="dxa" w:w="100"/>
            </w:tcMar>
          </w:tcPr>
          <w:p>
            <w:r>
              <w:rPr>
                <w:b w:val="false"/>
                <w:bCs w:val="false"/>
                <w:color w:val="000000"/>
                <w:sz w:val="20"/>
                <w:szCs w:val="20"/>
              </w:rPr>
              <w:t xml:space="preserve">hr.trilogybpo.com (main page)</w:t>
            </w:r>
          </w:p>
        </w:tc>
        <w:tc>
          <w:tcPr>
            <w:tcW w:type="dxa" w:w="2000"/>
            <w:tcMar>
              <w:top w:type="dxa" w:w="80"/>
              <w:left w:type="dxa" w:w="100"/>
              <w:bottom w:type="dxa" w:w="80"/>
              <w:right w:type="dxa" w:w="100"/>
            </w:tcMar>
          </w:tcPr>
          <w:p>
            <w:r>
              <w:rPr>
                <w:b w:val="false"/>
                <w:bCs w:val="false"/>
                <w:color w:val="000000"/>
                <w:sz w:val="20"/>
                <w:szCs w:val="20"/>
              </w:rPr>
              <w:t xml:space="preserve">Login gate</w:t>
            </w:r>
          </w:p>
        </w:tc>
        <w:tc>
          <w:tcPr>
            <w:tcW w:type="dxa" w:w="3200"/>
            <w:tcMar>
              <w:top w:type="dxa" w:w="80"/>
              <w:left w:type="dxa" w:w="100"/>
              <w:bottom w:type="dxa" w:w="80"/>
              <w:right w:type="dxa" w:w="100"/>
            </w:tcMar>
          </w:tcPr>
          <w:p>
            <w:r>
              <w:rPr>
                <w:b w:val="false"/>
                <w:bCs w:val="false"/>
                <w:color w:val="000000"/>
                <w:sz w:val="20"/>
                <w:szCs w:val="20"/>
              </w:rPr>
              <w:t xml:space="preserve">Inline style on the &lt;img&gt; tag itself (not a class)</w:t>
            </w:r>
          </w:p>
        </w:tc>
        <w:tc>
          <w:tcPr>
            <w:tcW w:type="dxa" w:w="1550"/>
            <w:tcMar>
              <w:top w:type="dxa" w:w="80"/>
              <w:left w:type="dxa" w:w="100"/>
              <w:bottom w:type="dxa" w:w="80"/>
              <w:right w:type="dxa" w:w="100"/>
            </w:tcMar>
          </w:tcPr>
          <w:p>
            <w:r>
              <w:rPr>
                <w:b w:val="false"/>
                <w:bCs w:val="false"/>
                <w:color w:val="000000"/>
                <w:sz w:val="20"/>
                <w:szCs w:val="20"/>
              </w:rPr>
              <w:t xml:space="preserve">36px</w:t>
            </w:r>
          </w:p>
        </w:tc>
      </w:tr>
      <w:tr>
        <w:tc>
          <w:tcPr>
            <w:tcW w:type="dxa" w:w="2600"/>
            <w:tcMar>
              <w:top w:type="dxa" w:w="80"/>
              <w:left w:type="dxa" w:w="100"/>
              <w:bottom w:type="dxa" w:w="80"/>
              <w:right w:type="dxa" w:w="100"/>
            </w:tcMar>
          </w:tcPr>
          <w:p>
            <w:r>
              <w:rPr>
                <w:b w:val="false"/>
                <w:bCs w:val="false"/>
                <w:color w:val="000000"/>
                <w:sz w:val="20"/>
                <w:szCs w:val="20"/>
              </w:rPr>
              <w:t xml:space="preserve">hr.trilogybpo.com (main page)</w:t>
            </w:r>
          </w:p>
        </w:tc>
        <w:tc>
          <w:tcPr>
            <w:tcW w:type="dxa" w:w="2000"/>
            <w:tcMar>
              <w:top w:type="dxa" w:w="80"/>
              <w:left w:type="dxa" w:w="100"/>
              <w:bottom w:type="dxa" w:w="80"/>
              <w:right w:type="dxa" w:w="100"/>
            </w:tcMar>
          </w:tcPr>
          <w:p>
            <w:r>
              <w:rPr>
                <w:b w:val="false"/>
                <w:bCs w:val="false"/>
                <w:color w:val="000000"/>
                <w:sz w:val="20"/>
                <w:szCs w:val="20"/>
              </w:rPr>
              <w:t xml:space="preserve">Top nav bar</w:t>
            </w:r>
          </w:p>
        </w:tc>
        <w:tc>
          <w:tcPr>
            <w:tcW w:type="dxa" w:w="3200"/>
            <w:tcMar>
              <w:top w:type="dxa" w:w="80"/>
              <w:left w:type="dxa" w:w="100"/>
              <w:bottom w:type="dxa" w:w="80"/>
              <w:right w:type="dxa" w:w="100"/>
            </w:tcMar>
          </w:tcPr>
          <w:p>
            <w:r>
              <w:rPr>
                <w:b w:val="false"/>
                <w:bCs w:val="false"/>
                <w:color w:val="000000"/>
                <w:sz w:val="20"/>
                <w:szCs w:val="20"/>
              </w:rPr>
              <w:t xml:space="preserve">.nav-logo class</w:t>
            </w:r>
          </w:p>
        </w:tc>
        <w:tc>
          <w:tcPr>
            <w:tcW w:type="dxa" w:w="1550"/>
            <w:tcMar>
              <w:top w:type="dxa" w:w="80"/>
              <w:left w:type="dxa" w:w="100"/>
              <w:bottom w:type="dxa" w:w="80"/>
              <w:right w:type="dxa" w:w="100"/>
            </w:tcMar>
          </w:tcPr>
          <w:p>
            <w:r>
              <w:rPr>
                <w:b w:val="false"/>
                <w:bCs w:val="false"/>
                <w:color w:val="000000"/>
                <w:sz w:val="20"/>
                <w:szCs w:val="20"/>
              </w:rPr>
              <w:t xml:space="preserve">30px</w:t>
            </w:r>
          </w:p>
        </w:tc>
      </w:tr>
      <w:tr>
        <w:tc>
          <w:tcPr>
            <w:tcW w:type="dxa" w:w="2600"/>
            <w:tcMar>
              <w:top w:type="dxa" w:w="80"/>
              <w:left w:type="dxa" w:w="100"/>
              <w:bottom w:type="dxa" w:w="80"/>
              <w:right w:type="dxa" w:w="100"/>
            </w:tcMar>
          </w:tcPr>
          <w:p>
            <w:r>
              <w:rPr>
                <w:b w:val="false"/>
                <w:bCs w:val="false"/>
                <w:color w:val="000000"/>
                <w:sz w:val="20"/>
                <w:szCs w:val="20"/>
              </w:rPr>
              <w:t xml:space="preserve">hr.trilogybpo.com (main page)</w:t>
            </w:r>
          </w:p>
        </w:tc>
        <w:tc>
          <w:tcPr>
            <w:tcW w:type="dxa" w:w="2000"/>
            <w:tcMar>
              <w:top w:type="dxa" w:w="80"/>
              <w:left w:type="dxa" w:w="100"/>
              <w:bottom w:type="dxa" w:w="80"/>
              <w:right w:type="dxa" w:w="100"/>
            </w:tcMar>
          </w:tcPr>
          <w:p>
            <w:r>
              <w:rPr>
                <w:b w:val="false"/>
                <w:bCs w:val="false"/>
                <w:color w:val="000000"/>
                <w:sz w:val="20"/>
                <w:szCs w:val="20"/>
              </w:rPr>
              <w:t xml:space="preserve">Footer</w:t>
            </w:r>
          </w:p>
        </w:tc>
        <w:tc>
          <w:tcPr>
            <w:tcW w:type="dxa" w:w="3200"/>
            <w:tcMar>
              <w:top w:type="dxa" w:w="80"/>
              <w:left w:type="dxa" w:w="100"/>
              <w:bottom w:type="dxa" w:w="80"/>
              <w:right w:type="dxa" w:w="100"/>
            </w:tcMar>
          </w:tcPr>
          <w:p>
            <w:r>
              <w:rPr>
                <w:b w:val="false"/>
                <w:bCs w:val="false"/>
                <w:color w:val="000000"/>
                <w:sz w:val="20"/>
                <w:szCs w:val="20"/>
              </w:rPr>
              <w:t xml:space="preserve">.footer-logo class — uses trilogy-logo-dark.png, a separate file</w:t>
            </w:r>
          </w:p>
        </w:tc>
        <w:tc>
          <w:tcPr>
            <w:tcW w:type="dxa" w:w="1550"/>
            <w:tcMar>
              <w:top w:type="dxa" w:w="80"/>
              <w:left w:type="dxa" w:w="100"/>
              <w:bottom w:type="dxa" w:w="80"/>
              <w:right w:type="dxa" w:w="100"/>
            </w:tcMar>
          </w:tcPr>
          <w:p>
            <w:r>
              <w:rPr>
                <w:b w:val="false"/>
                <w:bCs w:val="false"/>
                <w:color w:val="000000"/>
                <w:sz w:val="20"/>
                <w:szCs w:val="20"/>
              </w:rPr>
              <w:t xml:space="preserve">20px</w:t>
            </w:r>
          </w:p>
        </w:tc>
      </w:tr>
      <w:tr>
        <w:tc>
          <w:tcPr>
            <w:tcW w:type="dxa" w:w="2600"/>
            <w:tcMar>
              <w:top w:type="dxa" w:w="80"/>
              <w:left w:type="dxa" w:w="100"/>
              <w:bottom w:type="dxa" w:w="80"/>
              <w:right w:type="dxa" w:w="100"/>
            </w:tcMar>
          </w:tcPr>
          <w:p>
            <w:r>
              <w:rPr>
                <w:b w:val="false"/>
                <w:bCs w:val="false"/>
                <w:color w:val="000000"/>
                <w:sz w:val="20"/>
                <w:szCs w:val="20"/>
              </w:rPr>
              <w:t xml:space="preserve">hr.trilogybpo.com/payroll/ (index.html, salary-agreements.html)</w:t>
            </w:r>
          </w:p>
        </w:tc>
        <w:tc>
          <w:tcPr>
            <w:tcW w:type="dxa" w:w="2000"/>
            <w:tcMar>
              <w:top w:type="dxa" w:w="80"/>
              <w:left w:type="dxa" w:w="100"/>
              <w:bottom w:type="dxa" w:w="80"/>
              <w:right w:type="dxa" w:w="100"/>
            </w:tcMar>
          </w:tcPr>
          <w:p>
            <w:r>
              <w:rPr>
                <w:b w:val="false"/>
                <w:bCs w:val="false"/>
                <w:color w:val="000000"/>
                <w:sz w:val="20"/>
                <w:szCs w:val="20"/>
              </w:rPr>
              <w:t xml:space="preserve">Top nav bar</w:t>
            </w:r>
          </w:p>
        </w:tc>
        <w:tc>
          <w:tcPr>
            <w:tcW w:type="dxa" w:w="3200"/>
            <w:tcMar>
              <w:top w:type="dxa" w:w="80"/>
              <w:left w:type="dxa" w:w="100"/>
              <w:bottom w:type="dxa" w:w="80"/>
              <w:right w:type="dxa" w:w="100"/>
            </w:tcMar>
          </w:tcPr>
          <w:p>
            <w:r>
              <w:rPr>
                <w:b w:val="false"/>
                <w:bCs w:val="false"/>
                <w:color w:val="000000"/>
                <w:sz w:val="20"/>
                <w:szCs w:val="20"/>
              </w:rPr>
              <w:t xml:space="preserve">.nav-logo class</w:t>
            </w:r>
          </w:p>
        </w:tc>
        <w:tc>
          <w:tcPr>
            <w:tcW w:type="dxa" w:w="1550"/>
            <w:tcMar>
              <w:top w:type="dxa" w:w="80"/>
              <w:left w:type="dxa" w:w="100"/>
              <w:bottom w:type="dxa" w:w="80"/>
              <w:right w:type="dxa" w:w="100"/>
            </w:tcMar>
          </w:tcPr>
          <w:p>
            <w:r>
              <w:rPr>
                <w:b w:val="false"/>
                <w:bCs w:val="false"/>
                <w:color w:val="000000"/>
                <w:sz w:val="20"/>
                <w:szCs w:val="20"/>
              </w:rPr>
              <w:t xml:space="preserve">28px</w:t>
            </w:r>
          </w:p>
        </w:tc>
      </w:tr>
      <w:tr>
        <w:tc>
          <w:tcPr>
            <w:tcW w:type="dxa" w:w="2600"/>
            <w:tcMar>
              <w:top w:type="dxa" w:w="80"/>
              <w:left w:type="dxa" w:w="100"/>
              <w:bottom w:type="dxa" w:w="80"/>
              <w:right w:type="dxa" w:w="100"/>
            </w:tcMar>
          </w:tcPr>
          <w:p>
            <w:r>
              <w:rPr>
                <w:b w:val="false"/>
                <w:bCs w:val="false"/>
                <w:color w:val="000000"/>
                <w:sz w:val="20"/>
                <w:szCs w:val="20"/>
              </w:rPr>
              <w:t xml:space="preserve">hr.trilogybpo.com/payroll/ (index.html)</w:t>
            </w:r>
          </w:p>
        </w:tc>
        <w:tc>
          <w:tcPr>
            <w:tcW w:type="dxa" w:w="2000"/>
            <w:tcMar>
              <w:top w:type="dxa" w:w="80"/>
              <w:left w:type="dxa" w:w="100"/>
              <w:bottom w:type="dxa" w:w="80"/>
              <w:right w:type="dxa" w:w="100"/>
            </w:tcMar>
          </w:tcPr>
          <w:p>
            <w:r>
              <w:rPr>
                <w:b w:val="false"/>
                <w:bCs w:val="false"/>
                <w:color w:val="000000"/>
                <w:sz w:val="20"/>
                <w:szCs w:val="20"/>
              </w:rPr>
              <w:t xml:space="preserve">Payslip document overlay</w:t>
            </w:r>
          </w:p>
        </w:tc>
        <w:tc>
          <w:tcPr>
            <w:tcW w:type="dxa" w:w="3200"/>
            <w:tcMar>
              <w:top w:type="dxa" w:w="80"/>
              <w:left w:type="dxa" w:w="100"/>
              <w:bottom w:type="dxa" w:w="80"/>
              <w:right w:type="dxa" w:w="100"/>
            </w:tcMar>
          </w:tcPr>
          <w:p>
            <w:r>
              <w:rPr>
                <w:b w:val="false"/>
                <w:bCs w:val="false"/>
                <w:color w:val="000000"/>
                <w:sz w:val="20"/>
                <w:szCs w:val="20"/>
              </w:rPr>
              <w:t xml:space="preserve">.payslip-head img (no separate class)</w:t>
            </w:r>
          </w:p>
        </w:tc>
        <w:tc>
          <w:tcPr>
            <w:tcW w:type="dxa" w:w="1550"/>
            <w:tcMar>
              <w:top w:type="dxa" w:w="80"/>
              <w:left w:type="dxa" w:w="100"/>
              <w:bottom w:type="dxa" w:w="80"/>
              <w:right w:type="dxa" w:w="100"/>
            </w:tcMar>
          </w:tcPr>
          <w:p>
            <w:r>
              <w:rPr>
                <w:b w:val="false"/>
                <w:bCs w:val="false"/>
                <w:color w:val="000000"/>
                <w:sz w:val="20"/>
                <w:szCs w:val="20"/>
              </w:rPr>
              <w:t xml:space="preserve">26px</w:t>
            </w:r>
          </w:p>
        </w:tc>
      </w:tr>
      <w:tr>
        <w:tc>
          <w:tcPr>
            <w:tcW w:type="dxa" w:w="2600"/>
            <w:tcMar>
              <w:top w:type="dxa" w:w="80"/>
              <w:left w:type="dxa" w:w="100"/>
              <w:bottom w:type="dxa" w:w="80"/>
              <w:right w:type="dxa" w:w="100"/>
            </w:tcMar>
          </w:tcPr>
          <w:p>
            <w:r>
              <w:rPr>
                <w:b w:val="false"/>
                <w:bCs w:val="false"/>
                <w:color w:val="000000"/>
                <w:sz w:val="20"/>
                <w:szCs w:val="20"/>
              </w:rPr>
              <w:t xml:space="preserve">portal.trilogybpo.com</w:t>
            </w:r>
          </w:p>
        </w:tc>
        <w:tc>
          <w:tcPr>
            <w:tcW w:type="dxa" w:w="2000"/>
            <w:tcMar>
              <w:top w:type="dxa" w:w="80"/>
              <w:left w:type="dxa" w:w="100"/>
              <w:bottom w:type="dxa" w:w="80"/>
              <w:right w:type="dxa" w:w="100"/>
            </w:tcMar>
          </w:tcPr>
          <w:p>
            <w:r>
              <w:rPr>
                <w:b w:val="false"/>
                <w:bCs w:val="false"/>
                <w:color w:val="000000"/>
                <w:sz w:val="20"/>
                <w:szCs w:val="20"/>
              </w:rPr>
              <w:t xml:space="preserve">Login screen</w:t>
            </w:r>
          </w:p>
        </w:tc>
        <w:tc>
          <w:tcPr>
            <w:tcW w:type="dxa" w:w="3200"/>
            <w:tcMar>
              <w:top w:type="dxa" w:w="80"/>
              <w:left w:type="dxa" w:w="100"/>
              <w:bottom w:type="dxa" w:w="80"/>
              <w:right w:type="dxa" w:w="100"/>
            </w:tcMar>
          </w:tcPr>
          <w:p>
            <w:r>
              <w:rPr>
                <w:b w:val="false"/>
                <w:bCs w:val="false"/>
                <w:color w:val="000000"/>
                <w:sz w:val="20"/>
                <w:szCs w:val="20"/>
              </w:rPr>
              <w:t xml:space="preserve">.login-logo class</w:t>
            </w:r>
          </w:p>
        </w:tc>
        <w:tc>
          <w:tcPr>
            <w:tcW w:type="dxa" w:w="1550"/>
            <w:tcMar>
              <w:top w:type="dxa" w:w="80"/>
              <w:left w:type="dxa" w:w="100"/>
              <w:bottom w:type="dxa" w:w="80"/>
              <w:right w:type="dxa" w:w="100"/>
            </w:tcMar>
          </w:tcPr>
          <w:p>
            <w:r>
              <w:rPr>
                <w:b w:val="false"/>
                <w:bCs w:val="false"/>
                <w:color w:val="000000"/>
                <w:sz w:val="20"/>
                <w:szCs w:val="20"/>
              </w:rPr>
              <w:t xml:space="preserve">34px</w:t>
            </w:r>
          </w:p>
        </w:tc>
      </w:tr>
      <w:tr>
        <w:tc>
          <w:tcPr>
            <w:tcW w:type="dxa" w:w="2600"/>
            <w:tcMar>
              <w:top w:type="dxa" w:w="80"/>
              <w:left w:type="dxa" w:w="100"/>
              <w:bottom w:type="dxa" w:w="80"/>
              <w:right w:type="dxa" w:w="100"/>
            </w:tcMar>
          </w:tcPr>
          <w:p>
            <w:r>
              <w:rPr>
                <w:b w:val="false"/>
                <w:bCs w:val="false"/>
                <w:color w:val="000000"/>
                <w:sz w:val="20"/>
                <w:szCs w:val="20"/>
              </w:rPr>
              <w:t xml:space="preserve">portal.trilogybpo.com</w:t>
            </w:r>
          </w:p>
        </w:tc>
        <w:tc>
          <w:tcPr>
            <w:tcW w:type="dxa" w:w="2000"/>
            <w:tcMar>
              <w:top w:type="dxa" w:w="80"/>
              <w:left w:type="dxa" w:w="100"/>
              <w:bottom w:type="dxa" w:w="80"/>
              <w:right w:type="dxa" w:w="100"/>
            </w:tcMar>
          </w:tcPr>
          <w:p>
            <w:r>
              <w:rPr>
                <w:b w:val="false"/>
                <w:bCs w:val="false"/>
                <w:color w:val="000000"/>
                <w:sz w:val="20"/>
                <w:szCs w:val="20"/>
              </w:rPr>
              <w:t xml:space="preserve">Loading screen</w:t>
            </w:r>
          </w:p>
        </w:tc>
        <w:tc>
          <w:tcPr>
            <w:tcW w:type="dxa" w:w="3200"/>
            <w:tcMar>
              <w:top w:type="dxa" w:w="80"/>
              <w:left w:type="dxa" w:w="100"/>
              <w:bottom w:type="dxa" w:w="80"/>
              <w:right w:type="dxa" w:w="100"/>
            </w:tcMar>
          </w:tcPr>
          <w:p>
            <w:r>
              <w:rPr>
                <w:b w:val="false"/>
                <w:bCs w:val="false"/>
                <w:color w:val="000000"/>
                <w:sz w:val="20"/>
                <w:szCs w:val="20"/>
              </w:rPr>
              <w:t xml:space="preserve">.load-logo class</w:t>
            </w:r>
          </w:p>
        </w:tc>
        <w:tc>
          <w:tcPr>
            <w:tcW w:type="dxa" w:w="1550"/>
            <w:tcMar>
              <w:top w:type="dxa" w:w="80"/>
              <w:left w:type="dxa" w:w="100"/>
              <w:bottom w:type="dxa" w:w="80"/>
              <w:right w:type="dxa" w:w="100"/>
            </w:tcMar>
          </w:tcPr>
          <w:p>
            <w:r>
              <w:rPr>
                <w:b w:val="false"/>
                <w:bCs w:val="false"/>
                <w:color w:val="000000"/>
                <w:sz w:val="20"/>
                <w:szCs w:val="20"/>
              </w:rPr>
              <w:t xml:space="preserve">30px</w:t>
            </w:r>
          </w:p>
        </w:tc>
      </w:tr>
      <w:tr>
        <w:tc>
          <w:tcPr>
            <w:tcW w:type="dxa" w:w="2600"/>
            <w:tcMar>
              <w:top w:type="dxa" w:w="80"/>
              <w:left w:type="dxa" w:w="100"/>
              <w:bottom w:type="dxa" w:w="80"/>
              <w:right w:type="dxa" w:w="100"/>
            </w:tcMar>
          </w:tcPr>
          <w:p>
            <w:r>
              <w:rPr>
                <w:b w:val="false"/>
                <w:bCs w:val="false"/>
                <w:color w:val="000000"/>
                <w:sz w:val="20"/>
                <w:szCs w:val="20"/>
              </w:rPr>
              <w:t xml:space="preserve">portal.trilogybpo.com</w:t>
            </w:r>
          </w:p>
        </w:tc>
        <w:tc>
          <w:tcPr>
            <w:tcW w:type="dxa" w:w="2000"/>
            <w:tcMar>
              <w:top w:type="dxa" w:w="80"/>
              <w:left w:type="dxa" w:w="100"/>
              <w:bottom w:type="dxa" w:w="80"/>
              <w:right w:type="dxa" w:w="100"/>
            </w:tcMar>
          </w:tcPr>
          <w:p>
            <w:r>
              <w:rPr>
                <w:b w:val="false"/>
                <w:bCs w:val="false"/>
                <w:color w:val="000000"/>
                <w:sz w:val="20"/>
                <w:szCs w:val="20"/>
              </w:rPr>
              <w:t xml:space="preserve">Top nav bar</w:t>
            </w:r>
          </w:p>
        </w:tc>
        <w:tc>
          <w:tcPr>
            <w:tcW w:type="dxa" w:w="3200"/>
            <w:tcMar>
              <w:top w:type="dxa" w:w="80"/>
              <w:left w:type="dxa" w:w="100"/>
              <w:bottom w:type="dxa" w:w="80"/>
              <w:right w:type="dxa" w:w="100"/>
            </w:tcMar>
          </w:tcPr>
          <w:p>
            <w:r>
              <w:rPr>
                <w:b w:val="false"/>
                <w:bCs w:val="false"/>
                <w:color w:val="000000"/>
                <w:sz w:val="20"/>
                <w:szCs w:val="20"/>
              </w:rPr>
              <w:t xml:space="preserve">.nav-logo class (24px on mobile)</w:t>
            </w:r>
          </w:p>
        </w:tc>
        <w:tc>
          <w:tcPr>
            <w:tcW w:type="dxa" w:w="1550"/>
            <w:tcMar>
              <w:top w:type="dxa" w:w="80"/>
              <w:left w:type="dxa" w:w="100"/>
              <w:bottom w:type="dxa" w:w="80"/>
              <w:right w:type="dxa" w:w="100"/>
            </w:tcMar>
          </w:tcPr>
          <w:p>
            <w:r>
              <w:rPr>
                <w:b w:val="false"/>
                <w:bCs w:val="false"/>
                <w:color w:val="000000"/>
                <w:sz w:val="20"/>
                <w:szCs w:val="20"/>
              </w:rPr>
              <w:t xml:space="preserve">28px</w:t>
            </w:r>
          </w:p>
        </w:tc>
      </w:tr>
      <w:tr>
        <w:tc>
          <w:tcPr>
            <w:tcW w:type="dxa" w:w="2600"/>
            <w:tcMar>
              <w:top w:type="dxa" w:w="80"/>
              <w:left w:type="dxa" w:w="100"/>
              <w:bottom w:type="dxa" w:w="80"/>
              <w:right w:type="dxa" w:w="100"/>
            </w:tcMar>
          </w:tcPr>
          <w:p>
            <w:r>
              <w:rPr>
                <w:b w:val="false"/>
                <w:bCs w:val="false"/>
                <w:color w:val="000000"/>
                <w:sz w:val="20"/>
                <w:szCs w:val="20"/>
              </w:rPr>
              <w:t xml:space="preserve">portal.trilogybpo.com</w:t>
            </w:r>
          </w:p>
        </w:tc>
        <w:tc>
          <w:tcPr>
            <w:tcW w:type="dxa" w:w="2000"/>
            <w:tcMar>
              <w:top w:type="dxa" w:w="80"/>
              <w:left w:type="dxa" w:w="100"/>
              <w:bottom w:type="dxa" w:w="80"/>
              <w:right w:type="dxa" w:w="100"/>
            </w:tcMar>
          </w:tcPr>
          <w:p>
            <w:r>
              <w:rPr>
                <w:b w:val="false"/>
                <w:bCs w:val="false"/>
                <w:color w:val="000000"/>
                <w:sz w:val="20"/>
                <w:szCs w:val="20"/>
              </w:rPr>
              <w:t xml:space="preserve">Payslips modal document header</w:t>
            </w:r>
          </w:p>
        </w:tc>
        <w:tc>
          <w:tcPr>
            <w:tcW w:type="dxa" w:w="3200"/>
            <w:tcMar>
              <w:top w:type="dxa" w:w="80"/>
              <w:left w:type="dxa" w:w="100"/>
              <w:bottom w:type="dxa" w:w="80"/>
              <w:right w:type="dxa" w:w="100"/>
            </w:tcMar>
          </w:tcPr>
          <w:p>
            <w:r>
              <w:rPr>
                <w:b w:val="false"/>
                <w:bCs w:val="false"/>
                <w:color w:val="000000"/>
                <w:sz w:val="20"/>
                <w:szCs w:val="20"/>
              </w:rPr>
              <w:t xml:space="preserve">Inline style (not a class)</w:t>
            </w:r>
          </w:p>
        </w:tc>
        <w:tc>
          <w:tcPr>
            <w:tcW w:type="dxa" w:w="1550"/>
            <w:tcMar>
              <w:top w:type="dxa" w:w="80"/>
              <w:left w:type="dxa" w:w="100"/>
              <w:bottom w:type="dxa" w:w="80"/>
              <w:right w:type="dxa" w:w="100"/>
            </w:tcMar>
          </w:tcPr>
          <w:p>
            <w:r>
              <w:rPr>
                <w:b w:val="false"/>
                <w:bCs w:val="false"/>
                <w:color w:val="000000"/>
                <w:sz w:val="20"/>
                <w:szCs w:val="20"/>
              </w:rPr>
              <w:t xml:space="preserve">22px</w:t>
            </w:r>
          </w:p>
        </w:tc>
      </w:tr>
    </w:tbl>
    <w:p>
      <w:pPr>
        <w:spacing w:after="120"/>
      </w:pPr>
      <w:r>
        <w:t xml:space="preserve"/>
      </w:r>
    </w:p>
    <w:p>
      <w:pPr>
        <w:spacing w:after="120"/>
      </w:pPr>
      <w:r>
        <w:rPr>
          <w:i/>
          <w:iCs/>
          <w:color w:val="7A8499"/>
        </w:rPr>
        <w:t xml:space="preserve">All logos scale by height only (no width specified), so the browser preserves the source image's aspect ratio automatically when the height value is changed.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D7A22E85D508D4BA3D88F285A4BFBFF" ma:contentTypeVersion="11" ma:contentTypeDescription="Create a new document." ma:contentTypeScope="" ma:versionID="5f1205c4f3bf337c924879e26fd18862">
  <xsd:schema xmlns:xsd="http://www.w3.org/2001/XMLSchema" xmlns:xs="http://www.w3.org/2001/XMLSchema" xmlns:p="http://schemas.microsoft.com/office/2006/metadata/properties" xmlns:ns2="4aba8e23-181e-4a95-9270-5fdb07633be2" xmlns:ns3="5b5294e1-9b14-479f-be65-1200265709b9" targetNamespace="http://schemas.microsoft.com/office/2006/metadata/properties" ma:root="true" ma:fieldsID="c28c450ebb8aa89ac089a4fbd1595ce3" ns2:_="" ns3:_="">
    <xsd:import namespace="4aba8e23-181e-4a95-9270-5fdb07633be2"/>
    <xsd:import namespace="5b5294e1-9b14-479f-be65-1200265709b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InformationClassifi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ba8e23-181e-4a95-9270-5fdb07633b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54d1e14-a102-48c8-8e1e-c1b118d551e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InformationClassification" ma:index="18" nillable="true" ma:displayName="Information Classification" ma:default="Internal - Confidential" ma:format="Dropdown" ma:internalName="InformationClassification">
      <xsd:simpleType>
        <xsd:restriction base="dms:Choice">
          <xsd:enumeration value="Internal - Confidential"/>
          <xsd:enumeration value="External - Confidential"/>
          <xsd:enumeration value="Public"/>
        </xsd:restriction>
      </xsd:simpleType>
    </xsd:element>
  </xsd:schema>
  <xsd:schema xmlns:xsd="http://www.w3.org/2001/XMLSchema" xmlns:xs="http://www.w3.org/2001/XMLSchema" xmlns:dms="http://schemas.microsoft.com/office/2006/documentManagement/types" xmlns:pc="http://schemas.microsoft.com/office/infopath/2007/PartnerControls" targetNamespace="5b5294e1-9b14-479f-be65-1200265709b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f0de05-ede7-4a46-9e41-f1e1e405c4b4}" ma:internalName="TaxCatchAll" ma:showField="CatchAllData" ma:web="5b5294e1-9b14-479f-be65-1200265709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b5294e1-9b14-479f-be65-1200265709b9" xsi:nil="true"/>
    <InformationClassification xmlns="4aba8e23-181e-4a95-9270-5fdb07633be2">Internal - Confidential</InformationClassification>
    <lcf76f155ced4ddcb4097134ff3c332f xmlns="4aba8e23-181e-4a95-9270-5fdb07633be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B5C97E0-8B31-49D5-8AB7-8C77826E31ED}"/>
</file>

<file path=customXml/itemProps2.xml><?xml version="1.0" encoding="utf-8"?>
<ds:datastoreItem xmlns:ds="http://schemas.openxmlformats.org/officeDocument/2006/customXml" ds:itemID="{8092D6C8-D717-44EC-9069-891C704666D3}"/>
</file>

<file path=customXml/itemProps3.xml><?xml version="1.0" encoding="utf-8"?>
<ds:datastoreItem xmlns:ds="http://schemas.openxmlformats.org/officeDocument/2006/customXml" ds:itemID="{0A3CC9CC-B4F2-4F0E-BB05-BBEB7880A815}"/>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2026-07-08T17:34:49Z</dcterms:created>
  <dcterms:modified xsi:type="dcterms:W3CDTF">2026-07-08T17:34:49Z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0x0101008D7A22E85D508D4BA3D88F285A4BFBFF</vt:lpwstr>
  </property>
</Properties>
</file>