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
      </w:pPr>
      <w:r>
        <w:t xml:space="preserve">TRILOGY BPO</w:t>
      </w:r>
    </w:p>
    <w:p>
      <w:pPr>
        <w:spacing w:after="80"/>
      </w:pPr>
      <w:r>
        <w:rPr>
          <w:b/>
          <w:bCs/>
          <w:sz w:val="32"/>
          <w:szCs w:val="32"/>
        </w:rPr>
        <w:t xml:space="preserve">MIS Dashboard — Technical Documentation</w:t>
      </w:r>
    </w:p>
    <w:p>
      <w:pPr>
        <w:spacing w:after="40"/>
      </w:pPr>
      <w:r>
        <w:rPr>
          <w:b/>
          <w:bCs/>
          <w:color w:val="2a8a00"/>
          <w:sz w:val="24"/>
          <w:szCs w:val="24"/>
        </w:rPr>
        <w:t xml:space="preserve">Version 3.0  |  2026-07-21</w:t>
      </w:r>
    </w:p>
    <w:p>
      <w:pPr>
        <w:spacing w:after="300"/>
      </w:pPr>
      <w:r>
        <w:rPr>
          <w:i/>
          <w:iCs/>
          <w:color w:val="7a8499"/>
          <w:sz w:val="20"/>
          <w:szCs w:val="20"/>
        </w:rPr>
        <w:t xml:space="preserve">Updated from v2.0 (2026-07-05): Conversation Insights, Top 5 Contact Drivers, and a rebuilt SLA report added (Part C); MIS-EmailIngestion recovered from a mid-project outage and confirmed still load-bearing, not deprecated after all.</w:t>
      </w:r>
    </w:p>
    <w:tbl>
      <w:tblPr>
        <w:tblW w:type="pct" w:w="100%"/>
        <w:tblBorders>
          <w:top w:val="single" w:color="c0392b" w:sz="12"/>
          <w:left w:val="single" w:color="c0392b" w:sz="12"/>
          <w:bottom w:val="single" w:color="c0392b" w:sz="12"/>
          <w:right w:val="single" w:color="c0392b" w:sz="12"/>
          <w:insideH w:val="single" w:color="auto" w:sz="4"/>
          <w:insideV w:val="single" w:color="auto" w:sz="4"/>
        </w:tblBorders>
      </w:tblPr>
      <w:tblGrid>
        <w:gridCol w:w="100"/>
      </w:tblGrid>
      <w:tr>
        <w:tc>
          <w:tcPr>
            <w:shd w:fill="fdecea" w:val="clear"/>
            <w:tcMar>
              <w:top w:type="dxa" w:w="200"/>
              <w:left w:type="dxa" w:w="200"/>
              <w:bottom w:type="dxa" w:w="200"/>
              <w:right w:type="dxa" w:w="200"/>
            </w:tcMar>
          </w:tcPr>
          <w:p>
            <w:pPr>
              <w:spacing w:after="100"/>
            </w:pPr>
            <w:r>
              <w:rPr>
                <w:b/>
                <w:bCs/>
                <w:color w:val="c0392b"/>
                <w:sz w:val="26"/>
                <w:szCs w:val="26"/>
              </w:rPr>
              <w:t xml:space="preserve">⚠ MASSIVE CAVEAT — READ BEFORE USING THIS DOCUMENT</w:t>
            </w:r>
          </w:p>
          <w:p>
            <w:pPr>
              <w:spacing w:after="100"/>
            </w:pPr>
            <w:r>
              <w:rPr>
                <w:b w:val="false"/>
                <w:bCs w:val="false"/>
                <w:sz w:val="21"/>
                <w:szCs w:val="21"/>
              </w:rPr>
              <w:t xml:space="preserve">Sections 1–8 below (the original v1.2 documentation) describe a system that has been substantially superseded. As of 2026-07-05, the entire data-ingestion pipeline (MIS-EmailIngestion) and all seven legacy campaign report pages (daily, weekly, monthly, agents, queue, sla, and billing) have been retired in favour of a single new module: the Daily Profit Report (DPR).</w:t>
            </w:r>
          </w:p>
          <w:p>
            <w:pPr>
              <w:spacing w:after="100"/>
            </w:pPr>
            <w:r>
              <w:rPr>
                <w:b/>
                <w:bCs/>
                <w:sz w:val="21"/>
                <w:szCs w:val="21"/>
              </w:rPr>
              <w:t xml:space="preserve">The ONLY components that were modified rather than fully replaced are index.html (report card swapped, everything else — MSAL auth, session handling, campaign loop — untouched) and admin.html (one field relabelled from "Billing access" to "DPR access"; no underlying logic changed).</w:t>
            </w:r>
          </w:p>
          <w:p>
            <w:pPr>
              <w:spacing w:after="0"/>
            </w:pPr>
            <w:r>
              <w:rPr>
                <w:b w:val="false"/>
                <w:bCs w:val="false"/>
                <w:sz w:val="21"/>
                <w:szCs w:val="21"/>
              </w:rPr>
              <w:t xml:space="preserve">Sections 1–8 are retained below as a historical record of the original build and its resolved issues — several of the underlying lessons (SQL date formatting, PA expression quirks, timezone handling) remain directly relevant. But treat every reference to daily.html, weekly.html, monthly.html, agents.html, queue.html, sla.html, billing.html, or MIS-EmailIngestion as DEPRECATED. New sections (9 onward) describe the current, live system.</w:t>
            </w:r>
          </w:p>
        </w:tc>
      </w:tr>
    </w:tbl>
    <w:p>
      <w:pPr>
        <w:pStyle w:val="Heading2"/>
        <w:spacing w:after="120" w:before="260"/>
      </w:pPr>
      <w:r>
        <w:t xml:space="preserve">Document Control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800"/>
      </w:tblGrid>
      <w:tr>
        <w:trPr>
          <w:tblHeader/>
        </w:trPr>
        <w:tc>
          <w:tcPr>
            <w:tcW w:type="dxa" w:w="3000"/>
            <w:shd w:fill="1e1e1e" w:val="clear"/>
            <w:tcMar>
              <w:top w:type="dxa" w:w="80"/>
              <w:left w:type="dxa" w:w="100"/>
              <w:bottom w:type="dxa" w:w="80"/>
              <w:right w:type="dxa" w:w="100"/>
            </w:tcMar>
            <w:vAlign w:val="center"/>
          </w:tcPr>
          <w:p>
            <w:r>
              <w:rPr>
                <w:b/>
                <w:bCs/>
                <w:color w:val="FFFFFF"/>
                <w:sz w:val="18"/>
                <w:szCs w:val="18"/>
              </w:rPr>
              <w:t xml:space="preserve">Field</w:t>
            </w:r>
          </w:p>
        </w:tc>
        <w:tc>
          <w:tcPr>
            <w:tcW w:type="dxa" w:w="6800"/>
            <w:shd w:fill="1e1e1e" w:val="clear"/>
            <w:tcMar>
              <w:top w:type="dxa" w:w="80"/>
              <w:left w:type="dxa" w:w="100"/>
              <w:bottom w:type="dxa" w:w="80"/>
              <w:right w:type="dxa" w:w="100"/>
            </w:tcMar>
            <w:vAlign w:val="center"/>
          </w:tcPr>
          <w:p>
            <w:r>
              <w:rPr>
                <w:b/>
                <w:bCs/>
                <w:color w:val="FFFFFF"/>
                <w:sz w:val="18"/>
                <w:szCs w:val="18"/>
              </w:rPr>
              <w:t xml:space="preserve">Value</w:t>
            </w:r>
          </w:p>
        </w:tc>
      </w:tr>
      <w:tr>
        <w:tc>
          <w:tcPr>
            <w:tcW w:type="dxa" w:w="3000"/>
            <w:tcMar>
              <w:top w:type="dxa" w:w="80"/>
              <w:left w:type="dxa" w:w="100"/>
              <w:bottom w:type="dxa" w:w="80"/>
              <w:right w:type="dxa" w:w="100"/>
            </w:tcMar>
            <w:vAlign w:val="center"/>
          </w:tcPr>
          <w:p>
            <w:r>
              <w:rPr>
                <w:b w:val="false"/>
                <w:bCs w:val="false"/>
                <w:sz w:val="19"/>
                <w:szCs w:val="19"/>
              </w:rPr>
              <w:t xml:space="preserve">Document date</w:t>
            </w:r>
          </w:p>
        </w:tc>
        <w:tc>
          <w:tcPr>
            <w:tcW w:type="dxa" w:w="6800"/>
            <w:tcMar>
              <w:top w:type="dxa" w:w="80"/>
              <w:left w:type="dxa" w:w="100"/>
              <w:bottom w:type="dxa" w:w="80"/>
              <w:right w:type="dxa" w:w="100"/>
            </w:tcMar>
            <w:vAlign w:val="center"/>
          </w:tcPr>
          <w:p>
            <w:r>
              <w:rPr>
                <w:b w:val="false"/>
                <w:bCs w:val="false"/>
                <w:sz w:val="19"/>
                <w:szCs w:val="19"/>
              </w:rPr>
              <w:t xml:space="preserve">2026-07-21 (ISO 8601)</w:t>
            </w:r>
          </w:p>
        </w:tc>
      </w:tr>
      <w:tr>
        <w:tc>
          <w:tcPr>
            <w:tcW w:type="dxa" w:w="3000"/>
            <w:tcMar>
              <w:top w:type="dxa" w:w="80"/>
              <w:left w:type="dxa" w:w="100"/>
              <w:bottom w:type="dxa" w:w="80"/>
              <w:right w:type="dxa" w:w="100"/>
            </w:tcMar>
            <w:vAlign w:val="center"/>
          </w:tcPr>
          <w:p>
            <w:r>
              <w:rPr>
                <w:b w:val="false"/>
                <w:bCs w:val="false"/>
                <w:sz w:val="19"/>
                <w:szCs w:val="19"/>
              </w:rPr>
              <w:t xml:space="preserve">Previous version</w:t>
            </w:r>
          </w:p>
        </w:tc>
        <w:tc>
          <w:tcPr>
            <w:tcW w:type="dxa" w:w="6800"/>
            <w:tcMar>
              <w:top w:type="dxa" w:w="80"/>
              <w:left w:type="dxa" w:w="100"/>
              <w:bottom w:type="dxa" w:w="80"/>
              <w:right w:type="dxa" w:w="100"/>
            </w:tcMar>
            <w:vAlign w:val="center"/>
          </w:tcPr>
          <w:p>
            <w:r>
              <w:rPr>
                <w:b w:val="false"/>
                <w:bCs w:val="false"/>
                <w:sz w:val="19"/>
                <w:szCs w:val="19"/>
              </w:rPr>
              <w:t xml:space="preserve">v2.0, 2026-07-05</w:t>
            </w:r>
          </w:p>
        </w:tc>
      </w:tr>
      <w:tr>
        <w:tc>
          <w:tcPr>
            <w:tcW w:type="dxa" w:w="3000"/>
            <w:tcMar>
              <w:top w:type="dxa" w:w="80"/>
              <w:left w:type="dxa" w:w="100"/>
              <w:bottom w:type="dxa" w:w="80"/>
              <w:right w:type="dxa" w:w="100"/>
            </w:tcMar>
            <w:vAlign w:val="center"/>
          </w:tcPr>
          <w:p>
            <w:r>
              <w:rPr>
                <w:b w:val="false"/>
                <w:bCs w:val="false"/>
                <w:sz w:val="19"/>
                <w:szCs w:val="19"/>
              </w:rPr>
              <w:t xml:space="preserve">GitHub repository</w:t>
            </w:r>
          </w:p>
        </w:tc>
        <w:tc>
          <w:tcPr>
            <w:tcW w:type="dxa" w:w="6800"/>
            <w:tcMar>
              <w:top w:type="dxa" w:w="80"/>
              <w:left w:type="dxa" w:w="100"/>
              <w:bottom w:type="dxa" w:w="80"/>
              <w:right w:type="dxa" w:w="100"/>
            </w:tcMar>
            <w:vAlign w:val="center"/>
          </w:tcPr>
          <w:p>
            <w:r>
              <w:rPr>
                <w:b w:val="false"/>
                <w:bCs w:val="false"/>
                <w:sz w:val="19"/>
                <w:szCs w:val="19"/>
              </w:rPr>
              <w:t xml:space="preserve">thegreatcornolio/mis</w:t>
            </w:r>
          </w:p>
        </w:tc>
      </w:tr>
      <w:tr>
        <w:tc>
          <w:tcPr>
            <w:tcW w:type="dxa" w:w="3000"/>
            <w:tcMar>
              <w:top w:type="dxa" w:w="80"/>
              <w:left w:type="dxa" w:w="100"/>
              <w:bottom w:type="dxa" w:w="80"/>
              <w:right w:type="dxa" w:w="100"/>
            </w:tcMar>
            <w:vAlign w:val="center"/>
          </w:tcPr>
          <w:p>
            <w:r>
              <w:rPr>
                <w:b w:val="false"/>
                <w:bCs w:val="false"/>
                <w:sz w:val="19"/>
                <w:szCs w:val="19"/>
              </w:rPr>
              <w:t xml:space="preserve">Live URL</w:t>
            </w:r>
          </w:p>
        </w:tc>
        <w:tc>
          <w:tcPr>
            <w:tcW w:type="dxa" w:w="6800"/>
            <w:tcMar>
              <w:top w:type="dxa" w:w="80"/>
              <w:left w:type="dxa" w:w="100"/>
              <w:bottom w:type="dxa" w:w="80"/>
              <w:right w:type="dxa" w:w="100"/>
            </w:tcMar>
            <w:vAlign w:val="center"/>
          </w:tcPr>
          <w:p>
            <w:r>
              <w:rPr>
                <w:b w:val="false"/>
                <w:bCs w:val="false"/>
                <w:sz w:val="19"/>
                <w:szCs w:val="19"/>
              </w:rPr>
              <w:t xml:space="preserve">https://mis.trilogybpo.com</w:t>
            </w:r>
          </w:p>
        </w:tc>
      </w:tr>
      <w:tr>
        <w:tc>
          <w:tcPr>
            <w:tcW w:type="dxa" w:w="3000"/>
            <w:tcMar>
              <w:top w:type="dxa" w:w="80"/>
              <w:left w:type="dxa" w:w="100"/>
              <w:bottom w:type="dxa" w:w="80"/>
              <w:right w:type="dxa" w:w="100"/>
            </w:tcMar>
            <w:vAlign w:val="center"/>
          </w:tcPr>
          <w:p>
            <w:r>
              <w:rPr>
                <w:b w:val="false"/>
                <w:bCs w:val="false"/>
                <w:sz w:val="19"/>
                <w:szCs w:val="19"/>
              </w:rPr>
              <w:t xml:space="preserve">Azure SQL server</w:t>
            </w:r>
          </w:p>
        </w:tc>
        <w:tc>
          <w:tcPr>
            <w:tcW w:type="dxa" w:w="6800"/>
            <w:tcMar>
              <w:top w:type="dxa" w:w="80"/>
              <w:left w:type="dxa" w:w="100"/>
              <w:bottom w:type="dxa" w:w="80"/>
              <w:right w:type="dxa" w:w="100"/>
            </w:tcMar>
            <w:vAlign w:val="center"/>
          </w:tcPr>
          <w:p>
            <w:r>
              <w:rPr>
                <w:b w:val="false"/>
                <w:bCs w:val="false"/>
                <w:sz w:val="19"/>
                <w:szCs w:val="19"/>
              </w:rPr>
              <w:t xml:space="preserve">trilogy-hr.database.windows.net</w:t>
            </w:r>
          </w:p>
        </w:tc>
      </w:tr>
      <w:tr>
        <w:tc>
          <w:tcPr>
            <w:tcW w:type="dxa" w:w="3000"/>
            <w:tcMar>
              <w:top w:type="dxa" w:w="80"/>
              <w:left w:type="dxa" w:w="100"/>
              <w:bottom w:type="dxa" w:w="80"/>
              <w:right w:type="dxa" w:w="100"/>
            </w:tcMar>
            <w:vAlign w:val="center"/>
          </w:tcPr>
          <w:p>
            <w:r>
              <w:rPr>
                <w:b w:val="false"/>
                <w:bCs w:val="false"/>
                <w:sz w:val="19"/>
                <w:szCs w:val="19"/>
              </w:rPr>
              <w:t xml:space="preserve">Database</w:t>
            </w:r>
          </w:p>
        </w:tc>
        <w:tc>
          <w:tcPr>
            <w:tcW w:type="dxa" w:w="6800"/>
            <w:tcMar>
              <w:top w:type="dxa" w:w="80"/>
              <w:left w:type="dxa" w:w="100"/>
              <w:bottom w:type="dxa" w:w="80"/>
              <w:right w:type="dxa" w:w="100"/>
            </w:tcMar>
            <w:vAlign w:val="center"/>
          </w:tcPr>
          <w:p>
            <w:r>
              <w:rPr>
                <w:b w:val="false"/>
                <w:bCs w:val="false"/>
                <w:sz w:val="19"/>
                <w:szCs w:val="19"/>
              </w:rPr>
              <w:t xml:space="preserve">TrilogyMIS (Basic tier)</w:t>
            </w:r>
          </w:p>
        </w:tc>
      </w:tr>
      <w:tr>
        <w:tc>
          <w:tcPr>
            <w:tcW w:type="dxa" w:w="3000"/>
            <w:tcMar>
              <w:top w:type="dxa" w:w="80"/>
              <w:left w:type="dxa" w:w="100"/>
              <w:bottom w:type="dxa" w:w="80"/>
              <w:right w:type="dxa" w:w="100"/>
            </w:tcMar>
            <w:vAlign w:val="center"/>
          </w:tcPr>
          <w:p>
            <w:r>
              <w:rPr>
                <w:b w:val="false"/>
                <w:bCs w:val="false"/>
                <w:sz w:val="19"/>
                <w:szCs w:val="19"/>
              </w:rPr>
              <w:t xml:space="preserve">Entra Client ID</w:t>
            </w:r>
          </w:p>
        </w:tc>
        <w:tc>
          <w:tcPr>
            <w:tcW w:type="dxa" w:w="6800"/>
            <w:tcMar>
              <w:top w:type="dxa" w:w="80"/>
              <w:left w:type="dxa" w:w="100"/>
              <w:bottom w:type="dxa" w:w="80"/>
              <w:right w:type="dxa" w:w="100"/>
            </w:tcMar>
            <w:vAlign w:val="center"/>
          </w:tcPr>
          <w:p>
            <w:r>
              <w:rPr>
                <w:b w:val="false"/>
                <w:bCs w:val="false"/>
                <w:sz w:val="19"/>
                <w:szCs w:val="19"/>
              </w:rPr>
              <w:t xml:space="preserve">4b515ddf-72b9-43eb-b36b-82fc69296a7c</w:t>
            </w:r>
          </w:p>
        </w:tc>
      </w:tr>
      <w:tr>
        <w:tc>
          <w:tcPr>
            <w:tcW w:type="dxa" w:w="3000"/>
            <w:tcMar>
              <w:top w:type="dxa" w:w="80"/>
              <w:left w:type="dxa" w:w="100"/>
              <w:bottom w:type="dxa" w:w="80"/>
              <w:right w:type="dxa" w:w="100"/>
            </w:tcMar>
            <w:vAlign w:val="center"/>
          </w:tcPr>
          <w:p>
            <w:r>
              <w:rPr>
                <w:b w:val="false"/>
                <w:bCs w:val="false"/>
                <w:sz w:val="19"/>
                <w:szCs w:val="19"/>
              </w:rPr>
              <w:t xml:space="preserve">Entra Tenant ID</w:t>
            </w:r>
          </w:p>
        </w:tc>
        <w:tc>
          <w:tcPr>
            <w:tcW w:type="dxa" w:w="6800"/>
            <w:tcMar>
              <w:top w:type="dxa" w:w="80"/>
              <w:left w:type="dxa" w:w="100"/>
              <w:bottom w:type="dxa" w:w="80"/>
              <w:right w:type="dxa" w:w="100"/>
            </w:tcMar>
            <w:vAlign w:val="center"/>
          </w:tcPr>
          <w:p>
            <w:r>
              <w:rPr>
                <w:b w:val="false"/>
                <w:bCs w:val="false"/>
                <w:sz w:val="19"/>
                <w:szCs w:val="19"/>
              </w:rPr>
              <w:t xml:space="preserve">77cde95f-930f-495e-89c6-4d2c30f6df21</w:t>
            </w:r>
          </w:p>
        </w:tc>
      </w:tr>
      <w:tr>
        <w:tc>
          <w:tcPr>
            <w:tcW w:type="dxa" w:w="3000"/>
            <w:tcMar>
              <w:top w:type="dxa" w:w="80"/>
              <w:left w:type="dxa" w:w="100"/>
              <w:bottom w:type="dxa" w:w="80"/>
              <w:right w:type="dxa" w:w="100"/>
            </w:tcMar>
            <w:vAlign w:val="center"/>
          </w:tcPr>
          <w:p>
            <w:r>
              <w:rPr>
                <w:b w:val="false"/>
                <w:bCs w:val="false"/>
                <w:sz w:val="19"/>
                <w:szCs w:val="19"/>
              </w:rPr>
              <w:t xml:space="preserve">Redirect URI</w:t>
            </w:r>
          </w:p>
        </w:tc>
        <w:tc>
          <w:tcPr>
            <w:tcW w:type="dxa" w:w="6800"/>
            <w:tcMar>
              <w:top w:type="dxa" w:w="80"/>
              <w:left w:type="dxa" w:w="100"/>
              <w:bottom w:type="dxa" w:w="80"/>
              <w:right w:type="dxa" w:w="100"/>
            </w:tcMar>
            <w:vAlign w:val="center"/>
          </w:tcPr>
          <w:p>
            <w:r>
              <w:rPr>
                <w:b w:val="false"/>
                <w:bCs w:val="false"/>
                <w:sz w:val="19"/>
                <w:szCs w:val="19"/>
              </w:rPr>
              <w:t xml:space="preserve">https://mis.trilogybpo.com</w:t>
            </w:r>
          </w:p>
        </w:tc>
      </w:tr>
      <w:tr>
        <w:tc>
          <w:tcPr>
            <w:tcW w:type="dxa" w:w="3000"/>
            <w:tcMar>
              <w:top w:type="dxa" w:w="80"/>
              <w:left w:type="dxa" w:w="100"/>
              <w:bottom w:type="dxa" w:w="80"/>
              <w:right w:type="dxa" w:w="100"/>
            </w:tcMar>
            <w:vAlign w:val="center"/>
          </w:tcPr>
          <w:p>
            <w:r>
              <w:rPr>
                <w:b w:val="false"/>
                <w:bCs w:val="false"/>
                <w:sz w:val="19"/>
                <w:szCs w:val="19"/>
              </w:rPr>
              <w:t xml:space="preserve">New data source (v2.0)</w:t>
            </w:r>
          </w:p>
        </w:tc>
        <w:tc>
          <w:tcPr>
            <w:tcW w:type="dxa" w:w="6800"/>
            <w:tcMar>
              <w:top w:type="dxa" w:w="80"/>
              <w:left w:type="dxa" w:w="100"/>
              <w:bottom w:type="dxa" w:w="80"/>
              <w:right w:type="dxa" w:w="100"/>
            </w:tcMar>
            <w:vAlign w:val="center"/>
          </w:tcPr>
          <w:p>
            <w:r>
              <w:rPr>
                <w:b w:val="false"/>
                <w:bCs w:val="false"/>
                <w:sz w:val="19"/>
                <w:szCs w:val="19"/>
              </w:rPr>
              <w:t xml:space="preserve">qContact API — nadclinic.qcontact.com/api/v2 (direct, replaces nightly email CSV export)</w:t>
            </w:r>
          </w:p>
        </w:tc>
      </w:tr>
      <w:tr>
        <w:tc>
          <w:tcPr>
            <w:tcW w:type="dxa" w:w="3000"/>
            <w:tcMar>
              <w:top w:type="dxa" w:w="80"/>
              <w:left w:type="dxa" w:w="100"/>
              <w:bottom w:type="dxa" w:w="80"/>
              <w:right w:type="dxa" w:w="100"/>
            </w:tcMar>
            <w:vAlign w:val="center"/>
          </w:tcPr>
          <w:p>
            <w:r>
              <w:rPr>
                <w:b w:val="false"/>
                <w:bCs w:val="false"/>
                <w:sz w:val="19"/>
                <w:szCs w:val="19"/>
              </w:rPr>
              <w:t xml:space="preserve">Admin username</w:t>
            </w:r>
          </w:p>
        </w:tc>
        <w:tc>
          <w:tcPr>
            <w:tcW w:type="dxa" w:w="6800"/>
            <w:tcMar>
              <w:top w:type="dxa" w:w="80"/>
              <w:left w:type="dxa" w:w="100"/>
              <w:bottom w:type="dxa" w:w="80"/>
              <w:right w:type="dxa" w:w="100"/>
            </w:tcMar>
            <w:vAlign w:val="center"/>
          </w:tcPr>
          <w:p>
            <w:r>
              <w:rPr>
                <w:b w:val="false"/>
                <w:bCs w:val="false"/>
                <w:sz w:val="19"/>
                <w:szCs w:val="19"/>
              </w:rPr>
              <w:t xml:space="preserve">admin</w:t>
            </w:r>
          </w:p>
        </w:tc>
      </w:tr>
      <w:tr>
        <w:tc>
          <w:tcPr>
            <w:tcW w:type="dxa" w:w="3000"/>
            <w:tcMar>
              <w:top w:type="dxa" w:w="80"/>
              <w:left w:type="dxa" w:w="100"/>
              <w:bottom w:type="dxa" w:w="80"/>
              <w:right w:type="dxa" w:w="100"/>
            </w:tcMar>
            <w:vAlign w:val="center"/>
          </w:tcPr>
          <w:p>
            <w:r>
              <w:rPr>
                <w:b w:val="false"/>
                <w:bCs w:val="false"/>
                <w:sz w:val="19"/>
                <w:szCs w:val="19"/>
              </w:rPr>
              <w:t xml:space="preserve">Admin password</w:t>
            </w:r>
          </w:p>
        </w:tc>
        <w:tc>
          <w:tcPr>
            <w:tcW w:type="dxa" w:w="6800"/>
            <w:tcMar>
              <w:top w:type="dxa" w:w="80"/>
              <w:left w:type="dxa" w:w="100"/>
              <w:bottom w:type="dxa" w:w="80"/>
              <w:right w:type="dxa" w:w="100"/>
            </w:tcMar>
            <w:vAlign w:val="center"/>
          </w:tcPr>
          <w:p>
            <w:r>
              <w:rPr>
                <w:b w:val="false"/>
                <w:bCs w:val="false"/>
                <w:sz w:val="19"/>
                <w:szCs w:val="19"/>
              </w:rPr>
              <w:t xml:space="preserve">YouCantComeIn</w:t>
            </w:r>
          </w:p>
        </w:tc>
      </w:tr>
    </w:tbl>
    <w:p>
      <w:r>
        <w:br w:type="page"/>
      </w:r>
    </w:p>
    <w:p>
      <w:pPr>
        <w:pStyle w:val="Heading1"/>
        <w:spacing w:after="160" w:before="360"/>
      </w:pPr>
      <w:r>
        <w:t xml:space="preserve">PART A — Original v1.2 Documentation (Historical Record, Superseded)</w:t>
      </w:r>
    </w:p>
    <w:p>
      <w:pPr>
        <w:spacing w:after="140"/>
      </w:pPr>
      <w:r>
        <w:rPr>
          <w:b w:val="false"/>
          <w:bCs w:val="false"/>
          <w:i/>
          <w:iCs/>
          <w:color w:val="c0392b"/>
        </w:rPr>
        <w:t xml:space="preserve">The content in this Part A is preserved unchanged from the v1.2 document dated 2026-06-18. It describes the email-ingestion pipeline and the seven legacy campaign report pages, all of which are DEPRECATED as of v2.0. See Part B for the current system.</w:t>
      </w:r>
    </w:p>
    <w:p>
      <w:pPr>
        <w:pStyle w:val="Heading2"/>
        <w:spacing w:after="120" w:before="260"/>
      </w:pPr>
      <w:r>
        <w:t xml:space="preserve">1. NADClinic Channel Rollout Schedule (v1.2, historical)</w:t>
      </w:r>
    </w:p>
    <w:p>
      <w:pPr>
        <w:spacing w:after="140"/>
      </w:pPr>
      <w:r>
        <w:rPr>
          <w:b w:val="false"/>
          <w:bCs w:val="false"/>
          <w:i w:val="false"/>
          <w:iCs w:val="false"/>
        </w:rPr>
        <w:t xml:space="preserve">This section documents the phased go-live of communication channels for the NADClinic campaign under the original email-ingestion pipeline. Report data availability was directly tied to these dates.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1700"/>
        <w:gridCol w:w="1900"/>
        <w:gridCol w:w="4600"/>
      </w:tblGrid>
      <w:tr>
        <w:trPr>
          <w:tblHeader/>
        </w:trPr>
        <w:tc>
          <w:tcPr>
            <w:tcW w:type="dxa" w:w="1600"/>
            <w:shd w:fill="1e1e1e" w:val="clear"/>
            <w:tcMar>
              <w:top w:type="dxa" w:w="80"/>
              <w:left w:type="dxa" w:w="100"/>
              <w:bottom w:type="dxa" w:w="80"/>
              <w:right w:type="dxa" w:w="100"/>
            </w:tcMar>
            <w:vAlign w:val="center"/>
          </w:tcPr>
          <w:p>
            <w:r>
              <w:rPr>
                <w:b/>
                <w:bCs/>
                <w:color w:val="FFFFFF"/>
                <w:sz w:val="18"/>
                <w:szCs w:val="18"/>
              </w:rPr>
              <w:t xml:space="preserve">Channel</w:t>
            </w:r>
          </w:p>
        </w:tc>
        <w:tc>
          <w:tcPr>
            <w:tcW w:type="dxa" w:w="1700"/>
            <w:shd w:fill="1e1e1e" w:val="clear"/>
            <w:tcMar>
              <w:top w:type="dxa" w:w="80"/>
              <w:left w:type="dxa" w:w="100"/>
              <w:bottom w:type="dxa" w:w="80"/>
              <w:right w:type="dxa" w:w="100"/>
            </w:tcMar>
            <w:vAlign w:val="center"/>
          </w:tcPr>
          <w:p>
            <w:r>
              <w:rPr>
                <w:b/>
                <w:bCs/>
                <w:color w:val="FFFFFF"/>
                <w:sz w:val="18"/>
                <w:szCs w:val="18"/>
              </w:rPr>
              <w:t xml:space="preserve">Go-live date</w:t>
            </w:r>
          </w:p>
        </w:tc>
        <w:tc>
          <w:tcPr>
            <w:tcW w:type="dxa" w:w="1900"/>
            <w:shd w:fill="1e1e1e" w:val="clear"/>
            <w:tcMar>
              <w:top w:type="dxa" w:w="80"/>
              <w:left w:type="dxa" w:w="100"/>
              <w:bottom w:type="dxa" w:w="80"/>
              <w:right w:type="dxa" w:w="100"/>
            </w:tcMar>
            <w:vAlign w:val="center"/>
          </w:tcPr>
          <w:p>
            <w:r>
              <w:rPr>
                <w:b/>
                <w:bCs/>
                <w:color w:val="FFFFFF"/>
                <w:sz w:val="18"/>
                <w:szCs w:val="18"/>
              </w:rPr>
              <w:t xml:space="preserve">Status (as of 2026-06-18)</w:t>
            </w:r>
          </w:p>
        </w:tc>
        <w:tc>
          <w:tcPr>
            <w:tcW w:type="dxa" w:w="4600"/>
            <w:shd w:fill="1e1e1e" w:val="clear"/>
            <w:tcMar>
              <w:top w:type="dxa" w:w="80"/>
              <w:left w:type="dxa" w:w="100"/>
              <w:bottom w:type="dxa" w:w="80"/>
              <w:right w:type="dxa" w:w="100"/>
            </w:tcMar>
            <w:vAlign w:val="center"/>
          </w:tcPr>
          <w:p>
            <w:r>
              <w:rPr>
                <w:b/>
                <w:bCs/>
                <w:color w:val="FFFFFF"/>
                <w:sz w:val="18"/>
                <w:szCs w:val="18"/>
              </w:rPr>
              <w:t xml:space="preserve">Impact on reporting</w:t>
            </w:r>
          </w:p>
        </w:tc>
      </w:tr>
      <w:tr>
        <w:tc>
          <w:tcPr>
            <w:tcW w:type="dxa" w:w="1600"/>
            <w:tcMar>
              <w:top w:type="dxa" w:w="80"/>
              <w:left w:type="dxa" w:w="100"/>
              <w:bottom w:type="dxa" w:w="80"/>
              <w:right w:type="dxa" w:w="100"/>
            </w:tcMar>
            <w:vAlign w:val="center"/>
          </w:tcPr>
          <w:p>
            <w:r>
              <w:rPr>
                <w:b w:val="false"/>
                <w:bCs w:val="false"/>
                <w:sz w:val="19"/>
                <w:szCs w:val="19"/>
              </w:rPr>
              <w:t xml:space="preserve">Email</w:t>
            </w:r>
          </w:p>
        </w:tc>
        <w:tc>
          <w:tcPr>
            <w:tcW w:type="dxa" w:w="1700"/>
            <w:tcMar>
              <w:top w:type="dxa" w:w="80"/>
              <w:left w:type="dxa" w:w="100"/>
              <w:bottom w:type="dxa" w:w="80"/>
              <w:right w:type="dxa" w:w="100"/>
            </w:tcMar>
            <w:vAlign w:val="center"/>
          </w:tcPr>
          <w:p>
            <w:r>
              <w:rPr>
                <w:b w:val="false"/>
                <w:bCs w:val="false"/>
                <w:sz w:val="19"/>
                <w:szCs w:val="19"/>
              </w:rPr>
              <w:t xml:space="preserve">2026-06-17</w:t>
            </w:r>
          </w:p>
        </w:tc>
        <w:tc>
          <w:tcPr>
            <w:tcW w:type="dxa" w:w="1900"/>
            <w:tcMar>
              <w:top w:type="dxa" w:w="80"/>
              <w:left w:type="dxa" w:w="100"/>
              <w:bottom w:type="dxa" w:w="80"/>
              <w:right w:type="dxa" w:w="100"/>
            </w:tcMar>
            <w:vAlign w:val="center"/>
          </w:tcPr>
          <w:p>
            <w:r>
              <w:rPr>
                <w:b w:val="false"/>
                <w:bCs w:val="false"/>
                <w:sz w:val="19"/>
                <w:szCs w:val="19"/>
              </w:rPr>
              <w:t xml:space="preserve">Live</w:t>
            </w:r>
          </w:p>
        </w:tc>
        <w:tc>
          <w:tcPr>
            <w:tcW w:type="dxa" w:w="4600"/>
            <w:tcMar>
              <w:top w:type="dxa" w:w="80"/>
              <w:left w:type="dxa" w:w="100"/>
              <w:bottom w:type="dxa" w:w="80"/>
              <w:right w:type="dxa" w:w="100"/>
            </w:tcMar>
            <w:vAlign w:val="center"/>
          </w:tcPr>
          <w:p>
            <w:r>
              <w:rPr>
                <w:b w:val="false"/>
                <w:bCs w:val="false"/>
                <w:sz w:val="19"/>
                <w:szCs w:val="19"/>
              </w:rPr>
              <w:t xml:space="preserve">Email conversations appearing in all reports. Pipeline confirmed working 2026-06-18. Historical data seeded from 2026-06-11.</w:t>
            </w:r>
          </w:p>
        </w:tc>
      </w:tr>
      <w:tr>
        <w:tc>
          <w:tcPr>
            <w:tcW w:type="dxa" w:w="1600"/>
            <w:tcMar>
              <w:top w:type="dxa" w:w="80"/>
              <w:left w:type="dxa" w:w="100"/>
              <w:bottom w:type="dxa" w:w="80"/>
              <w:right w:type="dxa" w:w="100"/>
            </w:tcMar>
            <w:vAlign w:val="center"/>
          </w:tcPr>
          <w:p>
            <w:r>
              <w:rPr>
                <w:b w:val="false"/>
                <w:bCs w:val="false"/>
                <w:sz w:val="19"/>
                <w:szCs w:val="19"/>
              </w:rPr>
              <w:t xml:space="preserve">WhatsApp</w:t>
            </w:r>
          </w:p>
        </w:tc>
        <w:tc>
          <w:tcPr>
            <w:tcW w:type="dxa" w:w="1700"/>
            <w:tcMar>
              <w:top w:type="dxa" w:w="80"/>
              <w:left w:type="dxa" w:w="100"/>
              <w:bottom w:type="dxa" w:w="80"/>
              <w:right w:type="dxa" w:w="100"/>
            </w:tcMar>
            <w:vAlign w:val="center"/>
          </w:tcPr>
          <w:p>
            <w:r>
              <w:rPr>
                <w:b w:val="false"/>
                <w:bCs w:val="false"/>
                <w:sz w:val="19"/>
                <w:szCs w:val="19"/>
              </w:rPr>
              <w:t xml:space="preserve">2026-06-22 (est.)</w:t>
            </w:r>
          </w:p>
        </w:tc>
        <w:tc>
          <w:tcPr>
            <w:tcW w:type="dxa" w:w="1900"/>
            <w:tcMar>
              <w:top w:type="dxa" w:w="80"/>
              <w:left w:type="dxa" w:w="100"/>
              <w:bottom w:type="dxa" w:w="80"/>
              <w:right w:type="dxa" w:w="100"/>
            </w:tcMar>
            <w:vAlign w:val="center"/>
          </w:tcPr>
          <w:p>
            <w:r>
              <w:rPr>
                <w:b w:val="false"/>
                <w:bCs w:val="false"/>
                <w:sz w:val="19"/>
                <w:szCs w:val="19"/>
              </w:rPr>
              <w:t xml:space="preserve">Pending</w:t>
            </w:r>
          </w:p>
        </w:tc>
        <w:tc>
          <w:tcPr>
            <w:tcW w:type="dxa" w:w="4600"/>
            <w:tcMar>
              <w:top w:type="dxa" w:w="80"/>
              <w:left w:type="dxa" w:w="100"/>
              <w:bottom w:type="dxa" w:w="80"/>
              <w:right w:type="dxa" w:w="100"/>
            </w:tcMar>
            <w:vAlign w:val="center"/>
          </w:tcPr>
          <w:p>
            <w:r>
              <w:rPr>
                <w:b w:val="false"/>
                <w:bCs w:val="false"/>
                <w:sz w:val="19"/>
                <w:szCs w:val="19"/>
              </w:rPr>
              <w:t xml:space="preserve">WhatsApp metrics zero until go-live. First full data expected 2026-06-23.</w:t>
            </w:r>
          </w:p>
        </w:tc>
      </w:tr>
      <w:tr>
        <w:tc>
          <w:tcPr>
            <w:tcW w:type="dxa" w:w="1600"/>
            <w:tcMar>
              <w:top w:type="dxa" w:w="80"/>
              <w:left w:type="dxa" w:w="100"/>
              <w:bottom w:type="dxa" w:w="80"/>
              <w:right w:type="dxa" w:w="100"/>
            </w:tcMar>
            <w:vAlign w:val="center"/>
          </w:tcPr>
          <w:p>
            <w:r>
              <w:rPr>
                <w:b w:val="false"/>
                <w:bCs w:val="false"/>
                <w:sz w:val="19"/>
                <w:szCs w:val="19"/>
              </w:rPr>
              <w:t xml:space="preserve">Voice</w:t>
            </w:r>
          </w:p>
        </w:tc>
        <w:tc>
          <w:tcPr>
            <w:tcW w:type="dxa" w:w="1700"/>
            <w:tcMar>
              <w:top w:type="dxa" w:w="80"/>
              <w:left w:type="dxa" w:w="100"/>
              <w:bottom w:type="dxa" w:w="80"/>
              <w:right w:type="dxa" w:w="100"/>
            </w:tcMar>
            <w:vAlign w:val="center"/>
          </w:tcPr>
          <w:p>
            <w:r>
              <w:rPr>
                <w:b w:val="false"/>
                <w:bCs w:val="false"/>
                <w:sz w:val="19"/>
                <w:szCs w:val="19"/>
              </w:rPr>
              <w:t xml:space="preserve">2026-06-22 (est.)</w:t>
            </w:r>
          </w:p>
        </w:tc>
        <w:tc>
          <w:tcPr>
            <w:tcW w:type="dxa" w:w="1900"/>
            <w:tcMar>
              <w:top w:type="dxa" w:w="80"/>
              <w:left w:type="dxa" w:w="100"/>
              <w:bottom w:type="dxa" w:w="80"/>
              <w:right w:type="dxa" w:w="100"/>
            </w:tcMar>
            <w:vAlign w:val="center"/>
          </w:tcPr>
          <w:p>
            <w:r>
              <w:rPr>
                <w:b w:val="false"/>
                <w:bCs w:val="false"/>
                <w:sz w:val="19"/>
                <w:szCs w:val="19"/>
              </w:rPr>
              <w:t xml:space="preserve">Pending</w:t>
            </w:r>
          </w:p>
        </w:tc>
        <w:tc>
          <w:tcPr>
            <w:tcW w:type="dxa" w:w="4600"/>
            <w:tcMar>
              <w:top w:type="dxa" w:w="80"/>
              <w:left w:type="dxa" w:w="100"/>
              <w:bottom w:type="dxa" w:w="80"/>
              <w:right w:type="dxa" w:w="100"/>
            </w:tcMar>
            <w:vAlign w:val="center"/>
          </w:tcPr>
          <w:p>
            <w:r>
              <w:rPr>
                <w:b w:val="false"/>
                <w:bCs w:val="false"/>
                <w:sz w:val="19"/>
                <w:szCs w:val="19"/>
              </w:rPr>
              <w:t xml:space="preserve">Voice AHT and queue metrics zero until go-live.</w:t>
            </w:r>
          </w:p>
        </w:tc>
      </w:tr>
    </w:tbl>
    <w:p>
      <w:pPr>
        <w:spacing w:after="140"/>
      </w:pPr>
      <w:r>
        <w:rPr>
          <w:b w:val="false"/>
          <w:bCs w:val="false"/>
          <w:i w:val="false"/>
          <w:iCs w:val="false"/>
        </w:rPr>
        <w:t xml:space="preserve">IMPORTANT (historical): Do not interpret zero values for WhatsApp and Voice before 2026-06-22 as failures. Once live, the nightly qContact export at 23:55 populated all dashboards automatically the next morning.</w:t>
      </w:r>
    </w:p>
    <w:p>
      <w:pPr>
        <w:pStyle w:val="Heading2"/>
        <w:spacing w:after="120" w:before="260"/>
      </w:pPr>
      <w:r>
        <w:t xml:space="preserve">2. System Architecture (v1.2, historical)</w:t>
      </w:r>
    </w:p>
    <w:p>
      <w:pPr>
        <w:pStyle w:val="Heading3"/>
        <w:spacing w:after="100" w:before="200"/>
      </w:pPr>
      <w:r>
        <w:t xml:space="preserve">2.1 Technology Stack (as at v1.2)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700"/>
        <w:gridCol w:w="3400"/>
        <w:gridCol w:w="3800"/>
      </w:tblGrid>
      <w:tr>
        <w:trPr>
          <w:tblHeader/>
        </w:trPr>
        <w:tc>
          <w:tcPr>
            <w:tcW w:type="dxa" w:w="1700"/>
            <w:shd w:fill="1e1e1e" w:val="clear"/>
            <w:tcMar>
              <w:top w:type="dxa" w:w="80"/>
              <w:left w:type="dxa" w:w="100"/>
              <w:bottom w:type="dxa" w:w="80"/>
              <w:right w:type="dxa" w:w="100"/>
            </w:tcMar>
            <w:vAlign w:val="center"/>
          </w:tcPr>
          <w:p>
            <w:r>
              <w:rPr>
                <w:b/>
                <w:bCs/>
                <w:color w:val="FFFFFF"/>
                <w:sz w:val="18"/>
                <w:szCs w:val="18"/>
              </w:rPr>
              <w:t xml:space="preserve">Layer</w:t>
            </w:r>
          </w:p>
        </w:tc>
        <w:tc>
          <w:tcPr>
            <w:tcW w:type="dxa" w:w="3400"/>
            <w:shd w:fill="1e1e1e" w:val="clear"/>
            <w:tcMar>
              <w:top w:type="dxa" w:w="80"/>
              <w:left w:type="dxa" w:w="100"/>
              <w:bottom w:type="dxa" w:w="80"/>
              <w:right w:type="dxa" w:w="100"/>
            </w:tcMar>
            <w:vAlign w:val="center"/>
          </w:tcPr>
          <w:p>
            <w:r>
              <w:rPr>
                <w:b/>
                <w:bCs/>
                <w:color w:val="FFFFFF"/>
                <w:sz w:val="18"/>
                <w:szCs w:val="18"/>
              </w:rPr>
              <w:t xml:space="preserve">Technology</w:t>
            </w:r>
          </w:p>
        </w:tc>
        <w:tc>
          <w:tcPr>
            <w:tcW w:type="dxa" w:w="3800"/>
            <w:shd w:fill="1e1e1e" w:val="clear"/>
            <w:tcMar>
              <w:top w:type="dxa" w:w="80"/>
              <w:left w:type="dxa" w:w="100"/>
              <w:bottom w:type="dxa" w:w="80"/>
              <w:right w:type="dxa" w:w="100"/>
            </w:tcMar>
            <w:vAlign w:val="center"/>
          </w:tcPr>
          <w:p>
            <w:r>
              <w:rPr>
                <w:b/>
                <w:bCs/>
                <w:color w:val="FFFFFF"/>
                <w:sz w:val="18"/>
                <w:szCs w:val="18"/>
              </w:rPr>
              <w:t xml:space="preserve">Purpose</w:t>
            </w:r>
          </w:p>
        </w:tc>
      </w:tr>
      <w:tr>
        <w:tc>
          <w:tcPr>
            <w:tcW w:type="dxa" w:w="1700"/>
            <w:tcMar>
              <w:top w:type="dxa" w:w="80"/>
              <w:left w:type="dxa" w:w="100"/>
              <w:bottom w:type="dxa" w:w="80"/>
              <w:right w:type="dxa" w:w="100"/>
            </w:tcMar>
            <w:vAlign w:val="center"/>
          </w:tcPr>
          <w:p>
            <w:r>
              <w:rPr>
                <w:b w:val="false"/>
                <w:bCs w:val="false"/>
                <w:sz w:val="19"/>
                <w:szCs w:val="19"/>
              </w:rPr>
              <w:t xml:space="preserve">Frontend</w:t>
            </w:r>
          </w:p>
        </w:tc>
        <w:tc>
          <w:tcPr>
            <w:tcW w:type="dxa" w:w="3400"/>
            <w:tcMar>
              <w:top w:type="dxa" w:w="80"/>
              <w:left w:type="dxa" w:w="100"/>
              <w:bottom w:type="dxa" w:w="80"/>
              <w:right w:type="dxa" w:w="100"/>
            </w:tcMar>
            <w:vAlign w:val="center"/>
          </w:tcPr>
          <w:p>
            <w:r>
              <w:rPr>
                <w:b w:val="false"/>
                <w:bCs w:val="false"/>
                <w:sz w:val="19"/>
                <w:szCs w:val="19"/>
              </w:rPr>
              <w:t xml:space="preserve">HTML / CSS / Vanilla JS</w:t>
            </w:r>
          </w:p>
        </w:tc>
        <w:tc>
          <w:tcPr>
            <w:tcW w:type="dxa" w:w="3800"/>
            <w:tcMar>
              <w:top w:type="dxa" w:w="80"/>
              <w:left w:type="dxa" w:w="100"/>
              <w:bottom w:type="dxa" w:w="80"/>
              <w:right w:type="dxa" w:w="100"/>
            </w:tcMar>
            <w:vAlign w:val="center"/>
          </w:tcPr>
          <w:p>
            <w:r>
              <w:rPr>
                <w:b w:val="false"/>
                <w:bCs w:val="false"/>
                <w:sz w:val="19"/>
                <w:szCs w:val="19"/>
              </w:rPr>
              <w:t xml:space="preserve">Dashboard UI, charts, modals</w:t>
            </w:r>
          </w:p>
        </w:tc>
      </w:tr>
      <w:tr>
        <w:tc>
          <w:tcPr>
            <w:tcW w:type="dxa" w:w="1700"/>
            <w:tcMar>
              <w:top w:type="dxa" w:w="80"/>
              <w:left w:type="dxa" w:w="100"/>
              <w:bottom w:type="dxa" w:w="80"/>
              <w:right w:type="dxa" w:w="100"/>
            </w:tcMar>
            <w:vAlign w:val="center"/>
          </w:tcPr>
          <w:p>
            <w:r>
              <w:rPr>
                <w:b w:val="false"/>
                <w:bCs w:val="false"/>
                <w:sz w:val="19"/>
                <w:szCs w:val="19"/>
              </w:rPr>
              <w:t xml:space="preserve">Hosting</w:t>
            </w:r>
          </w:p>
        </w:tc>
        <w:tc>
          <w:tcPr>
            <w:tcW w:type="dxa" w:w="3400"/>
            <w:tcMar>
              <w:top w:type="dxa" w:w="80"/>
              <w:left w:type="dxa" w:w="100"/>
              <w:bottom w:type="dxa" w:w="80"/>
              <w:right w:type="dxa" w:w="100"/>
            </w:tcMar>
            <w:vAlign w:val="center"/>
          </w:tcPr>
          <w:p>
            <w:r>
              <w:rPr>
                <w:b w:val="false"/>
                <w:bCs w:val="false"/>
                <w:sz w:val="19"/>
                <w:szCs w:val="19"/>
              </w:rPr>
              <w:t xml:space="preserve">GitHub Pages (mis.trilogybpo.com)</w:t>
            </w:r>
          </w:p>
        </w:tc>
        <w:tc>
          <w:tcPr>
            <w:tcW w:type="dxa" w:w="3800"/>
            <w:tcMar>
              <w:top w:type="dxa" w:w="80"/>
              <w:left w:type="dxa" w:w="100"/>
              <w:bottom w:type="dxa" w:w="80"/>
              <w:right w:type="dxa" w:w="100"/>
            </w:tcMar>
            <w:vAlign w:val="center"/>
          </w:tcPr>
          <w:p>
            <w:r>
              <w:rPr>
                <w:b w:val="false"/>
                <w:bCs w:val="false"/>
                <w:sz w:val="19"/>
                <w:szCs w:val="19"/>
              </w:rPr>
              <w:t xml:space="preserve">Static hosting via Cloudflare CNAME (DNS only)</w:t>
            </w:r>
          </w:p>
        </w:tc>
      </w:tr>
      <w:tr>
        <w:tc>
          <w:tcPr>
            <w:tcW w:type="dxa" w:w="1700"/>
            <w:tcMar>
              <w:top w:type="dxa" w:w="80"/>
              <w:left w:type="dxa" w:w="100"/>
              <w:bottom w:type="dxa" w:w="80"/>
              <w:right w:type="dxa" w:w="100"/>
            </w:tcMar>
            <w:vAlign w:val="center"/>
          </w:tcPr>
          <w:p>
            <w:r>
              <w:rPr>
                <w:b w:val="false"/>
                <w:bCs w:val="false"/>
                <w:sz w:val="19"/>
                <w:szCs w:val="19"/>
              </w:rPr>
              <w:t xml:space="preserve">Authentication</w:t>
            </w:r>
          </w:p>
        </w:tc>
        <w:tc>
          <w:tcPr>
            <w:tcW w:type="dxa" w:w="3400"/>
            <w:tcMar>
              <w:top w:type="dxa" w:w="80"/>
              <w:left w:type="dxa" w:w="100"/>
              <w:bottom w:type="dxa" w:w="80"/>
              <w:right w:type="dxa" w:w="100"/>
            </w:tcMar>
            <w:vAlign w:val="center"/>
          </w:tcPr>
          <w:p>
            <w:r>
              <w:rPr>
                <w:b w:val="false"/>
                <w:bCs w:val="false"/>
                <w:sz w:val="19"/>
                <w:szCs w:val="19"/>
              </w:rPr>
              <w:t xml:space="preserve">Microsoft Entra ID (MSAL Browser v3)</w:t>
            </w:r>
          </w:p>
        </w:tc>
        <w:tc>
          <w:tcPr>
            <w:tcW w:type="dxa" w:w="3800"/>
            <w:tcMar>
              <w:top w:type="dxa" w:w="80"/>
              <w:left w:type="dxa" w:w="100"/>
              <w:bottom w:type="dxa" w:w="80"/>
              <w:right w:type="dxa" w:w="100"/>
            </w:tcMar>
            <w:vAlign w:val="center"/>
          </w:tcPr>
          <w:p>
            <w:r>
              <w:rPr>
                <w:b w:val="false"/>
                <w:bCs w:val="false"/>
                <w:sz w:val="19"/>
                <w:szCs w:val="19"/>
              </w:rPr>
              <w:t xml:space="preserve">SSO login, role-based access control</w:t>
            </w:r>
          </w:p>
        </w:tc>
      </w:tr>
      <w:tr>
        <w:tc>
          <w:tcPr>
            <w:tcW w:type="dxa" w:w="1700"/>
            <w:tcMar>
              <w:top w:type="dxa" w:w="80"/>
              <w:left w:type="dxa" w:w="100"/>
              <w:bottom w:type="dxa" w:w="80"/>
              <w:right w:type="dxa" w:w="100"/>
            </w:tcMar>
            <w:vAlign w:val="center"/>
          </w:tcPr>
          <w:p>
            <w:r>
              <w:rPr>
                <w:b w:val="false"/>
                <w:bCs w:val="false"/>
                <w:sz w:val="19"/>
                <w:szCs w:val="19"/>
              </w:rPr>
              <w:t xml:space="preserve">Automation</w:t>
            </w:r>
          </w:p>
        </w:tc>
        <w:tc>
          <w:tcPr>
            <w:tcW w:type="dxa" w:w="3400"/>
            <w:tcMar>
              <w:top w:type="dxa" w:w="80"/>
              <w:left w:type="dxa" w:w="100"/>
              <w:bottom w:type="dxa" w:w="80"/>
              <w:right w:type="dxa" w:w="100"/>
            </w:tcMar>
            <w:vAlign w:val="center"/>
          </w:tcPr>
          <w:p>
            <w:r>
              <w:rPr>
                <w:b w:val="false"/>
                <w:bCs w:val="false"/>
                <w:sz w:val="19"/>
                <w:szCs w:val="19"/>
              </w:rPr>
              <w:t xml:space="preserve">Power Automate (10 flows + 1 ingestion flow)</w:t>
            </w:r>
          </w:p>
        </w:tc>
        <w:tc>
          <w:tcPr>
            <w:tcW w:type="dxa" w:w="3800"/>
            <w:tcMar>
              <w:top w:type="dxa" w:w="80"/>
              <w:left w:type="dxa" w:w="100"/>
              <w:bottom w:type="dxa" w:w="80"/>
              <w:right w:type="dxa" w:w="100"/>
            </w:tcMar>
            <w:vAlign w:val="center"/>
          </w:tcPr>
          <w:p>
            <w:r>
              <w:rPr>
                <w:b w:val="false"/>
                <w:bCs w:val="false"/>
                <w:sz w:val="19"/>
                <w:szCs w:val="19"/>
              </w:rPr>
              <w:t xml:space="preserve">SQL queries, user management, data ingestion</w:t>
            </w:r>
          </w:p>
        </w:tc>
      </w:tr>
      <w:tr>
        <w:tc>
          <w:tcPr>
            <w:tcW w:type="dxa" w:w="1700"/>
            <w:tcMar>
              <w:top w:type="dxa" w:w="80"/>
              <w:left w:type="dxa" w:w="100"/>
              <w:bottom w:type="dxa" w:w="80"/>
              <w:right w:type="dxa" w:w="100"/>
            </w:tcMar>
            <w:vAlign w:val="center"/>
          </w:tcPr>
          <w:p>
            <w:r>
              <w:rPr>
                <w:b w:val="false"/>
                <w:bCs w:val="false"/>
                <w:sz w:val="19"/>
                <w:szCs w:val="19"/>
              </w:rPr>
              <w:t xml:space="preserve">Database</w:t>
            </w:r>
          </w:p>
        </w:tc>
        <w:tc>
          <w:tcPr>
            <w:tcW w:type="dxa" w:w="3400"/>
            <w:tcMar>
              <w:top w:type="dxa" w:w="80"/>
              <w:left w:type="dxa" w:w="100"/>
              <w:bottom w:type="dxa" w:w="80"/>
              <w:right w:type="dxa" w:w="100"/>
            </w:tcMar>
            <w:vAlign w:val="center"/>
          </w:tcPr>
          <w:p>
            <w:r>
              <w:rPr>
                <w:b w:val="false"/>
                <w:bCs w:val="false"/>
                <w:sz w:val="19"/>
                <w:szCs w:val="19"/>
              </w:rPr>
              <w:t xml:space="preserve">Azure SQL (TrilogyMIS)</w:t>
            </w:r>
          </w:p>
        </w:tc>
        <w:tc>
          <w:tcPr>
            <w:tcW w:type="dxa" w:w="3800"/>
            <w:tcMar>
              <w:top w:type="dxa" w:w="80"/>
              <w:left w:type="dxa" w:w="100"/>
              <w:bottom w:type="dxa" w:w="80"/>
              <w:right w:type="dxa" w:w="100"/>
            </w:tcMar>
            <w:vAlign w:val="center"/>
          </w:tcPr>
          <w:p>
            <w:r>
              <w:rPr>
                <w:b w:val="false"/>
                <w:bCs w:val="false"/>
                <w:sz w:val="19"/>
                <w:szCs w:val="19"/>
              </w:rPr>
              <w:t xml:space="preserve">All campaign reporting data</w:t>
            </w:r>
          </w:p>
        </w:tc>
      </w:tr>
      <w:tr>
        <w:tc>
          <w:tcPr>
            <w:tcW w:type="dxa" w:w="1700"/>
            <w:tcMar>
              <w:top w:type="dxa" w:w="80"/>
              <w:left w:type="dxa" w:w="100"/>
              <w:bottom w:type="dxa" w:w="80"/>
              <w:right w:type="dxa" w:w="100"/>
            </w:tcMar>
            <w:vAlign w:val="center"/>
          </w:tcPr>
          <w:p>
            <w:r>
              <w:rPr>
                <w:b w:val="false"/>
                <w:bCs w:val="false"/>
                <w:sz w:val="19"/>
                <w:szCs w:val="19"/>
              </w:rPr>
              <w:t xml:space="preserve">Data ingest</w:t>
            </w:r>
          </w:p>
        </w:tc>
        <w:tc>
          <w:tcPr>
            <w:tcW w:type="dxa" w:w="3400"/>
            <w:tcMar>
              <w:top w:type="dxa" w:w="80"/>
              <w:left w:type="dxa" w:w="100"/>
              <w:bottom w:type="dxa" w:w="80"/>
              <w:right w:type="dxa" w:w="100"/>
            </w:tcMar>
            <w:vAlign w:val="center"/>
          </w:tcPr>
          <w:p>
            <w:r>
              <w:rPr>
                <w:b w:val="false"/>
                <w:bCs w:val="false"/>
                <w:sz w:val="19"/>
                <w:szCs w:val="19"/>
              </w:rPr>
              <w:t xml:space="preserve">MIS-EmailIngestion (PA) + Office Scripts (Excel)</w:t>
            </w:r>
          </w:p>
        </w:tc>
        <w:tc>
          <w:tcPr>
            <w:tcW w:type="dxa" w:w="3800"/>
            <w:tcMar>
              <w:top w:type="dxa" w:w="80"/>
              <w:left w:type="dxa" w:w="100"/>
              <w:bottom w:type="dxa" w:w="80"/>
              <w:right w:type="dxa" w:w="100"/>
            </w:tcMar>
            <w:vAlign w:val="center"/>
          </w:tcPr>
          <w:p>
            <w:r>
              <w:rPr>
                <w:b w:val="false"/>
                <w:bCs w:val="false"/>
                <w:sz w:val="19"/>
                <w:szCs w:val="19"/>
              </w:rPr>
              <w:t xml:space="preserve">Nightly CSV parsing from qContact via email — DEPRECATED v2.0, see Part B</w:t>
            </w:r>
          </w:p>
        </w:tc>
      </w:tr>
      <w:tr>
        <w:tc>
          <w:tcPr>
            <w:tcW w:type="dxa" w:w="1700"/>
            <w:tcMar>
              <w:top w:type="dxa" w:w="80"/>
              <w:left w:type="dxa" w:w="100"/>
              <w:bottom w:type="dxa" w:w="80"/>
              <w:right w:type="dxa" w:w="100"/>
            </w:tcMar>
            <w:vAlign w:val="center"/>
          </w:tcPr>
          <w:p>
            <w:r>
              <w:rPr>
                <w:b w:val="false"/>
                <w:bCs w:val="false"/>
                <w:sz w:val="19"/>
                <w:szCs w:val="19"/>
              </w:rPr>
              <w:t xml:space="preserve">Charts</w:t>
            </w:r>
          </w:p>
        </w:tc>
        <w:tc>
          <w:tcPr>
            <w:tcW w:type="dxa" w:w="3400"/>
            <w:tcMar>
              <w:top w:type="dxa" w:w="80"/>
              <w:left w:type="dxa" w:w="100"/>
              <w:bottom w:type="dxa" w:w="80"/>
              <w:right w:type="dxa" w:w="100"/>
            </w:tcMar>
            <w:vAlign w:val="center"/>
          </w:tcPr>
          <w:p>
            <w:r>
              <w:rPr>
                <w:b w:val="false"/>
                <w:bCs w:val="false"/>
                <w:sz w:val="19"/>
                <w:szCs w:val="19"/>
              </w:rPr>
              <w:t xml:space="preserve">Chart.js 4.4.0 (cdnjs)</w:t>
            </w:r>
          </w:p>
        </w:tc>
        <w:tc>
          <w:tcPr>
            <w:tcW w:type="dxa" w:w="3800"/>
            <w:tcMar>
              <w:top w:type="dxa" w:w="80"/>
              <w:left w:type="dxa" w:w="100"/>
              <w:bottom w:type="dxa" w:w="80"/>
              <w:right w:type="dxa" w:w="100"/>
            </w:tcMar>
            <w:vAlign w:val="center"/>
          </w:tcPr>
          <w:p>
            <w:r>
              <w:rPr>
                <w:b w:val="false"/>
                <w:bCs w:val="false"/>
                <w:sz w:val="19"/>
                <w:szCs w:val="19"/>
              </w:rPr>
              <w:t xml:space="preserve">Bar, line, doughnut visualisations</w:t>
            </w:r>
          </w:p>
        </w:tc>
      </w:tr>
    </w:tbl>
    <w:p>
      <w:pPr>
        <w:pStyle w:val="Heading3"/>
        <w:spacing w:after="100" w:before="200"/>
      </w:pPr>
      <w:r>
        <w:t xml:space="preserve">2.2 File Structure (v1.2 — DEPRECATED, see Part B §12 for current structure)</w:t>
      </w:r>
    </w:p>
    <w:tbl>
      <w:tblPr>
        <w:tblW w:type="pct" w:w="100%"/>
        <w:tblBorders>
          <w:top w:val="single" w:color="d0d0d0" w:sz="4"/>
          <w:left w:val="single" w:color="d0d0d0" w:sz="4"/>
          <w:bottom w:val="single" w:color="d0d0d0" w:sz="4"/>
          <w:right w:val="single" w:color="d0d0d0" w:sz="4"/>
          <w:insideH w:val="single" w:color="auto" w:sz="4"/>
          <w:insideV w:val="single" w:color="auto" w:sz="4"/>
        </w:tblBorders>
      </w:tblPr>
      <w:tblGrid>
        <w:gridCol w:w="100"/>
      </w:tblGrid>
      <w:tr>
        <w:tc>
          <w:tcPr>
            <w:shd w:fill="f0f0f0" w:val="clear"/>
            <w:tcMar>
              <w:top w:type="dxa" w:w="120"/>
              <w:left w:type="dxa" w:w="160"/>
              <w:bottom w:type="dxa" w:w="120"/>
              <w:right w:type="dxa" w:w="160"/>
            </w:tcMar>
          </w:tcPr>
          <w:p>
            <w:pPr>
              <w:spacing w:after="20"/>
            </w:pPr>
            <w:r>
              <w:rPr>
                <w:rFonts w:ascii="Consolas" w:cs="Consolas" w:eastAsia="Consolas" w:hAnsi="Consolas"/>
                <w:color w:val="333333"/>
                <w:sz w:val="18"/>
                <w:szCs w:val="18"/>
              </w:rPr>
              <w:t xml:space="preserve">mis/ (GitHub repository root)</w:t>
            </w:r>
          </w:p>
          <w:p>
            <w:pPr>
              <w:spacing w:after="20"/>
            </w:pPr>
            <w:r>
              <w:rPr>
                <w:rFonts w:ascii="Consolas" w:cs="Consolas" w:eastAsia="Consolas" w:hAnsi="Consolas"/>
                <w:color w:val="333333"/>
                <w:sz w:val="18"/>
                <w:szCs w:val="18"/>
              </w:rPr>
              <w:t xml:space="preserve">├── index.html          # Login + campaign selector</w:t>
            </w:r>
          </w:p>
          <w:p>
            <w:pPr>
              <w:spacing w:after="20"/>
            </w:pPr>
            <w:r>
              <w:rPr>
                <w:rFonts w:ascii="Consolas" w:cs="Consolas" w:eastAsia="Consolas" w:hAnsi="Consolas"/>
                <w:color w:val="333333"/>
                <w:sz w:val="18"/>
                <w:szCs w:val="18"/>
              </w:rPr>
              <w:t xml:space="preserve">├── admin.html           # Admin panel (standalone password)</w:t>
            </w:r>
          </w:p>
          <w:p>
            <w:pPr>
              <w:spacing w:after="20"/>
            </w:pPr>
            <w:r>
              <w:rPr>
                <w:rFonts w:ascii="Consolas" w:cs="Consolas" w:eastAsia="Consolas" w:hAnsi="Consolas"/>
                <w:color w:val="333333"/>
                <w:sz w:val="18"/>
                <w:szCs w:val="18"/>
              </w:rPr>
              <w:t xml:space="preserve">├── trilogy-logo.png     # Brand logo</w:t>
            </w:r>
          </w:p>
          <w:p>
            <w:pPr>
              <w:spacing w:after="20"/>
            </w:pPr>
            <w:r>
              <w:rPr>
                <w:rFonts w:ascii="Consolas" w:cs="Consolas" w:eastAsia="Consolas" w:hAnsi="Consolas"/>
                <w:color w:val="333333"/>
                <w:sz w:val="18"/>
                <w:szCs w:val="18"/>
              </w:rPr>
              <w:t xml:space="preserve">└── nadclinic/</w:t>
            </w:r>
          </w:p>
          <w:p>
            <w:pPr>
              <w:spacing w:after="20"/>
            </w:pPr>
            <w:r>
              <w:rPr>
                <w:rFonts w:ascii="Consolas" w:cs="Consolas" w:eastAsia="Consolas" w:hAnsi="Consolas"/>
                <w:color w:val="333333"/>
                <w:sz w:val="18"/>
                <w:szCs w:val="18"/>
              </w:rPr>
              <w:t xml:space="preserve">    ├── daily.html       # Daily dashboard        [DEPRECATED]</w:t>
            </w:r>
          </w:p>
          <w:p>
            <w:pPr>
              <w:spacing w:after="20"/>
            </w:pPr>
            <w:r>
              <w:rPr>
                <w:rFonts w:ascii="Consolas" w:cs="Consolas" w:eastAsia="Consolas" w:hAnsi="Consolas"/>
                <w:color w:val="333333"/>
                <w:sz w:val="18"/>
                <w:szCs w:val="18"/>
              </w:rPr>
              <w:t xml:space="preserve">    ├── weekly.html      # Weekly trends           [DEPRECATED]</w:t>
            </w:r>
          </w:p>
          <w:p>
            <w:pPr>
              <w:spacing w:after="20"/>
            </w:pPr>
            <w:r>
              <w:rPr>
                <w:rFonts w:ascii="Consolas" w:cs="Consolas" w:eastAsia="Consolas" w:hAnsi="Consolas"/>
                <w:color w:val="333333"/>
                <w:sz w:val="18"/>
                <w:szCs w:val="18"/>
              </w:rPr>
              <w:t xml:space="preserve">    ├── monthly.html     # Monthly report          [DEPRECATED]</w:t>
            </w:r>
          </w:p>
          <w:p>
            <w:pPr>
              <w:spacing w:after="20"/>
            </w:pPr>
            <w:r>
              <w:rPr>
                <w:rFonts w:ascii="Consolas" w:cs="Consolas" w:eastAsia="Consolas" w:hAnsi="Consolas"/>
                <w:color w:val="333333"/>
                <w:sz w:val="18"/>
                <w:szCs w:val="18"/>
              </w:rPr>
              <w:t xml:space="preserve">    ├── agents.html      # Agent performance       [DEPRECATED]</w:t>
            </w:r>
          </w:p>
          <w:p>
            <w:pPr>
              <w:spacing w:after="20"/>
            </w:pPr>
            <w:r>
              <w:rPr>
                <w:rFonts w:ascii="Consolas" w:cs="Consolas" w:eastAsia="Consolas" w:hAnsi="Consolas"/>
                <w:color w:val="333333"/>
                <w:sz w:val="18"/>
                <w:szCs w:val="18"/>
              </w:rPr>
              <w:t xml:space="preserve">    ├── queue.html       # Queue analysis          [DEPRECATED]</w:t>
            </w:r>
          </w:p>
          <w:p>
            <w:pPr>
              <w:spacing w:after="20"/>
            </w:pPr>
            <w:r>
              <w:rPr>
                <w:rFonts w:ascii="Consolas" w:cs="Consolas" w:eastAsia="Consolas" w:hAnsi="Consolas"/>
                <w:color w:val="333333"/>
                <w:sz w:val="18"/>
                <w:szCs w:val="18"/>
              </w:rPr>
              <w:t xml:space="preserve">    └── sla.html         # SLA dashboard           [DEPRECATED]</w:t>
            </w:r>
          </w:p>
        </w:tc>
      </w:tr>
    </w:tbl>
    <w:p>
      <w:pPr>
        <w:spacing w:after="140"/>
      </w:pPr>
    </w:p>
    <w:p>
      <w:pPr>
        <w:pStyle w:val="Heading2"/>
        <w:spacing w:after="120" w:before="260"/>
      </w:pPr>
      <w:r>
        <w:t xml:space="preserve">3. Power Automate Flows (v1.2, historical)</w:t>
      </w:r>
    </w:p>
    <w:p>
      <w:pPr>
        <w:spacing w:after="140"/>
      </w:pPr>
      <w:r>
        <w:rPr>
          <w:b w:val="false"/>
          <w:bCs w:val="false"/>
          <w:i w:val="false"/>
          <w:iCs w:val="false"/>
        </w:rPr>
        <w:t xml:space="preserve">All dashboard flows used: HTTP trigger → Execute a query V2 → Compose → Response. Server: trilogy-hr.database.windows.net / TrilogyMIS.</w:t>
      </w:r>
    </w:p>
    <w:p>
      <w:pPr>
        <w:spacing w:after="140"/>
      </w:pPr>
      <w:r>
        <w:rPr>
          <w:b/>
          <w:bCs/>
          <w:i w:val="false"/>
          <w:iCs w:val="false"/>
        </w:rPr>
        <w:t xml:space="preserve">CRITICAL (still relevant): Compose inputs must be entered via the Expression (fx) tab, not typed as plain text — plain text gets frozen as a literal value rather than staying a live reference. This exact failure mode recurred repeatedly during the v2.0 build (see Part B §10.4).</w:t>
      </w:r>
    </w:p>
    <w:p>
      <w:pPr>
        <w:pStyle w:val="Heading3"/>
        <w:spacing w:after="100" w:before="200"/>
      </w:pPr>
      <w:r>
        <w:t xml:space="preserve">3.1 Legacy Dashboard Flow Reference (all DEPRECATED v2.0)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300"/>
      </w:tblGrid>
      <w:tr>
        <w:trPr>
          <w:tblHeader/>
        </w:trPr>
        <w:tc>
          <w:tcPr>
            <w:tcW w:type="dxa" w:w="2600"/>
            <w:shd w:fill="1e1e1e" w:val="clear"/>
            <w:tcMar>
              <w:top w:type="dxa" w:w="80"/>
              <w:left w:type="dxa" w:w="100"/>
              <w:bottom w:type="dxa" w:w="80"/>
              <w:right w:type="dxa" w:w="100"/>
            </w:tcMar>
            <w:vAlign w:val="center"/>
          </w:tcPr>
          <w:p>
            <w:r>
              <w:rPr>
                <w:b/>
                <w:bCs/>
                <w:color w:val="FFFFFF"/>
                <w:sz w:val="18"/>
                <w:szCs w:val="18"/>
              </w:rPr>
              <w:t xml:space="preserve">Flow name</w:t>
            </w:r>
          </w:p>
        </w:tc>
        <w:tc>
          <w:tcPr>
            <w:tcW w:type="dxa" w:w="3600"/>
            <w:shd w:fill="1e1e1e" w:val="clear"/>
            <w:tcMar>
              <w:top w:type="dxa" w:w="80"/>
              <w:left w:type="dxa" w:w="100"/>
              <w:bottom w:type="dxa" w:w="80"/>
              <w:right w:type="dxa" w:w="100"/>
            </w:tcMar>
            <w:vAlign w:val="center"/>
          </w:tcPr>
          <w:p>
            <w:r>
              <w:rPr>
                <w:b/>
                <w:bCs/>
                <w:color w:val="FFFFFF"/>
                <w:sz w:val="18"/>
                <w:szCs w:val="18"/>
              </w:rPr>
              <w:t xml:space="preserve">Workflow ID</w:t>
            </w:r>
          </w:p>
        </w:tc>
        <w:tc>
          <w:tcPr>
            <w:tcW w:type="dxa" w:w="3300"/>
            <w:shd w:fill="1e1e1e" w:val="clear"/>
            <w:tcMar>
              <w:top w:type="dxa" w:w="80"/>
              <w:left w:type="dxa" w:w="100"/>
              <w:bottom w:type="dxa" w:w="80"/>
              <w:right w:type="dxa" w:w="100"/>
            </w:tcMar>
            <w:vAlign w:val="center"/>
          </w:tcPr>
          <w:p>
            <w:r>
              <w:rPr>
                <w:b/>
                <w:bCs/>
                <w:color w:val="FFFFFF"/>
                <w:sz w:val="18"/>
                <w:szCs w:val="18"/>
              </w:rPr>
              <w:t xml:space="preserve">Status</w:t>
            </w:r>
          </w:p>
        </w:tc>
      </w:tr>
      <w:tr>
        <w:tc>
          <w:tcPr>
            <w:tcW w:type="dxa" w:w="2600"/>
            <w:tcMar>
              <w:top w:type="dxa" w:w="80"/>
              <w:left w:type="dxa" w:w="100"/>
              <w:bottom w:type="dxa" w:w="80"/>
              <w:right w:type="dxa" w:w="100"/>
            </w:tcMar>
            <w:vAlign w:val="center"/>
          </w:tcPr>
          <w:p>
            <w:r>
              <w:rPr>
                <w:b w:val="false"/>
                <w:bCs w:val="false"/>
                <w:sz w:val="19"/>
                <w:szCs w:val="19"/>
              </w:rPr>
              <w:t xml:space="preserve">MIS-ValidateUser</w:t>
            </w:r>
          </w:p>
        </w:tc>
        <w:tc>
          <w:tcPr>
            <w:tcW w:type="dxa" w:w="3600"/>
            <w:tcMar>
              <w:top w:type="dxa" w:w="80"/>
              <w:left w:type="dxa" w:w="100"/>
              <w:bottom w:type="dxa" w:w="80"/>
              <w:right w:type="dxa" w:w="100"/>
            </w:tcMar>
            <w:vAlign w:val="center"/>
          </w:tcPr>
          <w:p>
            <w:r>
              <w:rPr>
                <w:b w:val="false"/>
                <w:bCs w:val="false"/>
                <w:sz w:val="19"/>
                <w:szCs w:val="19"/>
              </w:rPr>
              <w:t xml:space="preserve">7c9e3ad348f3419da97081e29723d328</w:t>
            </w:r>
          </w:p>
        </w:tc>
        <w:tc>
          <w:tcPr>
            <w:tcW w:type="dxa" w:w="3300"/>
            <w:tcMar>
              <w:top w:type="dxa" w:w="80"/>
              <w:left w:type="dxa" w:w="100"/>
              <w:bottom w:type="dxa" w:w="80"/>
              <w:right w:type="dxa" w:w="100"/>
            </w:tcMar>
            <w:vAlign w:val="center"/>
          </w:tcPr>
          <w:p>
            <w:r>
              <w:rPr>
                <w:b w:val="false"/>
                <w:bCs w:val="false"/>
                <w:sz w:val="19"/>
                <w:szCs w:val="19"/>
              </w:rPr>
              <w:t xml:space="preserve">ACTIVE — still used by index.html</w:t>
            </w:r>
          </w:p>
        </w:tc>
      </w:tr>
      <w:tr>
        <w:tc>
          <w:tcPr>
            <w:tcW w:type="dxa" w:w="2600"/>
            <w:tcMar>
              <w:top w:type="dxa" w:w="80"/>
              <w:left w:type="dxa" w:w="100"/>
              <w:bottom w:type="dxa" w:w="80"/>
              <w:right w:type="dxa" w:w="100"/>
            </w:tcMar>
            <w:vAlign w:val="center"/>
          </w:tcPr>
          <w:p>
            <w:r>
              <w:rPr>
                <w:b w:val="false"/>
                <w:bCs w:val="false"/>
                <w:sz w:val="19"/>
                <w:szCs w:val="19"/>
              </w:rPr>
              <w:t xml:space="preserve">MIS-GetDailyDashboard</w:t>
            </w:r>
          </w:p>
        </w:tc>
        <w:tc>
          <w:tcPr>
            <w:tcW w:type="dxa" w:w="3600"/>
            <w:tcMar>
              <w:top w:type="dxa" w:w="80"/>
              <w:left w:type="dxa" w:w="100"/>
              <w:bottom w:type="dxa" w:w="80"/>
              <w:right w:type="dxa" w:w="100"/>
            </w:tcMar>
            <w:vAlign w:val="center"/>
          </w:tcPr>
          <w:p>
            <w:r>
              <w:rPr>
                <w:b w:val="false"/>
                <w:bCs w:val="false"/>
                <w:sz w:val="19"/>
                <w:szCs w:val="19"/>
              </w:rPr>
              <w:t xml:space="preserve">77251daed25b455abfcfba041f1296db</w:t>
            </w:r>
          </w:p>
        </w:tc>
        <w:tc>
          <w:tcPr>
            <w:tcW w:type="dxa" w:w="3300"/>
            <w:tcMar>
              <w:top w:type="dxa" w:w="80"/>
              <w:left w:type="dxa" w:w="100"/>
              <w:bottom w:type="dxa" w:w="80"/>
              <w:right w:type="dxa" w:w="100"/>
            </w:tcMar>
            <w:vAlign w:val="center"/>
          </w:tcPr>
          <w:p>
            <w:r>
              <w:rPr>
                <w:b w:val="false"/>
                <w:bCs w:val="false"/>
                <w:sz w:val="19"/>
                <w:szCs w:val="19"/>
              </w:rPr>
              <w:t xml:space="preserve">DEPRECATED — pending deletion</w:t>
            </w:r>
          </w:p>
        </w:tc>
      </w:tr>
      <w:tr>
        <w:tc>
          <w:tcPr>
            <w:tcW w:type="dxa" w:w="2600"/>
            <w:tcMar>
              <w:top w:type="dxa" w:w="80"/>
              <w:left w:type="dxa" w:w="100"/>
              <w:bottom w:type="dxa" w:w="80"/>
              <w:right w:type="dxa" w:w="100"/>
            </w:tcMar>
            <w:vAlign w:val="center"/>
          </w:tcPr>
          <w:p>
            <w:r>
              <w:rPr>
                <w:b w:val="false"/>
                <w:bCs w:val="false"/>
                <w:sz w:val="19"/>
                <w:szCs w:val="19"/>
              </w:rPr>
              <w:t xml:space="preserve">MIS-GetWeeklyTrend</w:t>
            </w:r>
          </w:p>
        </w:tc>
        <w:tc>
          <w:tcPr>
            <w:tcW w:type="dxa" w:w="3600"/>
            <w:tcMar>
              <w:top w:type="dxa" w:w="80"/>
              <w:left w:type="dxa" w:w="100"/>
              <w:bottom w:type="dxa" w:w="80"/>
              <w:right w:type="dxa" w:w="100"/>
            </w:tcMar>
            <w:vAlign w:val="center"/>
          </w:tcPr>
          <w:p>
            <w:r>
              <w:rPr>
                <w:b w:val="false"/>
                <w:bCs w:val="false"/>
                <w:sz w:val="19"/>
                <w:szCs w:val="19"/>
              </w:rPr>
              <w:t xml:space="preserve">b6d70af004bf4a658a294a5e23a6f2b8</w:t>
            </w:r>
          </w:p>
        </w:tc>
        <w:tc>
          <w:tcPr>
            <w:tcW w:type="dxa" w:w="3300"/>
            <w:tcMar>
              <w:top w:type="dxa" w:w="80"/>
              <w:left w:type="dxa" w:w="100"/>
              <w:bottom w:type="dxa" w:w="80"/>
              <w:right w:type="dxa" w:w="100"/>
            </w:tcMar>
            <w:vAlign w:val="center"/>
          </w:tcPr>
          <w:p>
            <w:r>
              <w:rPr>
                <w:b w:val="false"/>
                <w:bCs w:val="false"/>
                <w:sz w:val="19"/>
                <w:szCs w:val="19"/>
              </w:rPr>
              <w:t xml:space="preserve">DEPRECATED — pending deletion</w:t>
            </w:r>
          </w:p>
        </w:tc>
      </w:tr>
      <w:tr>
        <w:tc>
          <w:tcPr>
            <w:tcW w:type="dxa" w:w="2600"/>
            <w:tcMar>
              <w:top w:type="dxa" w:w="80"/>
              <w:left w:type="dxa" w:w="100"/>
              <w:bottom w:type="dxa" w:w="80"/>
              <w:right w:type="dxa" w:w="100"/>
            </w:tcMar>
            <w:vAlign w:val="center"/>
          </w:tcPr>
          <w:p>
            <w:r>
              <w:rPr>
                <w:b w:val="false"/>
                <w:bCs w:val="false"/>
                <w:sz w:val="19"/>
                <w:szCs w:val="19"/>
              </w:rPr>
              <w:t xml:space="preserve">MIS-GetMonthlyReport</w:t>
            </w:r>
          </w:p>
        </w:tc>
        <w:tc>
          <w:tcPr>
            <w:tcW w:type="dxa" w:w="3600"/>
            <w:tcMar>
              <w:top w:type="dxa" w:w="80"/>
              <w:left w:type="dxa" w:w="100"/>
              <w:bottom w:type="dxa" w:w="80"/>
              <w:right w:type="dxa" w:w="100"/>
            </w:tcMar>
            <w:vAlign w:val="center"/>
          </w:tcPr>
          <w:p>
            <w:r>
              <w:rPr>
                <w:b w:val="false"/>
                <w:bCs w:val="false"/>
                <w:sz w:val="19"/>
                <w:szCs w:val="19"/>
              </w:rPr>
              <w:t xml:space="preserve">08addd9f467846bbafcafdf0b39cea49</w:t>
            </w:r>
          </w:p>
        </w:tc>
        <w:tc>
          <w:tcPr>
            <w:tcW w:type="dxa" w:w="3300"/>
            <w:tcMar>
              <w:top w:type="dxa" w:w="80"/>
              <w:left w:type="dxa" w:w="100"/>
              <w:bottom w:type="dxa" w:w="80"/>
              <w:right w:type="dxa" w:w="100"/>
            </w:tcMar>
            <w:vAlign w:val="center"/>
          </w:tcPr>
          <w:p>
            <w:r>
              <w:rPr>
                <w:b w:val="false"/>
                <w:bCs w:val="false"/>
                <w:sz w:val="19"/>
                <w:szCs w:val="19"/>
              </w:rPr>
              <w:t xml:space="preserve">DEPRECATED — pending deletion</w:t>
            </w:r>
          </w:p>
        </w:tc>
      </w:tr>
      <w:tr>
        <w:tc>
          <w:tcPr>
            <w:tcW w:type="dxa" w:w="2600"/>
            <w:tcMar>
              <w:top w:type="dxa" w:w="80"/>
              <w:left w:type="dxa" w:w="100"/>
              <w:bottom w:type="dxa" w:w="80"/>
              <w:right w:type="dxa" w:w="100"/>
            </w:tcMar>
            <w:vAlign w:val="center"/>
          </w:tcPr>
          <w:p>
            <w:r>
              <w:rPr>
                <w:b w:val="false"/>
                <w:bCs w:val="false"/>
                <w:sz w:val="19"/>
                <w:szCs w:val="19"/>
              </w:rPr>
              <w:t xml:space="preserve">MIS-GetAgentStats</w:t>
            </w:r>
          </w:p>
        </w:tc>
        <w:tc>
          <w:tcPr>
            <w:tcW w:type="dxa" w:w="3600"/>
            <w:tcMar>
              <w:top w:type="dxa" w:w="80"/>
              <w:left w:type="dxa" w:w="100"/>
              <w:bottom w:type="dxa" w:w="80"/>
              <w:right w:type="dxa" w:w="100"/>
            </w:tcMar>
            <w:vAlign w:val="center"/>
          </w:tcPr>
          <w:p>
            <w:r>
              <w:rPr>
                <w:b w:val="false"/>
                <w:bCs w:val="false"/>
                <w:sz w:val="19"/>
                <w:szCs w:val="19"/>
              </w:rPr>
              <w:t xml:space="preserve">a31897f77c5240cfa553add671d87c08</w:t>
            </w:r>
          </w:p>
        </w:tc>
        <w:tc>
          <w:tcPr>
            <w:tcW w:type="dxa" w:w="3300"/>
            <w:tcMar>
              <w:top w:type="dxa" w:w="80"/>
              <w:left w:type="dxa" w:w="100"/>
              <w:bottom w:type="dxa" w:w="80"/>
              <w:right w:type="dxa" w:w="100"/>
            </w:tcMar>
            <w:vAlign w:val="center"/>
          </w:tcPr>
          <w:p>
            <w:r>
              <w:rPr>
                <w:b w:val="false"/>
                <w:bCs w:val="false"/>
                <w:sz w:val="19"/>
                <w:szCs w:val="19"/>
              </w:rPr>
              <w:t xml:space="preserve">DEPRECATED — pending deletion</w:t>
            </w:r>
          </w:p>
        </w:tc>
      </w:tr>
      <w:tr>
        <w:tc>
          <w:tcPr>
            <w:tcW w:type="dxa" w:w="2600"/>
            <w:tcMar>
              <w:top w:type="dxa" w:w="80"/>
              <w:left w:type="dxa" w:w="100"/>
              <w:bottom w:type="dxa" w:w="80"/>
              <w:right w:type="dxa" w:w="100"/>
            </w:tcMar>
            <w:vAlign w:val="center"/>
          </w:tcPr>
          <w:p>
            <w:r>
              <w:rPr>
                <w:b w:val="false"/>
                <w:bCs w:val="false"/>
                <w:sz w:val="19"/>
                <w:szCs w:val="19"/>
              </w:rPr>
              <w:t xml:space="preserve">MIS-GetQueueStats</w:t>
            </w:r>
          </w:p>
        </w:tc>
        <w:tc>
          <w:tcPr>
            <w:tcW w:type="dxa" w:w="3600"/>
            <w:tcMar>
              <w:top w:type="dxa" w:w="80"/>
              <w:left w:type="dxa" w:w="100"/>
              <w:bottom w:type="dxa" w:w="80"/>
              <w:right w:type="dxa" w:w="100"/>
            </w:tcMar>
            <w:vAlign w:val="center"/>
          </w:tcPr>
          <w:p>
            <w:r>
              <w:rPr>
                <w:b w:val="false"/>
                <w:bCs w:val="false"/>
                <w:sz w:val="19"/>
                <w:szCs w:val="19"/>
              </w:rPr>
              <w:t xml:space="preserve">69df2d88cca644108d8b4980777d7d0d</w:t>
            </w:r>
          </w:p>
        </w:tc>
        <w:tc>
          <w:tcPr>
            <w:tcW w:type="dxa" w:w="3300"/>
            <w:tcMar>
              <w:top w:type="dxa" w:w="80"/>
              <w:left w:type="dxa" w:w="100"/>
              <w:bottom w:type="dxa" w:w="80"/>
              <w:right w:type="dxa" w:w="100"/>
            </w:tcMar>
            <w:vAlign w:val="center"/>
          </w:tcPr>
          <w:p>
            <w:r>
              <w:rPr>
                <w:b w:val="false"/>
                <w:bCs w:val="false"/>
                <w:sz w:val="19"/>
                <w:szCs w:val="19"/>
              </w:rPr>
              <w:t xml:space="preserve">DEPRECATED — pending deletion</w:t>
            </w:r>
          </w:p>
        </w:tc>
      </w:tr>
      <w:tr>
        <w:tc>
          <w:tcPr>
            <w:tcW w:type="dxa" w:w="2600"/>
            <w:tcMar>
              <w:top w:type="dxa" w:w="80"/>
              <w:left w:type="dxa" w:w="100"/>
              <w:bottom w:type="dxa" w:w="80"/>
              <w:right w:type="dxa" w:w="100"/>
            </w:tcMar>
            <w:vAlign w:val="center"/>
          </w:tcPr>
          <w:p>
            <w:r>
              <w:rPr>
                <w:b w:val="false"/>
                <w:bCs w:val="false"/>
                <w:sz w:val="19"/>
                <w:szCs w:val="19"/>
              </w:rPr>
              <w:t xml:space="preserve">MIS-GetSLAReport</w:t>
            </w:r>
          </w:p>
        </w:tc>
        <w:tc>
          <w:tcPr>
            <w:tcW w:type="dxa" w:w="3600"/>
            <w:tcMar>
              <w:top w:type="dxa" w:w="80"/>
              <w:left w:type="dxa" w:w="100"/>
              <w:bottom w:type="dxa" w:w="80"/>
              <w:right w:type="dxa" w:w="100"/>
            </w:tcMar>
            <w:vAlign w:val="center"/>
          </w:tcPr>
          <w:p>
            <w:r>
              <w:rPr>
                <w:b w:val="false"/>
                <w:bCs w:val="false"/>
                <w:sz w:val="19"/>
                <w:szCs w:val="19"/>
              </w:rPr>
              <w:t xml:space="preserve">9080aea1d8cf4683a9779f19a6dc876c</w:t>
            </w:r>
          </w:p>
        </w:tc>
        <w:tc>
          <w:tcPr>
            <w:tcW w:type="dxa" w:w="3300"/>
            <w:tcMar>
              <w:top w:type="dxa" w:w="80"/>
              <w:left w:type="dxa" w:w="100"/>
              <w:bottom w:type="dxa" w:w="80"/>
              <w:right w:type="dxa" w:w="100"/>
            </w:tcMar>
            <w:vAlign w:val="center"/>
          </w:tcPr>
          <w:p>
            <w:r>
              <w:rPr>
                <w:b w:val="false"/>
                <w:bCs w:val="false"/>
                <w:sz w:val="19"/>
                <w:szCs w:val="19"/>
              </w:rPr>
              <w:t xml:space="preserve">DEPRECATED — pending deletion</w:t>
            </w:r>
          </w:p>
        </w:tc>
      </w:tr>
      <w:tr>
        <w:tc>
          <w:tcPr>
            <w:tcW w:type="dxa" w:w="2600"/>
            <w:tcMar>
              <w:top w:type="dxa" w:w="80"/>
              <w:left w:type="dxa" w:w="100"/>
              <w:bottom w:type="dxa" w:w="80"/>
              <w:right w:type="dxa" w:w="100"/>
            </w:tcMar>
            <w:vAlign w:val="center"/>
          </w:tcPr>
          <w:p>
            <w:r>
              <w:rPr>
                <w:b w:val="false"/>
                <w:bCs w:val="false"/>
                <w:sz w:val="19"/>
                <w:szCs w:val="19"/>
              </w:rPr>
              <w:t xml:space="preserve">MIS-AdminGetData</w:t>
            </w:r>
          </w:p>
        </w:tc>
        <w:tc>
          <w:tcPr>
            <w:tcW w:type="dxa" w:w="3600"/>
            <w:tcMar>
              <w:top w:type="dxa" w:w="80"/>
              <w:left w:type="dxa" w:w="100"/>
              <w:bottom w:type="dxa" w:w="80"/>
              <w:right w:type="dxa" w:w="100"/>
            </w:tcMar>
            <w:vAlign w:val="center"/>
          </w:tcPr>
          <w:p>
            <w:r>
              <w:rPr>
                <w:b w:val="false"/>
                <w:bCs w:val="false"/>
                <w:sz w:val="19"/>
                <w:szCs w:val="19"/>
              </w:rPr>
              <w:t xml:space="preserve">c774e75e054242e0be4bcb62fc423b34</w:t>
            </w:r>
          </w:p>
        </w:tc>
        <w:tc>
          <w:tcPr>
            <w:tcW w:type="dxa" w:w="3300"/>
            <w:tcMar>
              <w:top w:type="dxa" w:w="80"/>
              <w:left w:type="dxa" w:w="100"/>
              <w:bottom w:type="dxa" w:w="80"/>
              <w:right w:type="dxa" w:w="100"/>
            </w:tcMar>
            <w:vAlign w:val="center"/>
          </w:tcPr>
          <w:p>
            <w:r>
              <w:rPr>
                <w:b w:val="false"/>
                <w:bCs w:val="false"/>
                <w:sz w:val="19"/>
                <w:szCs w:val="19"/>
              </w:rPr>
              <w:t xml:space="preserve">ACTIVE — still used by admin.html</w:t>
            </w:r>
          </w:p>
        </w:tc>
      </w:tr>
      <w:tr>
        <w:tc>
          <w:tcPr>
            <w:tcW w:type="dxa" w:w="2600"/>
            <w:tcMar>
              <w:top w:type="dxa" w:w="80"/>
              <w:left w:type="dxa" w:w="100"/>
              <w:bottom w:type="dxa" w:w="80"/>
              <w:right w:type="dxa" w:w="100"/>
            </w:tcMar>
            <w:vAlign w:val="center"/>
          </w:tcPr>
          <w:p>
            <w:r>
              <w:rPr>
                <w:b w:val="false"/>
                <w:bCs w:val="false"/>
                <w:sz w:val="19"/>
                <w:szCs w:val="19"/>
              </w:rPr>
              <w:t xml:space="preserve">MIS-AdminSaveUser</w:t>
            </w:r>
          </w:p>
        </w:tc>
        <w:tc>
          <w:tcPr>
            <w:tcW w:type="dxa" w:w="3600"/>
            <w:tcMar>
              <w:top w:type="dxa" w:w="80"/>
              <w:left w:type="dxa" w:w="100"/>
              <w:bottom w:type="dxa" w:w="80"/>
              <w:right w:type="dxa" w:w="100"/>
            </w:tcMar>
            <w:vAlign w:val="center"/>
          </w:tcPr>
          <w:p>
            <w:r>
              <w:rPr>
                <w:b w:val="false"/>
                <w:bCs w:val="false"/>
                <w:sz w:val="19"/>
                <w:szCs w:val="19"/>
              </w:rPr>
              <w:t xml:space="preserve">1201c7809b334b94ac1d63140c88c58c</w:t>
            </w:r>
          </w:p>
        </w:tc>
        <w:tc>
          <w:tcPr>
            <w:tcW w:type="dxa" w:w="3300"/>
            <w:tcMar>
              <w:top w:type="dxa" w:w="80"/>
              <w:left w:type="dxa" w:w="100"/>
              <w:bottom w:type="dxa" w:w="80"/>
              <w:right w:type="dxa" w:w="100"/>
            </w:tcMar>
            <w:vAlign w:val="center"/>
          </w:tcPr>
          <w:p>
            <w:r>
              <w:rPr>
                <w:b w:val="false"/>
                <w:bCs w:val="false"/>
                <w:sz w:val="19"/>
                <w:szCs w:val="19"/>
              </w:rPr>
              <w:t xml:space="preserve">ACTIVE — still used by admin.html</w:t>
            </w:r>
          </w:p>
        </w:tc>
      </w:tr>
      <w:tr>
        <w:tc>
          <w:tcPr>
            <w:tcW w:type="dxa" w:w="2600"/>
            <w:tcMar>
              <w:top w:type="dxa" w:w="80"/>
              <w:left w:type="dxa" w:w="100"/>
              <w:bottom w:type="dxa" w:w="80"/>
              <w:right w:type="dxa" w:w="100"/>
            </w:tcMar>
            <w:vAlign w:val="center"/>
          </w:tcPr>
          <w:p>
            <w:r>
              <w:rPr>
                <w:b w:val="false"/>
                <w:bCs w:val="false"/>
                <w:sz w:val="19"/>
                <w:szCs w:val="19"/>
              </w:rPr>
              <w:t xml:space="preserve">MIS-AdminDeleteUser</w:t>
            </w:r>
          </w:p>
        </w:tc>
        <w:tc>
          <w:tcPr>
            <w:tcW w:type="dxa" w:w="3600"/>
            <w:tcMar>
              <w:top w:type="dxa" w:w="80"/>
              <w:left w:type="dxa" w:w="100"/>
              <w:bottom w:type="dxa" w:w="80"/>
              <w:right w:type="dxa" w:w="100"/>
            </w:tcMar>
            <w:vAlign w:val="center"/>
          </w:tcPr>
          <w:p>
            <w:r>
              <w:rPr>
                <w:b w:val="false"/>
                <w:bCs w:val="false"/>
                <w:sz w:val="19"/>
                <w:szCs w:val="19"/>
              </w:rPr>
              <w:t xml:space="preserve">5da09344686f44668e8f54043d020e42</w:t>
            </w:r>
          </w:p>
        </w:tc>
        <w:tc>
          <w:tcPr>
            <w:tcW w:type="dxa" w:w="3300"/>
            <w:tcMar>
              <w:top w:type="dxa" w:w="80"/>
              <w:left w:type="dxa" w:w="100"/>
              <w:bottom w:type="dxa" w:w="80"/>
              <w:right w:type="dxa" w:w="100"/>
            </w:tcMar>
            <w:vAlign w:val="center"/>
          </w:tcPr>
          <w:p>
            <w:r>
              <w:rPr>
                <w:b w:val="false"/>
                <w:bCs w:val="false"/>
                <w:sz w:val="19"/>
                <w:szCs w:val="19"/>
              </w:rPr>
              <w:t xml:space="preserve">ACTIVE — still used by admin.html</w:t>
            </w:r>
          </w:p>
        </w:tc>
      </w:tr>
    </w:tbl>
    <w:p>
      <w:pPr>
        <w:spacing w:after="140"/>
      </w:pPr>
      <w:r>
        <w:rPr>
          <w:b w:val="false"/>
          <w:bCs w:val="false"/>
          <w:i w:val="false"/>
          <w:iCs w:val="false"/>
        </w:rPr>
        <w:t xml:space="preserve">Full flow URLs (with signatures) for the above are unchanged from v1.2 and are omitted here for brevity — see the v1.2 document or the live Power Automate environment for exact URLs of ACTIVE flows.</w:t>
      </w:r>
    </w:p>
    <w:p>
      <w:pPr>
        <w:pStyle w:val="Heading3"/>
        <w:spacing w:after="100" w:before="200"/>
      </w:pPr>
      <w:r>
        <w:t xml:space="preserve">3.3 Email Ingestion Flow — MIS-EmailIngestion (v1.2 — DEPRECATED v2.0)</w:t>
      </w:r>
    </w:p>
    <w:p>
      <w:pPr>
        <w:spacing w:after="140"/>
      </w:pPr>
      <w:r>
        <w:rPr>
          <w:b w:val="false"/>
          <w:bCs w:val="false"/>
          <w:i w:val="false"/>
          <w:iCs w:val="false"/>
        </w:rPr>
        <w:t xml:space="preserve">DISABLED as of 2026-07-05. This flow (trigger: new email at mis-reporting@trilogybpo.com from noreply@qcontactnotifications.com nightly at ~23:55) has been turned OFF, not deleted, pending confirmation the new API-based pipeline is fully proven. Do not delete until Part B’s new flows have run unattended in production for a reasonable period. Full structural detail retained in the original v1.2 document; omitted here since this pipeline is no longer active.</w:t>
      </w:r>
    </w:p>
    <w:p>
      <w:pPr>
        <w:pStyle w:val="Heading2"/>
        <w:spacing w:after="120" w:before="260"/>
      </w:pPr>
      <w:r>
        <w:t xml:space="preserve">4. Database Schema — Legacy Tables (v1.2, historical)</w:t>
      </w:r>
    </w:p>
    <w:p>
      <w:pPr>
        <w:spacing w:after="140"/>
      </w:pPr>
      <w:r>
        <w:rPr>
          <w:b w:val="false"/>
          <w:bCs w:val="false"/>
          <w:i w:val="false"/>
          <w:iCs w:val="false"/>
        </w:rPr>
        <w:t xml:space="preserve">This section documented column-name corrections for the four legacy stored procedures (usp_MergeConvHistory, usp_MergeQueueAnswered, usp_MergeUserProductivity, usp_MergeContactActivity) that powered the email-ingestion pipeline. These procedures and their underlying tables (mis_conversation_history, mis_queue_answered, mis_contact_activity, mis_user_productivity) are UNCHANGED and still populated by MIS-QContactSync (a separate, unrelated, ACTIVE flow — see Part B §9). The OPENJSON path-correction detail from v1.2 is omitted here for brevity as it concerns a deprecated ingestion route; see the original v1.2 document if needed.</w:t>
      </w:r>
    </w:p>
    <w:p>
      <w:pPr>
        <w:pStyle w:val="Heading2"/>
        <w:spacing w:after="120" w:before="260"/>
      </w:pPr>
      <w:r>
        <w:t xml:space="preserve">5. Dashboard Pages (v1.2 — ALL DEPRECATED except index.html / admin.html)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900"/>
      </w:tblGrid>
      <w:tr>
        <w:trPr>
          <w:tblHeader/>
        </w:trPr>
        <w:tc>
          <w:tcPr>
            <w:tcW w:type="dxa" w:w="2400"/>
            <w:shd w:fill="1e1e1e" w:val="clear"/>
            <w:tcMar>
              <w:top w:type="dxa" w:w="80"/>
              <w:left w:type="dxa" w:w="100"/>
              <w:bottom w:type="dxa" w:w="80"/>
              <w:right w:type="dxa" w:w="100"/>
            </w:tcMar>
            <w:vAlign w:val="center"/>
          </w:tcPr>
          <w:p>
            <w:r>
              <w:rPr>
                <w:b/>
                <w:bCs/>
                <w:color w:val="FFFFFF"/>
                <w:sz w:val="18"/>
                <w:szCs w:val="18"/>
              </w:rPr>
              <w:t xml:space="preserve">Page</w:t>
            </w:r>
          </w:p>
        </w:tc>
        <w:tc>
          <w:tcPr>
            <w:tcW w:type="dxa" w:w="3200"/>
            <w:shd w:fill="1e1e1e" w:val="clear"/>
            <w:tcMar>
              <w:top w:type="dxa" w:w="80"/>
              <w:left w:type="dxa" w:w="100"/>
              <w:bottom w:type="dxa" w:w="80"/>
              <w:right w:type="dxa" w:w="100"/>
            </w:tcMar>
            <w:vAlign w:val="center"/>
          </w:tcPr>
          <w:p>
            <w:r>
              <w:rPr>
                <w:b/>
                <w:bCs/>
                <w:color w:val="FFFFFF"/>
                <w:sz w:val="18"/>
                <w:szCs w:val="18"/>
              </w:rPr>
              <w:t xml:space="preserve">Path</w:t>
            </w:r>
          </w:p>
        </w:tc>
        <w:tc>
          <w:tcPr>
            <w:tcW w:type="dxa" w:w="3900"/>
            <w:shd w:fill="1e1e1e" w:val="clear"/>
            <w:tcMar>
              <w:top w:type="dxa" w:w="80"/>
              <w:left w:type="dxa" w:w="100"/>
              <w:bottom w:type="dxa" w:w="80"/>
              <w:right w:type="dxa" w:w="100"/>
            </w:tcMar>
            <w:vAlign w:val="center"/>
          </w:tcPr>
          <w:p>
            <w:r>
              <w:rPr>
                <w:b/>
                <w:bCs/>
                <w:color w:val="FFFFFF"/>
                <w:sz w:val="18"/>
                <w:szCs w:val="18"/>
              </w:rPr>
              <w:t xml:space="preserve">Status</w:t>
            </w:r>
          </w:p>
        </w:tc>
      </w:tr>
      <w:tr>
        <w:tc>
          <w:tcPr>
            <w:tcW w:type="dxa" w:w="2400"/>
            <w:tcMar>
              <w:top w:type="dxa" w:w="80"/>
              <w:left w:type="dxa" w:w="100"/>
              <w:bottom w:type="dxa" w:w="80"/>
              <w:right w:type="dxa" w:w="100"/>
            </w:tcMar>
            <w:vAlign w:val="center"/>
          </w:tcPr>
          <w:p>
            <w:r>
              <w:rPr>
                <w:b w:val="false"/>
                <w:bCs w:val="false"/>
                <w:sz w:val="19"/>
                <w:szCs w:val="19"/>
              </w:rPr>
              <w:t xml:space="preserve">Login + selector</w:t>
            </w:r>
          </w:p>
        </w:tc>
        <w:tc>
          <w:tcPr>
            <w:tcW w:type="dxa" w:w="3200"/>
            <w:tcMar>
              <w:top w:type="dxa" w:w="80"/>
              <w:left w:type="dxa" w:w="100"/>
              <w:bottom w:type="dxa" w:w="80"/>
              <w:right w:type="dxa" w:w="100"/>
            </w:tcMar>
            <w:vAlign w:val="center"/>
          </w:tcPr>
          <w:p>
            <w:r>
              <w:rPr>
                <w:b w:val="false"/>
                <w:bCs w:val="false"/>
                <w:sz w:val="19"/>
                <w:szCs w:val="19"/>
              </w:rPr>
              <w:t xml:space="preserve">index.html</w:t>
            </w:r>
          </w:p>
        </w:tc>
        <w:tc>
          <w:tcPr>
            <w:tcW w:type="dxa" w:w="3900"/>
            <w:tcMar>
              <w:top w:type="dxa" w:w="80"/>
              <w:left w:type="dxa" w:w="100"/>
              <w:bottom w:type="dxa" w:w="80"/>
              <w:right w:type="dxa" w:w="100"/>
            </w:tcMar>
            <w:vAlign w:val="center"/>
          </w:tcPr>
          <w:p>
            <w:r>
              <w:rPr>
                <w:b w:val="false"/>
                <w:bCs w:val="false"/>
                <w:sz w:val="19"/>
                <w:szCs w:val="19"/>
              </w:rPr>
              <w:t xml:space="preserve">ACTIVE — modified (DPR card replaces 7 old cards)</w:t>
            </w:r>
          </w:p>
        </w:tc>
      </w:tr>
      <w:tr>
        <w:tc>
          <w:tcPr>
            <w:tcW w:type="dxa" w:w="2400"/>
            <w:tcMar>
              <w:top w:type="dxa" w:w="80"/>
              <w:left w:type="dxa" w:w="100"/>
              <w:bottom w:type="dxa" w:w="80"/>
              <w:right w:type="dxa" w:w="100"/>
            </w:tcMar>
            <w:vAlign w:val="center"/>
          </w:tcPr>
          <w:p>
            <w:r>
              <w:rPr>
                <w:b w:val="false"/>
                <w:bCs w:val="false"/>
                <w:sz w:val="19"/>
                <w:szCs w:val="19"/>
              </w:rPr>
              <w:t xml:space="preserve">Admin panel</w:t>
            </w:r>
          </w:p>
        </w:tc>
        <w:tc>
          <w:tcPr>
            <w:tcW w:type="dxa" w:w="3200"/>
            <w:tcMar>
              <w:top w:type="dxa" w:w="80"/>
              <w:left w:type="dxa" w:w="100"/>
              <w:bottom w:type="dxa" w:w="80"/>
              <w:right w:type="dxa" w:w="100"/>
            </w:tcMar>
            <w:vAlign w:val="center"/>
          </w:tcPr>
          <w:p>
            <w:r>
              <w:rPr>
                <w:b w:val="false"/>
                <w:bCs w:val="false"/>
                <w:sz w:val="19"/>
                <w:szCs w:val="19"/>
              </w:rPr>
              <w:t xml:space="preserve">admin.html</w:t>
            </w:r>
          </w:p>
        </w:tc>
        <w:tc>
          <w:tcPr>
            <w:tcW w:type="dxa" w:w="3900"/>
            <w:tcMar>
              <w:top w:type="dxa" w:w="80"/>
              <w:left w:type="dxa" w:w="100"/>
              <w:bottom w:type="dxa" w:w="80"/>
              <w:right w:type="dxa" w:w="100"/>
            </w:tcMar>
            <w:vAlign w:val="center"/>
          </w:tcPr>
          <w:p>
            <w:r>
              <w:rPr>
                <w:b w:val="false"/>
                <w:bCs w:val="false"/>
                <w:sz w:val="19"/>
                <w:szCs w:val="19"/>
              </w:rPr>
              <w:t xml:space="preserve">ACTIVE — modified (one field relabelled)</w:t>
            </w:r>
          </w:p>
        </w:tc>
      </w:tr>
      <w:tr>
        <w:tc>
          <w:tcPr>
            <w:tcW w:type="dxa" w:w="2400"/>
            <w:tcMar>
              <w:top w:type="dxa" w:w="80"/>
              <w:left w:type="dxa" w:w="100"/>
              <w:bottom w:type="dxa" w:w="80"/>
              <w:right w:type="dxa" w:w="100"/>
            </w:tcMar>
            <w:vAlign w:val="center"/>
          </w:tcPr>
          <w:p>
            <w:r>
              <w:rPr>
                <w:b w:val="false"/>
                <w:bCs w:val="false"/>
                <w:sz w:val="19"/>
                <w:szCs w:val="19"/>
              </w:rPr>
              <w:t xml:space="preserve">Daily dashboard</w:t>
            </w:r>
          </w:p>
        </w:tc>
        <w:tc>
          <w:tcPr>
            <w:tcW w:type="dxa" w:w="3200"/>
            <w:tcMar>
              <w:top w:type="dxa" w:w="80"/>
              <w:left w:type="dxa" w:w="100"/>
              <w:bottom w:type="dxa" w:w="80"/>
              <w:right w:type="dxa" w:w="100"/>
            </w:tcMar>
            <w:vAlign w:val="center"/>
          </w:tcPr>
          <w:p>
            <w:r>
              <w:rPr>
                <w:b w:val="false"/>
                <w:bCs w:val="false"/>
                <w:sz w:val="19"/>
                <w:szCs w:val="19"/>
              </w:rPr>
              <w:t xml:space="preserve">nadclinic/daily.html</w:t>
            </w:r>
          </w:p>
        </w:tc>
        <w:tc>
          <w:tcPr>
            <w:tcW w:type="dxa" w:w="3900"/>
            <w:tcMar>
              <w:top w:type="dxa" w:w="80"/>
              <w:left w:type="dxa" w:w="100"/>
              <w:bottom w:type="dxa" w:w="80"/>
              <w:right w:type="dxa" w:w="100"/>
            </w:tcMar>
            <w:vAlign w:val="center"/>
          </w:tcPr>
          <w:p>
            <w:r>
              <w:rPr>
                <w:b w:val="false"/>
                <w:bCs w:val="false"/>
                <w:sz w:val="19"/>
                <w:szCs w:val="19"/>
              </w:rPr>
              <w:t xml:space="preserve">DEPRECATED — pending deletion</w:t>
            </w:r>
          </w:p>
        </w:tc>
      </w:tr>
      <w:tr>
        <w:tc>
          <w:tcPr>
            <w:tcW w:type="dxa" w:w="2400"/>
            <w:tcMar>
              <w:top w:type="dxa" w:w="80"/>
              <w:left w:type="dxa" w:w="100"/>
              <w:bottom w:type="dxa" w:w="80"/>
              <w:right w:type="dxa" w:w="100"/>
            </w:tcMar>
            <w:vAlign w:val="center"/>
          </w:tcPr>
          <w:p>
            <w:r>
              <w:rPr>
                <w:b w:val="false"/>
                <w:bCs w:val="false"/>
                <w:sz w:val="19"/>
                <w:szCs w:val="19"/>
              </w:rPr>
              <w:t xml:space="preserve">Weekly trends</w:t>
            </w:r>
          </w:p>
        </w:tc>
        <w:tc>
          <w:tcPr>
            <w:tcW w:type="dxa" w:w="3200"/>
            <w:tcMar>
              <w:top w:type="dxa" w:w="80"/>
              <w:left w:type="dxa" w:w="100"/>
              <w:bottom w:type="dxa" w:w="80"/>
              <w:right w:type="dxa" w:w="100"/>
            </w:tcMar>
            <w:vAlign w:val="center"/>
          </w:tcPr>
          <w:p>
            <w:r>
              <w:rPr>
                <w:b w:val="false"/>
                <w:bCs w:val="false"/>
                <w:sz w:val="19"/>
                <w:szCs w:val="19"/>
              </w:rPr>
              <w:t xml:space="preserve">nadclinic/weekly.html</w:t>
            </w:r>
          </w:p>
        </w:tc>
        <w:tc>
          <w:tcPr>
            <w:tcW w:type="dxa" w:w="3900"/>
            <w:tcMar>
              <w:top w:type="dxa" w:w="80"/>
              <w:left w:type="dxa" w:w="100"/>
              <w:bottom w:type="dxa" w:w="80"/>
              <w:right w:type="dxa" w:w="100"/>
            </w:tcMar>
            <w:vAlign w:val="center"/>
          </w:tcPr>
          <w:p>
            <w:r>
              <w:rPr>
                <w:b w:val="false"/>
                <w:bCs w:val="false"/>
                <w:sz w:val="19"/>
                <w:szCs w:val="19"/>
              </w:rPr>
              <w:t xml:space="preserve">DEPRECATED — pending deletion</w:t>
            </w:r>
          </w:p>
        </w:tc>
      </w:tr>
      <w:tr>
        <w:tc>
          <w:tcPr>
            <w:tcW w:type="dxa" w:w="2400"/>
            <w:tcMar>
              <w:top w:type="dxa" w:w="80"/>
              <w:left w:type="dxa" w:w="100"/>
              <w:bottom w:type="dxa" w:w="80"/>
              <w:right w:type="dxa" w:w="100"/>
            </w:tcMar>
            <w:vAlign w:val="center"/>
          </w:tcPr>
          <w:p>
            <w:r>
              <w:rPr>
                <w:b w:val="false"/>
                <w:bCs w:val="false"/>
                <w:sz w:val="19"/>
                <w:szCs w:val="19"/>
              </w:rPr>
              <w:t xml:space="preserve">Monthly report</w:t>
            </w:r>
          </w:p>
        </w:tc>
        <w:tc>
          <w:tcPr>
            <w:tcW w:type="dxa" w:w="3200"/>
            <w:tcMar>
              <w:top w:type="dxa" w:w="80"/>
              <w:left w:type="dxa" w:w="100"/>
              <w:bottom w:type="dxa" w:w="80"/>
              <w:right w:type="dxa" w:w="100"/>
            </w:tcMar>
            <w:vAlign w:val="center"/>
          </w:tcPr>
          <w:p>
            <w:r>
              <w:rPr>
                <w:b w:val="false"/>
                <w:bCs w:val="false"/>
                <w:sz w:val="19"/>
                <w:szCs w:val="19"/>
              </w:rPr>
              <w:t xml:space="preserve">nadclinic/monthly.html</w:t>
            </w:r>
          </w:p>
        </w:tc>
        <w:tc>
          <w:tcPr>
            <w:tcW w:type="dxa" w:w="3900"/>
            <w:tcMar>
              <w:top w:type="dxa" w:w="80"/>
              <w:left w:type="dxa" w:w="100"/>
              <w:bottom w:type="dxa" w:w="80"/>
              <w:right w:type="dxa" w:w="100"/>
            </w:tcMar>
            <w:vAlign w:val="center"/>
          </w:tcPr>
          <w:p>
            <w:r>
              <w:rPr>
                <w:b w:val="false"/>
                <w:bCs w:val="false"/>
                <w:sz w:val="19"/>
                <w:szCs w:val="19"/>
              </w:rPr>
              <w:t xml:space="preserve">DEPRECATED — pending deletion</w:t>
            </w:r>
          </w:p>
        </w:tc>
      </w:tr>
      <w:tr>
        <w:tc>
          <w:tcPr>
            <w:tcW w:type="dxa" w:w="2400"/>
            <w:tcMar>
              <w:top w:type="dxa" w:w="80"/>
              <w:left w:type="dxa" w:w="100"/>
              <w:bottom w:type="dxa" w:w="80"/>
              <w:right w:type="dxa" w:w="100"/>
            </w:tcMar>
            <w:vAlign w:val="center"/>
          </w:tcPr>
          <w:p>
            <w:r>
              <w:rPr>
                <w:b w:val="false"/>
                <w:bCs w:val="false"/>
                <w:sz w:val="19"/>
                <w:szCs w:val="19"/>
              </w:rPr>
              <w:t xml:space="preserve">Agent performance</w:t>
            </w:r>
          </w:p>
        </w:tc>
        <w:tc>
          <w:tcPr>
            <w:tcW w:type="dxa" w:w="3200"/>
            <w:tcMar>
              <w:top w:type="dxa" w:w="80"/>
              <w:left w:type="dxa" w:w="100"/>
              <w:bottom w:type="dxa" w:w="80"/>
              <w:right w:type="dxa" w:w="100"/>
            </w:tcMar>
            <w:vAlign w:val="center"/>
          </w:tcPr>
          <w:p>
            <w:r>
              <w:rPr>
                <w:b w:val="false"/>
                <w:bCs w:val="false"/>
                <w:sz w:val="19"/>
                <w:szCs w:val="19"/>
              </w:rPr>
              <w:t xml:space="preserve">nadclinic/agents.html</w:t>
            </w:r>
          </w:p>
        </w:tc>
        <w:tc>
          <w:tcPr>
            <w:tcW w:type="dxa" w:w="3900"/>
            <w:tcMar>
              <w:top w:type="dxa" w:w="80"/>
              <w:left w:type="dxa" w:w="100"/>
              <w:bottom w:type="dxa" w:w="80"/>
              <w:right w:type="dxa" w:w="100"/>
            </w:tcMar>
            <w:vAlign w:val="center"/>
          </w:tcPr>
          <w:p>
            <w:r>
              <w:rPr>
                <w:b w:val="false"/>
                <w:bCs w:val="false"/>
                <w:sz w:val="19"/>
                <w:szCs w:val="19"/>
              </w:rPr>
              <w:t xml:space="preserve">DEPRECATED — pending deletion</w:t>
            </w:r>
          </w:p>
        </w:tc>
      </w:tr>
      <w:tr>
        <w:tc>
          <w:tcPr>
            <w:tcW w:type="dxa" w:w="2400"/>
            <w:tcMar>
              <w:top w:type="dxa" w:w="80"/>
              <w:left w:type="dxa" w:w="100"/>
              <w:bottom w:type="dxa" w:w="80"/>
              <w:right w:type="dxa" w:w="100"/>
            </w:tcMar>
            <w:vAlign w:val="center"/>
          </w:tcPr>
          <w:p>
            <w:r>
              <w:rPr>
                <w:b w:val="false"/>
                <w:bCs w:val="false"/>
                <w:sz w:val="19"/>
                <w:szCs w:val="19"/>
              </w:rPr>
              <w:t xml:space="preserve">Queue analysis</w:t>
            </w:r>
          </w:p>
        </w:tc>
        <w:tc>
          <w:tcPr>
            <w:tcW w:type="dxa" w:w="3200"/>
            <w:tcMar>
              <w:top w:type="dxa" w:w="80"/>
              <w:left w:type="dxa" w:w="100"/>
              <w:bottom w:type="dxa" w:w="80"/>
              <w:right w:type="dxa" w:w="100"/>
            </w:tcMar>
            <w:vAlign w:val="center"/>
          </w:tcPr>
          <w:p>
            <w:r>
              <w:rPr>
                <w:b w:val="false"/>
                <w:bCs w:val="false"/>
                <w:sz w:val="19"/>
                <w:szCs w:val="19"/>
              </w:rPr>
              <w:t xml:space="preserve">nadclinic/queue.html</w:t>
            </w:r>
          </w:p>
        </w:tc>
        <w:tc>
          <w:tcPr>
            <w:tcW w:type="dxa" w:w="3900"/>
            <w:tcMar>
              <w:top w:type="dxa" w:w="80"/>
              <w:left w:type="dxa" w:w="100"/>
              <w:bottom w:type="dxa" w:w="80"/>
              <w:right w:type="dxa" w:w="100"/>
            </w:tcMar>
            <w:vAlign w:val="center"/>
          </w:tcPr>
          <w:p>
            <w:r>
              <w:rPr>
                <w:b w:val="false"/>
                <w:bCs w:val="false"/>
                <w:sz w:val="19"/>
                <w:szCs w:val="19"/>
              </w:rPr>
              <w:t xml:space="preserve">DEPRECATED — pending deletion</w:t>
            </w:r>
          </w:p>
        </w:tc>
      </w:tr>
      <w:tr>
        <w:tc>
          <w:tcPr>
            <w:tcW w:type="dxa" w:w="2400"/>
            <w:tcMar>
              <w:top w:type="dxa" w:w="80"/>
              <w:left w:type="dxa" w:w="100"/>
              <w:bottom w:type="dxa" w:w="80"/>
              <w:right w:type="dxa" w:w="100"/>
            </w:tcMar>
            <w:vAlign w:val="center"/>
          </w:tcPr>
          <w:p>
            <w:r>
              <w:rPr>
                <w:b w:val="false"/>
                <w:bCs w:val="false"/>
                <w:sz w:val="19"/>
                <w:szCs w:val="19"/>
              </w:rPr>
              <w:t xml:space="preserve">SLA dashboard</w:t>
            </w:r>
          </w:p>
        </w:tc>
        <w:tc>
          <w:tcPr>
            <w:tcW w:type="dxa" w:w="3200"/>
            <w:tcMar>
              <w:top w:type="dxa" w:w="80"/>
              <w:left w:type="dxa" w:w="100"/>
              <w:bottom w:type="dxa" w:w="80"/>
              <w:right w:type="dxa" w:w="100"/>
            </w:tcMar>
            <w:vAlign w:val="center"/>
          </w:tcPr>
          <w:p>
            <w:r>
              <w:rPr>
                <w:b w:val="false"/>
                <w:bCs w:val="false"/>
                <w:sz w:val="19"/>
                <w:szCs w:val="19"/>
              </w:rPr>
              <w:t xml:space="preserve">nadclinic/sla.html</w:t>
            </w:r>
          </w:p>
        </w:tc>
        <w:tc>
          <w:tcPr>
            <w:tcW w:type="dxa" w:w="3900"/>
            <w:tcMar>
              <w:top w:type="dxa" w:w="80"/>
              <w:left w:type="dxa" w:w="100"/>
              <w:bottom w:type="dxa" w:w="80"/>
              <w:right w:type="dxa" w:w="100"/>
            </w:tcMar>
            <w:vAlign w:val="center"/>
          </w:tcPr>
          <w:p>
            <w:r>
              <w:rPr>
                <w:b w:val="false"/>
                <w:bCs w:val="false"/>
                <w:sz w:val="19"/>
                <w:szCs w:val="19"/>
              </w:rPr>
              <w:t xml:space="preserve">DEPRECATED — pending deletion</w:t>
            </w:r>
          </w:p>
        </w:tc>
      </w:tr>
      <w:tr>
        <w:tc>
          <w:tcPr>
            <w:tcW w:type="dxa" w:w="2400"/>
            <w:tcMar>
              <w:top w:type="dxa" w:w="80"/>
              <w:left w:type="dxa" w:w="100"/>
              <w:bottom w:type="dxa" w:w="80"/>
              <w:right w:type="dxa" w:w="100"/>
            </w:tcMar>
            <w:vAlign w:val="center"/>
          </w:tcPr>
          <w:p>
            <w:r>
              <w:rPr>
                <w:b w:val="false"/>
                <w:bCs w:val="false"/>
                <w:sz w:val="19"/>
                <w:szCs w:val="19"/>
              </w:rPr>
              <w:t xml:space="preserve">Billing report</w:t>
            </w:r>
          </w:p>
        </w:tc>
        <w:tc>
          <w:tcPr>
            <w:tcW w:type="dxa" w:w="3200"/>
            <w:tcMar>
              <w:top w:type="dxa" w:w="80"/>
              <w:left w:type="dxa" w:w="100"/>
              <w:bottom w:type="dxa" w:w="80"/>
              <w:right w:type="dxa" w:w="100"/>
            </w:tcMar>
            <w:vAlign w:val="center"/>
          </w:tcPr>
          <w:p>
            <w:r>
              <w:rPr>
                <w:b w:val="false"/>
                <w:bCs w:val="false"/>
                <w:sz w:val="19"/>
                <w:szCs w:val="19"/>
              </w:rPr>
              <w:t xml:space="preserve">nadclinic/billing.html</w:t>
            </w:r>
          </w:p>
        </w:tc>
        <w:tc>
          <w:tcPr>
            <w:tcW w:type="dxa" w:w="3900"/>
            <w:tcMar>
              <w:top w:type="dxa" w:w="80"/>
              <w:left w:type="dxa" w:w="100"/>
              <w:bottom w:type="dxa" w:w="80"/>
              <w:right w:type="dxa" w:w="100"/>
            </w:tcMar>
            <w:vAlign w:val="center"/>
          </w:tcPr>
          <w:p>
            <w:r>
              <w:rPr>
                <w:b w:val="false"/>
                <w:bCs w:val="false"/>
                <w:sz w:val="19"/>
                <w:szCs w:val="19"/>
              </w:rPr>
              <w:t xml:space="preserve">DEPRECATED — REPLACED by nadclinic/dpr.html</w:t>
            </w:r>
          </w:p>
        </w:tc>
      </w:tr>
    </w:tbl>
    <w:p>
      <w:pPr>
        <w:pStyle w:val="Heading2"/>
        <w:spacing w:after="120" w:before="260"/>
      </w:pPr>
      <w:r>
        <w:t xml:space="preserve">6–8. SLA Metrics, Key Issues Resolved, Outstanding Items (v1.2, historical)</w:t>
      </w:r>
    </w:p>
    <w:p>
      <w:pPr>
        <w:spacing w:after="140"/>
      </w:pPr>
      <w:r>
        <w:rPr>
          <w:b w:val="false"/>
          <w:bCs w:val="false"/>
          <w:i w:val="false"/>
          <w:iCs w:val="false"/>
        </w:rPr>
        <w:t xml:space="preserve">Sections 6 (SLA Metric Availability), 7 (Key Issues Resolved), and 8 (Outstanding / Next Steps) from the v1.2 document concerned the legacy pipeline and pages and are not reproduced in full here. Several of the platform-level lessons in the original §7 remain generally true of Power Automate and are echoed in Part B §10.4 (Known Platform Quirks) where they recurred during the v2.0 build. Refer to the original v1.2 .docx for the full legacy issue log if historical troubleshooting context is ever needed.</w:t>
      </w:r>
    </w:p>
    <w:p>
      <w:r>
        <w:br w:type="page"/>
      </w:r>
    </w:p>
    <w:p>
      <w:pPr>
        <w:pStyle w:val="Heading1"/>
        <w:spacing w:after="160" w:before="360"/>
      </w:pPr>
      <w:r>
        <w:t xml:space="preserve">PART B — v2.0: Daily Profit Report (DPR) Module (Current, Live System)</w:t>
      </w:r>
    </w:p>
    <w:p>
      <w:pPr>
        <w:spacing w:after="140"/>
      </w:pPr>
      <w:r>
        <w:rPr>
          <w:b w:val="false"/>
          <w:bCs w:val="false"/>
          <w:i w:val="false"/>
          <w:iCs w:val="false"/>
        </w:rPr>
        <w:t xml:space="preserve">Everything below this point is new as of 2026-07-05. It documents the qContact-API-driven Productive Hours / billing pipeline that replaces the email-ingestion route, and the single new dashboard page (dpr.html) that replaces all seven legacy report pages.</w:t>
      </w:r>
    </w:p>
    <w:p>
      <w:pPr>
        <w:pStyle w:val="Heading2"/>
        <w:spacing w:after="120" w:before="260"/>
      </w:pPr>
      <w:r>
        <w:t xml:space="preserve">9. What Stayed the Same</w:t>
      </w:r>
    </w:p>
    <w:p>
      <w:pPr>
        <w:pStyle w:val="ListParagraph"/>
        <w:numPr>
          <w:ilvl w:val="0"/>
          <w:numId w:val="1"/>
        </w:numPr>
        <w:spacing w:after="60"/>
      </w:pPr>
      <w:r>
        <w:rPr>
          <w:b/>
          <w:bCs/>
        </w:rPr>
        <w:t xml:space="preserve">MIS-QContactSync (Flow A) — unrelated to DPR, continues to populate mis_conversation_history_staging for SLA/conversation reporting. Not touched during this rebuild.</w:t>
      </w:r>
    </w:p>
    <w:p>
      <w:pPr>
        <w:pStyle w:val="ListParagraph"/>
        <w:numPr>
          <w:ilvl w:val="0"/>
          <w:numId w:val="1"/>
        </w:numPr>
        <w:spacing w:after="60"/>
      </w:pPr>
      <w:r>
        <w:rPr>
          <w:b w:val="false"/>
          <w:bCs w:val="false"/>
        </w:rPr>
        <w:t xml:space="preserve">index.html — MSAL/Entra SSO login, session handling, and the per-campaign report-grid rendering loop are all unchanged. Only the contents of the report grid changed (see §12).</w:t>
      </w:r>
    </w:p>
    <w:p>
      <w:pPr>
        <w:pStyle w:val="ListParagraph"/>
        <w:numPr>
          <w:ilvl w:val="0"/>
          <w:numId w:val="1"/>
        </w:numPr>
        <w:spacing w:after="60"/>
      </w:pPr>
      <w:r>
        <w:rPr>
          <w:b w:val="false"/>
          <w:bCs w:val="false"/>
        </w:rPr>
        <w:t xml:space="preserve">admin.html — user management, campaign assignment, and the Import Health tab are all unchanged. Only the "Billing access" toggle’s label and help text changed to "DPR access"; the underlying field (billing_access) and its plumbing through MIS-AdminSaveUser/MIS-ValidateUser were not touched.</w:t>
      </w:r>
    </w:p>
    <w:p>
      <w:pPr>
        <w:pStyle w:val="ListParagraph"/>
        <w:numPr>
          <w:ilvl w:val="0"/>
          <w:numId w:val="1"/>
        </w:numPr>
        <w:spacing w:after="60"/>
      </w:pPr>
      <w:r>
        <w:rPr>
          <w:b w:val="false"/>
          <w:bCs w:val="false"/>
        </w:rPr>
        <w:t xml:space="preserve">mis_conversation_history, mis_queue_answered, mis_contact_activity, mis_user_productivity and their supporting stored procedures — untouched, though the pipeline that fed some of them (email ingestion) is now disabled; MIS-QContactSync continues to feed conversation/SLA data via a separate route.</w:t>
      </w:r>
    </w:p>
    <w:p>
      <w:pPr>
        <w:pStyle w:val="Heading2"/>
        <w:spacing w:after="120" w:before="260"/>
      </w:pPr>
      <w:r>
        <w:t xml:space="preserve">10. New Data Source — qContact API</w:t>
      </w:r>
    </w:p>
    <w:p>
      <w:pPr>
        <w:spacing w:after="140"/>
      </w:pPr>
      <w:r>
        <w:rPr>
          <w:b w:val="false"/>
          <w:bCs w:val="false"/>
          <w:i w:val="false"/>
          <w:iCs w:val="false"/>
        </w:rPr>
        <w:t xml:space="preserve">The DPR pipeline pulls data directly from the qContact REST API rather than the nightly email CSV export, eliminating the entire Office Scripts / SharePoint / email-parsing chain.</w:t>
      </w:r>
    </w:p>
    <w:p>
      <w:pPr>
        <w:pStyle w:val="Heading3"/>
        <w:spacing w:after="100" w:before="200"/>
      </w:pPr>
      <w:r>
        <w:t xml:space="preserve">10.1 Authentication</w:t>
      </w:r>
    </w:p>
    <w:p>
      <w:pPr>
        <w:spacing w:after="140"/>
      </w:pPr>
      <w:r>
        <w:rPr>
          <w:b w:val="false"/>
          <w:bCs w:val="false"/>
          <w:i w:val="false"/>
          <w:iCs w:val="false"/>
        </w:rPr>
        <w:t xml:space="preserve">Endpoint: POST https://nadclinic.qcontact.com/api/v2/auth/sign_in — body {"email": ..., "password": ...}. Uses devise_token_auth; the response HEADERS (not body) contain five values that must be reused on every subsequent call: access-token, token-type (always "Bearer"), client, expiry (Unix timestamp), and uid (must exactly match the sign-in email, case-sensitive — a single-character mismatch here caused a full afternoon’s debugging during this build; see §16).</w:t>
      </w:r>
    </w:p>
    <w:p>
      <w:pPr>
        <w:spacing w:after="140"/>
      </w:pPr>
      <w:r>
        <w:rPr>
          <w:b w:val="false"/>
          <w:bCs w:val="false"/>
          <w:i w:val="false"/>
          <w:iCs w:val="false"/>
        </w:rPr>
        <w:t xml:space="preserve">Tokens must be refreshed once per flow run (not once per API call) — a single sign-in at the start of a flow execution is sufficient to cover an entire run, including runs that make dozens of subsequent calls (e.g. the backfill flow’s 72 calls in one run).</w:t>
      </w:r>
    </w:p>
    <w:p>
      <w:pPr>
        <w:pStyle w:val="Heading3"/>
        <w:spacing w:after="100" w:before="200"/>
      </w:pPr>
      <w:r>
        <w:t xml:space="preserve">10.2 Core endpoint — Report/actions/user_breakdown</w:t>
      </w:r>
    </w:p>
    <w:p>
      <w:pPr>
        <w:spacing w:after="140"/>
      </w:pPr>
      <w:r>
        <w:rPr>
          <w:b w:val="false"/>
          <w:bCs w:val="false"/>
          <w:i w:val="false"/>
          <w:iCs w:val="false"/>
        </w:rPr>
        <w:t xml:space="preserve">Endpoint: POST https://nadclinic.qcontact.com/api/v2/entities/Report/actions/user_breakdown</w:t>
      </w:r>
    </w:p>
    <w:p>
      <w:pPr>
        <w:spacing w:after="140"/>
      </w:pPr>
      <w:r>
        <w:rPr>
          <w:b w:val="false"/>
          <w:bCs w:val="false"/>
          <w:i w:val="false"/>
          <w:iCs w:val="false"/>
        </w:rPr>
        <w:t xml:space="preserve">Request body:</w:t>
      </w:r>
    </w:p>
    <w:tbl>
      <w:tblPr>
        <w:tblW w:type="pct" w:w="100%"/>
        <w:tblBorders>
          <w:top w:val="single" w:color="d0d0d0" w:sz="4"/>
          <w:left w:val="single" w:color="d0d0d0" w:sz="4"/>
          <w:bottom w:val="single" w:color="d0d0d0" w:sz="4"/>
          <w:right w:val="single" w:color="d0d0d0" w:sz="4"/>
          <w:insideH w:val="single" w:color="auto" w:sz="4"/>
          <w:insideV w:val="single" w:color="auto" w:sz="4"/>
        </w:tblBorders>
      </w:tblPr>
      <w:tblGrid>
        <w:gridCol w:w="100"/>
      </w:tblGrid>
      <w:tr>
        <w:tc>
          <w:tcPr>
            <w:shd w:fill="f0f0f0" w:val="clear"/>
            <w:tcMar>
              <w:top w:type="dxa" w:w="120"/>
              <w:left w:type="dxa" w:w="160"/>
              <w:bottom w:type="dxa" w:w="120"/>
              <w:right w:type="dxa" w:w="160"/>
            </w:tcMar>
          </w:tcPr>
          <w:p>
            <w:pPr>
              <w:spacing w:after="20"/>
            </w:pPr>
            <w:r>
              <w:rPr>
                <w:rFonts w:ascii="Consolas" w:cs="Consolas" w:eastAsia="Consolas" w:hAnsi="Consolas"/>
                <w:color w:val="333333"/>
                <w:sz w:val="18"/>
                <w:szCs w:val="18"/>
              </w:rPr>
              <w:t xml:space="preserve">{</w:t>
            </w:r>
          </w:p>
          <w:p>
            <w:pPr>
              <w:spacing w:after="20"/>
            </w:pPr>
            <w:r>
              <w:rPr>
                <w:rFonts w:ascii="Consolas" w:cs="Consolas" w:eastAsia="Consolas" w:hAnsi="Consolas"/>
                <w:color w:val="333333"/>
                <w:sz w:val="18"/>
                <w:szCs w:val="18"/>
              </w:rPr>
              <w:t xml:space="preserve">  "user": &lt;qContact numeric user id&gt;,</w:t>
            </w:r>
          </w:p>
          <w:p>
            <w:pPr>
              <w:spacing w:after="20"/>
            </w:pPr>
            <w:r>
              <w:rPr>
                <w:rFonts w:ascii="Consolas" w:cs="Consolas" w:eastAsia="Consolas" w:hAnsi="Consolas"/>
                <w:color w:val="333333"/>
                <w:sz w:val="18"/>
                <w:szCs w:val="18"/>
              </w:rPr>
              <w:t xml:space="preserve">  "start": "&lt;ISO 8601 UTC timestamp&gt;",</w:t>
            </w:r>
          </w:p>
          <w:p>
            <w:pPr>
              <w:spacing w:after="20"/>
            </w:pPr>
            <w:r>
              <w:rPr>
                <w:rFonts w:ascii="Consolas" w:cs="Consolas" w:eastAsia="Consolas" w:hAnsi="Consolas"/>
                <w:color w:val="333333"/>
                <w:sz w:val="18"/>
                <w:szCs w:val="18"/>
              </w:rPr>
              <w:t xml:space="preserve">  "stop": "&lt;ISO 8601 UTC timestamp&gt;"</w:t>
            </w:r>
          </w:p>
          <w:p>
            <w:pPr>
              <w:spacing w:after="20"/>
            </w:pPr>
            <w:r>
              <w:rPr>
                <w:rFonts w:ascii="Consolas" w:cs="Consolas" w:eastAsia="Consolas" w:hAnsi="Consolas"/>
                <w:color w:val="333333"/>
                <w:sz w:val="18"/>
                <w:szCs w:val="18"/>
              </w:rPr>
              <w:t xml:space="preserve">}</w:t>
            </w:r>
          </w:p>
        </w:tc>
      </w:tr>
    </w:tbl>
    <w:p>
      <w:pPr>
        <w:spacing w:after="140"/>
      </w:pPr>
    </w:p>
    <w:p>
      <w:pPr>
        <w:spacing w:after="140"/>
      </w:pPr>
      <w:r>
        <w:rPr>
          <w:b w:val="false"/>
          <w:bCs w:val="false"/>
          <w:i w:val="false"/>
          <w:iCs w:val="false"/>
        </w:rPr>
        <w:t xml:space="preserve">This is qContact’s own agent-report endpoint (discovered via browser DevTools while using qContact’s UI report picker) — there is no dedicated "Productive Hours" endpoint; qContact has no native PH concept. PH is a Trilogy-defined billing construct built entirely from this endpoint’s raw duration data.</w:t>
      </w:r>
    </w:p>
    <w:p>
      <w:pPr>
        <w:spacing w:after="140"/>
      </w:pPr>
      <w:r>
        <w:rPr>
          <w:b w:val="false"/>
          <w:bCs w:val="false"/>
          <w:i w:val="false"/>
          <w:iCs w:val="false"/>
        </w:rPr>
        <w:t xml:space="preserve">Response contains a durations object, keyed by user_status code, with sub-keys for pause_reason where status=5 (Paused):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7800"/>
      </w:tblGrid>
      <w:tr>
        <w:trPr>
          <w:tblHeader/>
        </w:trPr>
        <w:tc>
          <w:tcPr>
            <w:tcW w:type="dxa" w:w="1600"/>
            <w:shd w:fill="1e1e1e" w:val="clear"/>
            <w:tcMar>
              <w:top w:type="dxa" w:w="80"/>
              <w:left w:type="dxa" w:w="100"/>
              <w:bottom w:type="dxa" w:w="80"/>
              <w:right w:type="dxa" w:w="100"/>
            </w:tcMar>
            <w:vAlign w:val="center"/>
          </w:tcPr>
          <w:p>
            <w:r>
              <w:rPr>
                <w:b/>
                <w:bCs/>
                <w:color w:val="FFFFFF"/>
                <w:sz w:val="18"/>
                <w:szCs w:val="18"/>
              </w:rPr>
              <w:t xml:space="preserve">Key</w:t>
            </w:r>
          </w:p>
        </w:tc>
        <w:tc>
          <w:tcPr>
            <w:tcW w:type="dxa" w:w="7800"/>
            <w:shd w:fill="1e1e1e" w:val="clear"/>
            <w:tcMar>
              <w:top w:type="dxa" w:w="80"/>
              <w:left w:type="dxa" w:w="100"/>
              <w:bottom w:type="dxa" w:w="80"/>
              <w:right w:type="dxa" w:w="100"/>
            </w:tcMar>
            <w:vAlign w:val="center"/>
          </w:tcPr>
          <w:p>
            <w:r>
              <w:rPr>
                <w:b/>
                <w:bCs/>
                <w:color w:val="FFFFFF"/>
                <w:sz w:val="18"/>
                <w:szCs w:val="18"/>
              </w:rPr>
              <w:t xml:space="preserve">Meaning</w:t>
            </w:r>
          </w:p>
        </w:tc>
      </w:tr>
      <w:tr>
        <w:tc>
          <w:tcPr>
            <w:tcW w:type="dxa" w:w="1600"/>
            <w:tcMar>
              <w:top w:type="dxa" w:w="80"/>
              <w:left w:type="dxa" w:w="100"/>
              <w:bottom w:type="dxa" w:w="80"/>
              <w:right w:type="dxa" w:w="100"/>
            </w:tcMar>
            <w:vAlign w:val="center"/>
          </w:tcPr>
          <w:p>
            <w:r>
              <w:rPr>
                <w:b w:val="false"/>
                <w:bCs w:val="false"/>
                <w:sz w:val="19"/>
                <w:szCs w:val="19"/>
              </w:rPr>
              <w:t xml:space="preserve">0</w:t>
            </w:r>
          </w:p>
        </w:tc>
        <w:tc>
          <w:tcPr>
            <w:tcW w:type="dxa" w:w="7800"/>
            <w:tcMar>
              <w:top w:type="dxa" w:w="80"/>
              <w:left w:type="dxa" w:w="100"/>
              <w:bottom w:type="dxa" w:w="80"/>
              <w:right w:type="dxa" w:w="100"/>
            </w:tcMar>
            <w:vAlign w:val="center"/>
          </w:tcPr>
          <w:p>
            <w:r>
              <w:rPr>
                <w:b w:val="false"/>
                <w:bCs w:val="false"/>
                <w:sz w:val="19"/>
                <w:szCs w:val="19"/>
              </w:rPr>
              <w:t xml:space="preserve">LoggedOut (seconds)</w:t>
            </w:r>
          </w:p>
        </w:tc>
      </w:tr>
      <w:tr>
        <w:tc>
          <w:tcPr>
            <w:tcW w:type="dxa" w:w="1600"/>
            <w:tcMar>
              <w:top w:type="dxa" w:w="80"/>
              <w:left w:type="dxa" w:w="100"/>
              <w:bottom w:type="dxa" w:w="80"/>
              <w:right w:type="dxa" w:w="100"/>
            </w:tcMar>
            <w:vAlign w:val="center"/>
          </w:tcPr>
          <w:p>
            <w:r>
              <w:rPr>
                <w:b w:val="false"/>
                <w:bCs w:val="false"/>
                <w:sz w:val="19"/>
                <w:szCs w:val="19"/>
              </w:rPr>
              <w:t xml:space="preserve">1</w:t>
            </w:r>
          </w:p>
        </w:tc>
        <w:tc>
          <w:tcPr>
            <w:tcW w:type="dxa" w:w="7800"/>
            <w:tcMar>
              <w:top w:type="dxa" w:w="80"/>
              <w:left w:type="dxa" w:w="100"/>
              <w:bottom w:type="dxa" w:w="80"/>
              <w:right w:type="dxa" w:w="100"/>
            </w:tcMar>
            <w:vAlign w:val="center"/>
          </w:tcPr>
          <w:p>
            <w:r>
              <w:rPr>
                <w:b w:val="false"/>
                <w:bCs w:val="false"/>
                <w:sz w:val="19"/>
                <w:szCs w:val="19"/>
              </w:rPr>
              <w:t xml:space="preserve">Idle</w:t>
            </w:r>
          </w:p>
        </w:tc>
      </w:tr>
      <w:tr>
        <w:tc>
          <w:tcPr>
            <w:tcW w:type="dxa" w:w="1600"/>
            <w:tcMar>
              <w:top w:type="dxa" w:w="80"/>
              <w:left w:type="dxa" w:w="100"/>
              <w:bottom w:type="dxa" w:w="80"/>
              <w:right w:type="dxa" w:w="100"/>
            </w:tcMar>
            <w:vAlign w:val="center"/>
          </w:tcPr>
          <w:p>
            <w:r>
              <w:rPr>
                <w:b w:val="false"/>
                <w:bCs w:val="false"/>
                <w:sz w:val="19"/>
                <w:szCs w:val="19"/>
              </w:rPr>
              <w:t xml:space="preserve">2</w:t>
            </w:r>
          </w:p>
        </w:tc>
        <w:tc>
          <w:tcPr>
            <w:tcW w:type="dxa" w:w="7800"/>
            <w:tcMar>
              <w:top w:type="dxa" w:w="80"/>
              <w:left w:type="dxa" w:w="100"/>
              <w:bottom w:type="dxa" w:w="80"/>
              <w:right w:type="dxa" w:w="100"/>
            </w:tcMar>
            <w:vAlign w:val="center"/>
          </w:tcPr>
          <w:p>
            <w:r>
              <w:rPr>
                <w:b w:val="false"/>
                <w:bCs w:val="false"/>
                <w:sz w:val="19"/>
                <w:szCs w:val="19"/>
              </w:rPr>
              <w:t xml:space="preserve">AcdAvailable</w:t>
            </w:r>
          </w:p>
        </w:tc>
      </w:tr>
      <w:tr>
        <w:tc>
          <w:tcPr>
            <w:tcW w:type="dxa" w:w="1600"/>
            <w:tcMar>
              <w:top w:type="dxa" w:w="80"/>
              <w:left w:type="dxa" w:w="100"/>
              <w:bottom w:type="dxa" w:w="80"/>
              <w:right w:type="dxa" w:w="100"/>
            </w:tcMar>
            <w:vAlign w:val="center"/>
          </w:tcPr>
          <w:p>
            <w:r>
              <w:rPr>
                <w:b w:val="false"/>
                <w:bCs w:val="false"/>
                <w:sz w:val="19"/>
                <w:szCs w:val="19"/>
              </w:rPr>
              <w:t xml:space="preserve">3</w:t>
            </w:r>
          </w:p>
        </w:tc>
        <w:tc>
          <w:tcPr>
            <w:tcW w:type="dxa" w:w="7800"/>
            <w:tcMar>
              <w:top w:type="dxa" w:w="80"/>
              <w:left w:type="dxa" w:w="100"/>
              <w:bottom w:type="dxa" w:w="80"/>
              <w:right w:type="dxa" w:w="100"/>
            </w:tcMar>
            <w:vAlign w:val="center"/>
          </w:tcPr>
          <w:p>
            <w:r>
              <w:rPr>
                <w:b w:val="false"/>
                <w:bCs w:val="false"/>
                <w:sz w:val="19"/>
                <w:szCs w:val="19"/>
              </w:rPr>
              <w:t xml:space="preserve">Communicating</w:t>
            </w:r>
          </w:p>
        </w:tc>
      </w:tr>
      <w:tr>
        <w:tc>
          <w:tcPr>
            <w:tcW w:type="dxa" w:w="1600"/>
            <w:tcMar>
              <w:top w:type="dxa" w:w="80"/>
              <w:left w:type="dxa" w:w="100"/>
              <w:bottom w:type="dxa" w:w="80"/>
              <w:right w:type="dxa" w:w="100"/>
            </w:tcMar>
            <w:vAlign w:val="center"/>
          </w:tcPr>
          <w:p>
            <w:r>
              <w:rPr>
                <w:b w:val="false"/>
                <w:bCs w:val="false"/>
                <w:sz w:val="19"/>
                <w:szCs w:val="19"/>
              </w:rPr>
              <w:t xml:space="preserve">4</w:t>
            </w:r>
          </w:p>
        </w:tc>
        <w:tc>
          <w:tcPr>
            <w:tcW w:type="dxa" w:w="7800"/>
            <w:tcMar>
              <w:top w:type="dxa" w:w="80"/>
              <w:left w:type="dxa" w:w="100"/>
              <w:bottom w:type="dxa" w:w="80"/>
              <w:right w:type="dxa" w:w="100"/>
            </w:tcMar>
            <w:vAlign w:val="center"/>
          </w:tcPr>
          <w:p>
            <w:r>
              <w:rPr>
                <w:b w:val="false"/>
                <w:bCs w:val="false"/>
                <w:sz w:val="19"/>
                <w:szCs w:val="19"/>
              </w:rPr>
              <w:t xml:space="preserve">Wrapup</w:t>
            </w:r>
          </w:p>
        </w:tc>
      </w:tr>
      <w:tr>
        <w:tc>
          <w:tcPr>
            <w:tcW w:type="dxa" w:w="1600"/>
            <w:tcMar>
              <w:top w:type="dxa" w:w="80"/>
              <w:left w:type="dxa" w:w="100"/>
              <w:bottom w:type="dxa" w:w="80"/>
              <w:right w:type="dxa" w:w="100"/>
            </w:tcMar>
            <w:vAlign w:val="center"/>
          </w:tcPr>
          <w:p>
            <w:r>
              <w:rPr>
                <w:b w:val="false"/>
                <w:bCs w:val="false"/>
                <w:sz w:val="19"/>
                <w:szCs w:val="19"/>
              </w:rPr>
              <w:t xml:space="preserve">5</w:t>
            </w:r>
          </w:p>
        </w:tc>
        <w:tc>
          <w:tcPr>
            <w:tcW w:type="dxa" w:w="7800"/>
            <w:tcMar>
              <w:top w:type="dxa" w:w="80"/>
              <w:left w:type="dxa" w:w="100"/>
              <w:bottom w:type="dxa" w:w="80"/>
              <w:right w:type="dxa" w:w="100"/>
            </w:tcMar>
            <w:vAlign w:val="center"/>
          </w:tcPr>
          <w:p>
            <w:r>
              <w:rPr>
                <w:b w:val="false"/>
                <w:bCs w:val="false"/>
                <w:sz w:val="19"/>
                <w:szCs w:val="19"/>
              </w:rPr>
              <w:t xml:space="preserve">Paused (total)</w:t>
            </w:r>
          </w:p>
        </w:tc>
      </w:tr>
      <w:tr>
        <w:tc>
          <w:tcPr>
            <w:tcW w:type="dxa" w:w="1600"/>
            <w:tcMar>
              <w:top w:type="dxa" w:w="80"/>
              <w:left w:type="dxa" w:w="100"/>
              <w:bottom w:type="dxa" w:w="80"/>
              <w:right w:type="dxa" w:w="100"/>
            </w:tcMar>
            <w:vAlign w:val="center"/>
          </w:tcPr>
          <w:p>
            <w:r>
              <w:rPr>
                <w:b w:val="false"/>
                <w:bCs w:val="false"/>
                <w:sz w:val="19"/>
                <w:szCs w:val="19"/>
              </w:rPr>
              <w:t xml:space="preserve">5_1</w:t>
            </w:r>
          </w:p>
        </w:tc>
        <w:tc>
          <w:tcPr>
            <w:tcW w:type="dxa" w:w="7800"/>
            <w:tcMar>
              <w:top w:type="dxa" w:w="80"/>
              <w:left w:type="dxa" w:w="100"/>
              <w:bottom w:type="dxa" w:w="80"/>
              <w:right w:type="dxa" w:w="100"/>
            </w:tcMar>
            <w:vAlign w:val="center"/>
          </w:tcPr>
          <w:p>
            <w:r>
              <w:rPr>
                <w:b w:val="false"/>
                <w:bCs w:val="false"/>
                <w:sz w:val="19"/>
                <w:szCs w:val="19"/>
              </w:rPr>
              <w:t xml:space="preserve">Paused → Lunch</w:t>
            </w:r>
          </w:p>
        </w:tc>
      </w:tr>
      <w:tr>
        <w:tc>
          <w:tcPr>
            <w:tcW w:type="dxa" w:w="1600"/>
            <w:tcMar>
              <w:top w:type="dxa" w:w="80"/>
              <w:left w:type="dxa" w:w="100"/>
              <w:bottom w:type="dxa" w:w="80"/>
              <w:right w:type="dxa" w:w="100"/>
            </w:tcMar>
            <w:vAlign w:val="center"/>
          </w:tcPr>
          <w:p>
            <w:r>
              <w:rPr>
                <w:b w:val="false"/>
                <w:bCs w:val="false"/>
                <w:sz w:val="19"/>
                <w:szCs w:val="19"/>
              </w:rPr>
              <w:t xml:space="preserve">5_2</w:t>
            </w:r>
          </w:p>
        </w:tc>
        <w:tc>
          <w:tcPr>
            <w:tcW w:type="dxa" w:w="7800"/>
            <w:tcMar>
              <w:top w:type="dxa" w:w="80"/>
              <w:left w:type="dxa" w:w="100"/>
              <w:bottom w:type="dxa" w:w="80"/>
              <w:right w:type="dxa" w:w="100"/>
            </w:tcMar>
            <w:vAlign w:val="center"/>
          </w:tcPr>
          <w:p>
            <w:r>
              <w:rPr>
                <w:b w:val="false"/>
                <w:bCs w:val="false"/>
                <w:sz w:val="19"/>
                <w:szCs w:val="19"/>
              </w:rPr>
              <w:t xml:space="preserve">Paused → Meeting</w:t>
            </w:r>
          </w:p>
        </w:tc>
      </w:tr>
      <w:tr>
        <w:tc>
          <w:tcPr>
            <w:tcW w:type="dxa" w:w="1600"/>
            <w:tcMar>
              <w:top w:type="dxa" w:w="80"/>
              <w:left w:type="dxa" w:w="100"/>
              <w:bottom w:type="dxa" w:w="80"/>
              <w:right w:type="dxa" w:w="100"/>
            </w:tcMar>
            <w:vAlign w:val="center"/>
          </w:tcPr>
          <w:p>
            <w:r>
              <w:rPr>
                <w:b w:val="false"/>
                <w:bCs w:val="false"/>
                <w:sz w:val="19"/>
                <w:szCs w:val="19"/>
              </w:rPr>
              <w:t xml:space="preserve">5_3</w:t>
            </w:r>
          </w:p>
        </w:tc>
        <w:tc>
          <w:tcPr>
            <w:tcW w:type="dxa" w:w="7800"/>
            <w:tcMar>
              <w:top w:type="dxa" w:w="80"/>
              <w:left w:type="dxa" w:w="100"/>
              <w:bottom w:type="dxa" w:w="80"/>
              <w:right w:type="dxa" w:w="100"/>
            </w:tcMar>
            <w:vAlign w:val="center"/>
          </w:tcPr>
          <w:p>
            <w:r>
              <w:rPr>
                <w:b w:val="false"/>
                <w:bCs w:val="false"/>
                <w:sz w:val="19"/>
                <w:szCs w:val="19"/>
              </w:rPr>
              <w:t xml:space="preserve">Paused → Client Training  (BILLABLE — see §11)</w:t>
            </w:r>
          </w:p>
        </w:tc>
      </w:tr>
      <w:tr>
        <w:tc>
          <w:tcPr>
            <w:tcW w:type="dxa" w:w="1600"/>
            <w:tcMar>
              <w:top w:type="dxa" w:w="80"/>
              <w:left w:type="dxa" w:w="100"/>
              <w:bottom w:type="dxa" w:w="80"/>
              <w:right w:type="dxa" w:w="100"/>
            </w:tcMar>
            <w:vAlign w:val="center"/>
          </w:tcPr>
          <w:p>
            <w:r>
              <w:rPr>
                <w:b w:val="false"/>
                <w:bCs w:val="false"/>
                <w:sz w:val="19"/>
                <w:szCs w:val="19"/>
              </w:rPr>
              <w:t xml:space="preserve">5_4</w:t>
            </w:r>
          </w:p>
        </w:tc>
        <w:tc>
          <w:tcPr>
            <w:tcW w:type="dxa" w:w="7800"/>
            <w:tcMar>
              <w:top w:type="dxa" w:w="80"/>
              <w:left w:type="dxa" w:w="100"/>
              <w:bottom w:type="dxa" w:w="80"/>
              <w:right w:type="dxa" w:w="100"/>
            </w:tcMar>
            <w:vAlign w:val="center"/>
          </w:tcPr>
          <w:p>
            <w:r>
              <w:rPr>
                <w:b w:val="false"/>
                <w:bCs w:val="false"/>
                <w:sz w:val="19"/>
                <w:szCs w:val="19"/>
              </w:rPr>
              <w:t xml:space="preserve">Paused → Tea Break</w:t>
            </w:r>
          </w:p>
        </w:tc>
      </w:tr>
      <w:tr>
        <w:tc>
          <w:tcPr>
            <w:tcW w:type="dxa" w:w="1600"/>
            <w:tcMar>
              <w:top w:type="dxa" w:w="80"/>
              <w:left w:type="dxa" w:w="100"/>
              <w:bottom w:type="dxa" w:w="80"/>
              <w:right w:type="dxa" w:w="100"/>
            </w:tcMar>
            <w:vAlign w:val="center"/>
          </w:tcPr>
          <w:p>
            <w:r>
              <w:rPr>
                <w:b w:val="false"/>
                <w:bCs w:val="false"/>
                <w:sz w:val="19"/>
                <w:szCs w:val="19"/>
              </w:rPr>
              <w:t xml:space="preserve">5_5</w:t>
            </w:r>
          </w:p>
        </w:tc>
        <w:tc>
          <w:tcPr>
            <w:tcW w:type="dxa" w:w="7800"/>
            <w:tcMar>
              <w:top w:type="dxa" w:w="80"/>
              <w:left w:type="dxa" w:w="100"/>
              <w:bottom w:type="dxa" w:w="80"/>
              <w:right w:type="dxa" w:w="100"/>
            </w:tcMar>
            <w:vAlign w:val="center"/>
          </w:tcPr>
          <w:p>
            <w:r>
              <w:rPr>
                <w:b w:val="false"/>
                <w:bCs w:val="false"/>
                <w:sz w:val="19"/>
                <w:szCs w:val="19"/>
              </w:rPr>
              <w:t xml:space="preserve">Paused → Body Break</w:t>
            </w:r>
          </w:p>
        </w:tc>
      </w:tr>
      <w:tr>
        <w:tc>
          <w:tcPr>
            <w:tcW w:type="dxa" w:w="1600"/>
            <w:tcMar>
              <w:top w:type="dxa" w:w="80"/>
              <w:left w:type="dxa" w:w="100"/>
              <w:bottom w:type="dxa" w:w="80"/>
              <w:right w:type="dxa" w:w="100"/>
            </w:tcMar>
            <w:vAlign w:val="center"/>
          </w:tcPr>
          <w:p>
            <w:r>
              <w:rPr>
                <w:b w:val="false"/>
                <w:bCs w:val="false"/>
                <w:sz w:val="19"/>
                <w:szCs w:val="19"/>
              </w:rPr>
              <w:t xml:space="preserve">5_6</w:t>
            </w:r>
          </w:p>
        </w:tc>
        <w:tc>
          <w:tcPr>
            <w:tcW w:type="dxa" w:w="7800"/>
            <w:tcMar>
              <w:top w:type="dxa" w:w="80"/>
              <w:left w:type="dxa" w:w="100"/>
              <w:bottom w:type="dxa" w:w="80"/>
              <w:right w:type="dxa" w:w="100"/>
            </w:tcMar>
            <w:vAlign w:val="center"/>
          </w:tcPr>
          <w:p>
            <w:r>
              <w:rPr>
                <w:b w:val="false"/>
                <w:bCs w:val="false"/>
                <w:sz w:val="19"/>
                <w:szCs w:val="19"/>
              </w:rPr>
              <w:t xml:space="preserve">Paused → unknown/unconfirmed — never observed in real data as of 2026-07-05</w:t>
            </w:r>
          </w:p>
        </w:tc>
      </w:tr>
      <w:tr>
        <w:tc>
          <w:tcPr>
            <w:tcW w:type="dxa" w:w="1600"/>
            <w:tcMar>
              <w:top w:type="dxa" w:w="80"/>
              <w:left w:type="dxa" w:w="100"/>
              <w:bottom w:type="dxa" w:w="80"/>
              <w:right w:type="dxa" w:w="100"/>
            </w:tcMar>
            <w:vAlign w:val="center"/>
          </w:tcPr>
          <w:p>
            <w:r>
              <w:rPr>
                <w:b w:val="false"/>
                <w:bCs w:val="false"/>
                <w:sz w:val="19"/>
                <w:szCs w:val="19"/>
              </w:rPr>
              <w:t xml:space="preserve">5_7</w:t>
            </w:r>
          </w:p>
        </w:tc>
        <w:tc>
          <w:tcPr>
            <w:tcW w:type="dxa" w:w="7800"/>
            <w:tcMar>
              <w:top w:type="dxa" w:w="80"/>
              <w:left w:type="dxa" w:w="100"/>
              <w:bottom w:type="dxa" w:w="80"/>
              <w:right w:type="dxa" w:w="100"/>
            </w:tcMar>
            <w:vAlign w:val="center"/>
          </w:tcPr>
          <w:p>
            <w:r>
              <w:rPr>
                <w:b w:val="false"/>
                <w:bCs w:val="false"/>
                <w:sz w:val="19"/>
                <w:szCs w:val="19"/>
              </w:rPr>
              <w:t xml:space="preserve">Paused → Internal Training</w:t>
            </w:r>
          </w:p>
        </w:tc>
      </w:tr>
    </w:tbl>
    <w:p>
      <w:pPr>
        <w:spacing w:after="140"/>
      </w:pPr>
      <w:r>
        <w:rPr>
          <w:b/>
          <w:bCs/>
          <w:i w:val="false"/>
          <w:iCs w:val="false"/>
        </w:rPr>
        <w:t xml:space="preserve">A second block, ush_durations, is also returned but has been confirmed NOT to carry pause_reason granularity (it collapses/omits Paused-status detail inconsistently) and must not be used for PH. Only the durations block is used.</w:t>
      </w:r>
    </w:p>
    <w:p>
      <w:pPr>
        <w:spacing w:after="140"/>
      </w:pPr>
      <w:r>
        <w:rPr>
          <w:b w:val="false"/>
          <w:bCs w:val="false"/>
          <w:i w:val="false"/>
          <w:iCs w:val="false"/>
        </w:rPr>
        <w:t xml:space="preserve">Duration values are in seconds, and the API contiguously accounts for time — every record’s start_at + duration equals the next record’s start_at, including overnight LoggedOut spans, verified against the raw UserStateHistory entity.</w:t>
      </w:r>
    </w:p>
    <w:p>
      <w:pPr>
        <w:pStyle w:val="Heading3"/>
        <w:spacing w:after="100" w:before="200"/>
      </w:pPr>
      <w:r>
        <w:t xml:space="preserve">10.3 Confirmed Productive Hours (PH) Formula</w:t>
      </w:r>
    </w:p>
    <w:tbl>
      <w:tblPr>
        <w:tblW w:type="pct" w:w="100%"/>
        <w:tblBorders>
          <w:top w:val="single" w:color="2a8a00" w:sz="12"/>
          <w:left w:val="single" w:color="2a8a00" w:sz="12"/>
          <w:bottom w:val="single" w:color="2a8a00" w:sz="12"/>
          <w:right w:val="single" w:color="2a8a00" w:sz="12"/>
          <w:insideH w:val="single" w:color="auto" w:sz="4"/>
          <w:insideV w:val="single" w:color="auto" w:sz="4"/>
        </w:tblBorders>
      </w:tblPr>
      <w:tblGrid>
        <w:gridCol w:w="100"/>
      </w:tblGrid>
      <w:tr>
        <w:tc>
          <w:tcPr>
            <w:shd w:fill="edffd6" w:val="clear"/>
            <w:tcMar>
              <w:top w:type="dxa" w:w="200"/>
              <w:left w:type="dxa" w:w="200"/>
              <w:bottom w:type="dxa" w:w="200"/>
              <w:right w:type="dxa" w:w="200"/>
            </w:tcMar>
          </w:tcPr>
          <w:p>
            <w:pPr>
              <w:spacing w:after="100"/>
            </w:pPr>
            <w:r>
              <w:rPr>
                <w:b/>
                <w:bCs/>
                <w:sz w:val="21"/>
                <w:szCs w:val="21"/>
              </w:rPr>
              <w:t xml:space="preserve">PH = total_period_seconds − durations["0"] (LoggedOut) − durations["5_1"] (Lunch) − durations["5_2"] (Meeting) − durations["5_4"] (Tea Break) − durations["5_5"] (Body Break) − durations["5_7"] (Internal Training)</w:t>
            </w:r>
          </w:p>
          <w:p>
            <w:pPr>
              <w:spacing w:after="0"/>
            </w:pPr>
            <w:r>
              <w:rPr>
                <w:b w:val="false"/>
                <w:bCs w:val="false"/>
                <w:sz w:val="20"/>
                <w:szCs w:val="20"/>
              </w:rPr>
              <w:t xml:space="preserve">Client Training (key "5_3") is explicitly BILLABLE and is NOT subtracted. Pause code "5_6" has never been observed in real data; it is currently treated as billable (not subtracted) by default, and this treatment is UNCONFIRMED — flag for a ruling if it is ever seen in real data.</w:t>
            </w:r>
          </w:p>
        </w:tc>
      </w:tr>
    </w:tbl>
    <w:p>
      <w:pPr>
        <w:spacing w:after="140"/>
      </w:pPr>
      <w:r>
        <w:rPr>
          <w:b w:val="false"/>
          <w:bCs w:val="false"/>
          <w:i w:val="false"/>
          <w:iCs w:val="false"/>
        </w:rPr>
        <w:t xml:space="preserve">Confirmed by direct comparison against a known raw record: Demi Bennett’s 2026-06-08 Lunch pause (raw duration 3732.56s) reproduced exactly as durations["5_1"] = 3732.56 via this endpoint — an exact match, not an approximation.</w:t>
      </w:r>
    </w:p>
    <w:p>
      <w:pPr>
        <w:spacing w:after="140"/>
      </w:pPr>
      <w:r>
        <w:rPr>
          <w:b w:val="false"/>
          <w:bCs w:val="false"/>
          <w:i w:val="false"/>
          <w:iCs w:val="false"/>
        </w:rPr>
        <w:t xml:space="preserve">Validation example: Demi Bennett, Monday 29 June 2026 — durations: LoggedOut 55,480.18s, Idle 398.94s, AcdAvailable 7,806.39s, Communicating 18,391.39s, Wrapup 149.36s, Paused 3,377.24s (Lunch 2,624.64s + Meeting 752.60s). PH = 85,603.5 − 55,480.18 − 2,624.64 − 752.60 = 26,746.08s ≈ 7.43 hours. Billing = 7.43h × £10.50/hr ≈ £78.03. Confirmed by Craig as matching expectation for that day.</w:t>
      </w:r>
    </w:p>
    <w:p>
      <w:pPr>
        <w:pStyle w:val="Heading3"/>
        <w:spacing w:after="100" w:before="200"/>
      </w:pPr>
      <w:r>
        <w:t xml:space="preserve">10.4 Known Platform Quirks (Power Automate)</w:t>
      </w:r>
    </w:p>
    <w:p>
      <w:pPr>
        <w:spacing w:after="140"/>
      </w:pPr>
      <w:r>
        <w:rPr>
          <w:b/>
          <w:bCs/>
          <w:i w:val="false"/>
          <w:iCs w:val="false"/>
        </w:rPr>
        <w:t xml:space="preserve">The following genuinely cost significant build time and should be checked first if similar symptoms recur:</w:t>
      </w:r>
    </w:p>
    <w:p>
      <w:pPr>
        <w:pStyle w:val="ListParagraph"/>
        <w:numPr>
          <w:ilvl w:val="0"/>
          <w:numId w:val="1"/>
        </w:numPr>
        <w:spacing w:after="60"/>
      </w:pPr>
      <w:r>
        <w:rPr>
          <w:b w:val="false"/>
          <w:bCs w:val="false"/>
        </w:rPr>
        <w:t xml:space="preserve">dayOfWeek() is NOT consistent across input types. On a full UTC timestamp (e.g. "2026-07-03T22:00:00Z"), Saturday returns 5 (convention: Monday=0…Sunday=6). On a bare date string (e.g. "2026-07-04"), Saturday returns 6 (convention: Sunday=0…Saturday=6). Both were empirically confirmed during this build; do not assume one convention without testing against the actual input type in use.</w:t>
      </w:r>
    </w:p>
    <w:p>
      <w:pPr>
        <w:pStyle w:val="ListParagraph"/>
        <w:numPr>
          <w:ilvl w:val="0"/>
          <w:numId w:val="1"/>
        </w:numPr>
        <w:spacing w:after="60"/>
      </w:pPr>
      <w:r>
        <w:rPr>
          <w:b w:val="false"/>
          <w:bCs w:val="false"/>
        </w:rPr>
        <w:t xml:space="preserve">addMonths() and startOfMonth() are NOT valid Power Automate expression functions, despite existing in some other platforms’ date libraries. Month arithmetic must be done via string concatenation (concat(formatDateTime(d,'yyyy-MM'),'-01')) or the "add 32 days then subtract the resulting day-of-month" technique for month-end.</w:t>
      </w:r>
    </w:p>
    <w:p>
      <w:pPr>
        <w:pStyle w:val="ListParagraph"/>
        <w:numPr>
          <w:ilvl w:val="0"/>
          <w:numId w:val="1"/>
        </w:numPr>
        <w:spacing w:after="60"/>
      </w:pPr>
      <w:r>
        <w:rPr>
          <w:b w:val="false"/>
          <w:bCs w:val="false"/>
        </w:rPr>
        <w:t xml:space="preserve">Typed/pasted dynamic references silently freeze to literal values. On at least three separate occasions, an expression like '@{outputs('SomeAction')}' was typed or pasted directly into a text field and Power Automate accepted it as a literal string (e.g. '@{2026-07-03}') rather than a live expression — no error was thrown; it simply stopped updating. ALWAYS insert dynamic references via the "Add dynamic content" picker, never by typing the @{...} syntax by hand, and re-verify after any copy/paste between actions.</w:t>
      </w:r>
    </w:p>
    <w:p>
      <w:pPr>
        <w:pStyle w:val="ListParagraph"/>
        <w:numPr>
          <w:ilvl w:val="0"/>
          <w:numId w:val="1"/>
        </w:numPr>
        <w:spacing w:after="60"/>
      </w:pPr>
      <w:r>
        <w:rPr>
          <w:b w:val="false"/>
          <w:bCs w:val="false"/>
        </w:rPr>
        <w:t xml:space="preserve">Manual-trigger vs HTTP-trigger inputs are named differently. A Manual trigger’s named text inputs (e.g. one labelled "period") are referenced internally as generic keys (text, text_1, text_2…), NOT by the label typed in the designer. An HTTP-triggered flow with a JSON schema uses the actual property names from that schema. Swapping trigger types requires updating every downstream reference — this was missed in several actions during this build and caused an empty-string bug that was hard to diagnose because the trigger itself was receiving correct data.</w:t>
      </w:r>
    </w:p>
    <w:p>
      <w:pPr>
        <w:pStyle w:val="ListParagraph"/>
        <w:numPr>
          <w:ilvl w:val="0"/>
          <w:numId w:val="1"/>
        </w:numPr>
        <w:spacing w:after="60"/>
      </w:pPr>
      <w:r>
        <w:rPr>
          <w:b/>
          <w:bCs/>
        </w:rPr>
        <w:t xml:space="preserve">SQL connector responses are sometimes cached at the API gateway (x-ms-apihub-cached-response: true header). This caused two distinct problems during this build: (a) an identical query fired 3× in a row for 3 loop iterations returned a stale/empty result on the 3rd call — fixed by moving date-only queries (that don’t vary per loop iteration) OUTSIDE the iterating loop entirely; (b) testing a live HTTP-triggered flow via Postman sometimes returned a stale cached response even though the flow’s own run history showed the correct, freshly-computed output. When verifying flow logic, always check the action’s own output in the flow’s run history, not the response an external caller (Postman, browser) displays.</w:t>
      </w:r>
    </w:p>
    <w:p>
      <w:pPr>
        <w:pStyle w:val="ListParagraph"/>
        <w:numPr>
          <w:ilvl w:val="0"/>
          <w:numId w:val="1"/>
        </w:numPr>
        <w:spacing w:after="60"/>
      </w:pPr>
      <w:r>
        <w:rPr>
          <w:b w:val="false"/>
          <w:bCs w:val="false"/>
        </w:rPr>
        <w:t xml:space="preserve">An action cannot reference the output of an action that runs later in the sequence, even if both eventually succeed — Power Automate enforces action ordering strictly ('InvalidTemplate' / runAfter errors). If action B needs action A’s output, A must be moved earlier in the canvas, not just be present anywhere in the flow.</w:t>
      </w:r>
    </w:p>
    <w:p>
      <w:pPr>
        <w:pStyle w:val="Heading2"/>
        <w:spacing w:after="120" w:before="260"/>
      </w:pPr>
      <w:r>
        <w:t xml:space="preserve">11. Nathaniel Debique — Team Lead Exception (Flat-Rate Billing)</w:t>
      </w:r>
    </w:p>
    <w:p>
      <w:pPr>
        <w:spacing w:after="140"/>
      </w:pPr>
      <w:r>
        <w:rPr>
          <w:b/>
          <w:bCs/>
          <w:i w:val="false"/>
          <w:iCs w:val="false"/>
        </w:rPr>
        <w:t xml:space="preserve">Nathaniel is tracked for visibility (real logged PH, same as Demi and Mia) but is billed differently: a flat monthly allocation of 135 hours, not PH × hourly rate. His real activity is still ingested and stored in mis_agent_ph_daily.ph_seconds for transparency, but his billing_amount column is always NULL at ingestion time.</w:t>
      </w:r>
    </w:p>
    <w:p>
      <w:pPr>
        <w:spacing w:after="140"/>
      </w:pPr>
      <w:r>
        <w:rPr>
          <w:b w:val="false"/>
          <w:bCs w:val="false"/>
          <w:i w:val="false"/>
          <w:iCs w:val="false"/>
        </w:rPr>
        <w:t xml:space="preserve">Rationale for computing his figure at display time rather than ingestion time: the flat-rate formula depends on which reporting period is being viewed (a day, a week, a month) and requires "working days elapsed ÷ working days in that calendar month" — a genuinely different calculation for every period type. An earlier attempt to bake this into the ingestion flows (MIS-DailyPHPull / MIS-DPRBackfill) via an extra per-agent SQL lookup was built, tested, and then deliberately reverted — it added significant complexity (a second working-days-in-month query, additional action-ordering constraints) for a calculation that belongs at the reporting layer. The dashboard (dpr.html) now computes his figure client-side using workingDaysInMonth and WorkingDaysInPeriod, both returned by MIS-GetDPR.</w:t>
      </w:r>
    </w:p>
    <w:p>
      <w:pPr>
        <w:spacing w:after="140"/>
      </w:pPr>
      <w:r>
        <w:rPr>
          <w:b w:val="false"/>
          <w:bCs w:val="false"/>
          <w:i w:val="false"/>
          <w:iCs w:val="false"/>
        </w:rPr>
        <w:t xml:space="preserve">Formula: billing = (working days elapsed in the selected period ÷ working days in that period’s calendar month) × 135. For a full completed month this reduces to exactly 135. For a single day it is one day’s proportional share.</w:t>
      </w:r>
    </w:p>
    <w:p>
      <w:pPr>
        <w:spacing w:after="140"/>
      </w:pPr>
      <w:r>
        <w:rPr>
          <w:b w:val="false"/>
          <w:bCs w:val="false"/>
          <w:i w:val="false"/>
          <w:iCs w:val="false"/>
        </w:rPr>
        <w:t xml:space="preserve">A one-off SQL correction was run against historical mis_agent_ph_daily rows to remove an earlier, since-reverted attempt at storing his figure at ingestion time — his billing_amount is now NULL for all historical rows too, consistent with the current design.</w:t>
      </w:r>
    </w:p>
    <w:p>
      <w:pPr>
        <w:pStyle w:val="Heading2"/>
        <w:spacing w:after="120" w:before="260"/>
      </w:pPr>
      <w:r>
        <w:t xml:space="preserve">12. New Database Objects</w:t>
      </w:r>
    </w:p>
    <w:p>
      <w:pPr>
        <w:pStyle w:val="Heading3"/>
        <w:spacing w:after="100" w:before="200"/>
      </w:pPr>
      <w:r>
        <w:t xml:space="preserve">12.1 mis_agent_ph_daily</w:t>
      </w:r>
    </w:p>
    <w:p>
      <w:pPr>
        <w:spacing w:after="140"/>
      </w:pPr>
      <w:r>
        <w:rPr>
          <w:b w:val="false"/>
          <w:bCs w:val="false"/>
          <w:i w:val="false"/>
          <w:iCs w:val="false"/>
        </w:rPr>
        <w:t xml:space="preserve">One row per agent per SA-local calendar day. Stores raw duration buckets (not just the final PH figure) so historical PH can be recomputed if the billing definition ever changes, without re-calling qContact.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00"/>
        <w:gridCol w:w="2600"/>
        <w:gridCol w:w="3500"/>
      </w:tblGrid>
      <w:tr>
        <w:trPr>
          <w:tblHeader/>
        </w:trPr>
        <w:tc>
          <w:tcPr>
            <w:tcW w:type="dxa" w:w="3300"/>
            <w:shd w:fill="1e1e1e" w:val="clear"/>
            <w:tcMar>
              <w:top w:type="dxa" w:w="80"/>
              <w:left w:type="dxa" w:w="100"/>
              <w:bottom w:type="dxa" w:w="80"/>
              <w:right w:type="dxa" w:w="100"/>
            </w:tcMar>
            <w:vAlign w:val="center"/>
          </w:tcPr>
          <w:p>
            <w:r>
              <w:rPr>
                <w:b/>
                <w:bCs/>
                <w:color w:val="FFFFFF"/>
                <w:sz w:val="18"/>
                <w:szCs w:val="18"/>
              </w:rPr>
              <w:t xml:space="preserve">Column</w:t>
            </w:r>
          </w:p>
        </w:tc>
        <w:tc>
          <w:tcPr>
            <w:tcW w:type="dxa" w:w="2600"/>
            <w:shd w:fill="1e1e1e" w:val="clear"/>
            <w:tcMar>
              <w:top w:type="dxa" w:w="80"/>
              <w:left w:type="dxa" w:w="100"/>
              <w:bottom w:type="dxa" w:w="80"/>
              <w:right w:type="dxa" w:w="100"/>
            </w:tcMar>
            <w:vAlign w:val="center"/>
          </w:tcPr>
          <w:p>
            <w:r>
              <w:rPr>
                <w:b/>
                <w:bCs/>
                <w:color w:val="FFFFFF"/>
                <w:sz w:val="18"/>
                <w:szCs w:val="18"/>
              </w:rPr>
              <w:t xml:space="preserve">Type</w:t>
            </w:r>
          </w:p>
        </w:tc>
        <w:tc>
          <w:tcPr>
            <w:tcW w:type="dxa" w:w="3500"/>
            <w:shd w:fill="1e1e1e" w:val="clear"/>
            <w:tcMar>
              <w:top w:type="dxa" w:w="80"/>
              <w:left w:type="dxa" w:w="100"/>
              <w:bottom w:type="dxa" w:w="80"/>
              <w:right w:type="dxa" w:w="100"/>
            </w:tcMar>
            <w:vAlign w:val="center"/>
          </w:tcPr>
          <w:p>
            <w:r>
              <w:rPr>
                <w:b/>
                <w:bCs/>
                <w:color w:val="FFFFFF"/>
                <w:sz w:val="18"/>
                <w:szCs w:val="18"/>
              </w:rPr>
              <w:t xml:space="preserve">Notes</w:t>
            </w:r>
          </w:p>
        </w:tc>
      </w:tr>
      <w:tr>
        <w:tc>
          <w:tcPr>
            <w:tcW w:type="dxa" w:w="3300"/>
            <w:tcMar>
              <w:top w:type="dxa" w:w="80"/>
              <w:left w:type="dxa" w:w="100"/>
              <w:bottom w:type="dxa" w:w="80"/>
              <w:right w:type="dxa" w:w="100"/>
            </w:tcMar>
            <w:vAlign w:val="center"/>
          </w:tcPr>
          <w:p>
            <w:r>
              <w:rPr>
                <w:b w:val="false"/>
                <w:bCs w:val="false"/>
                <w:sz w:val="19"/>
                <w:szCs w:val="19"/>
              </w:rPr>
              <w:t xml:space="preserve">report_date</w:t>
            </w:r>
          </w:p>
        </w:tc>
        <w:tc>
          <w:tcPr>
            <w:tcW w:type="dxa" w:w="2600"/>
            <w:tcMar>
              <w:top w:type="dxa" w:w="80"/>
              <w:left w:type="dxa" w:w="100"/>
              <w:bottom w:type="dxa" w:w="80"/>
              <w:right w:type="dxa" w:w="100"/>
            </w:tcMar>
            <w:vAlign w:val="center"/>
          </w:tcPr>
          <w:p>
            <w:r>
              <w:rPr>
                <w:b w:val="false"/>
                <w:bCs w:val="false"/>
                <w:sz w:val="19"/>
                <w:szCs w:val="19"/>
              </w:rPr>
              <w:t xml:space="preserve">DATE</w:t>
            </w:r>
          </w:p>
        </w:tc>
        <w:tc>
          <w:tcPr>
            <w:tcW w:type="dxa" w:w="3500"/>
            <w:tcMar>
              <w:top w:type="dxa" w:w="80"/>
              <w:left w:type="dxa" w:w="100"/>
              <w:bottom w:type="dxa" w:w="80"/>
              <w:right w:type="dxa" w:w="100"/>
            </w:tcMar>
            <w:vAlign w:val="center"/>
          </w:tcPr>
          <w:p>
            <w:r>
              <w:rPr>
                <w:b w:val="false"/>
                <w:bCs w:val="false"/>
                <w:sz w:val="19"/>
                <w:szCs w:val="19"/>
              </w:rPr>
              <w:t xml:space="preserve">SA-local calendar day this row represents</w:t>
            </w:r>
          </w:p>
        </w:tc>
      </w:tr>
      <w:tr>
        <w:tc>
          <w:tcPr>
            <w:tcW w:type="dxa" w:w="3300"/>
            <w:tcMar>
              <w:top w:type="dxa" w:w="80"/>
              <w:left w:type="dxa" w:w="100"/>
              <w:bottom w:type="dxa" w:w="80"/>
              <w:right w:type="dxa" w:w="100"/>
            </w:tcMar>
            <w:vAlign w:val="center"/>
          </w:tcPr>
          <w:p>
            <w:r>
              <w:rPr>
                <w:b w:val="false"/>
                <w:bCs w:val="false"/>
                <w:sz w:val="19"/>
                <w:szCs w:val="19"/>
              </w:rPr>
              <w:t xml:space="preserve">user_id</w:t>
            </w:r>
          </w:p>
        </w:tc>
        <w:tc>
          <w:tcPr>
            <w:tcW w:type="dxa" w:w="2600"/>
            <w:tcMar>
              <w:top w:type="dxa" w:w="80"/>
              <w:left w:type="dxa" w:w="100"/>
              <w:bottom w:type="dxa" w:w="80"/>
              <w:right w:type="dxa" w:w="100"/>
            </w:tcMar>
            <w:vAlign w:val="center"/>
          </w:tcPr>
          <w:p>
            <w:r>
              <w:rPr>
                <w:b w:val="false"/>
                <w:bCs w:val="false"/>
                <w:sz w:val="19"/>
                <w:szCs w:val="19"/>
              </w:rPr>
              <w:t xml:space="preserve">BIGINT</w:t>
            </w:r>
          </w:p>
        </w:tc>
        <w:tc>
          <w:tcPr>
            <w:tcW w:type="dxa" w:w="3500"/>
            <w:tcMar>
              <w:top w:type="dxa" w:w="80"/>
              <w:left w:type="dxa" w:w="100"/>
              <w:bottom w:type="dxa" w:w="80"/>
              <w:right w:type="dxa" w:w="100"/>
            </w:tcMar>
            <w:vAlign w:val="center"/>
          </w:tcPr>
          <w:p>
            <w:r>
              <w:rPr>
                <w:b w:val="false"/>
                <w:bCs w:val="false"/>
                <w:sz w:val="19"/>
                <w:szCs w:val="19"/>
              </w:rPr>
              <w:t xml:space="preserve">qContact user id</w:t>
            </w:r>
          </w:p>
        </w:tc>
      </w:tr>
      <w:tr>
        <w:tc>
          <w:tcPr>
            <w:tcW w:type="dxa" w:w="3300"/>
            <w:tcMar>
              <w:top w:type="dxa" w:w="80"/>
              <w:left w:type="dxa" w:w="100"/>
              <w:bottom w:type="dxa" w:w="80"/>
              <w:right w:type="dxa" w:w="100"/>
            </w:tcMar>
            <w:vAlign w:val="center"/>
          </w:tcPr>
          <w:p>
            <w:r>
              <w:rPr>
                <w:b w:val="false"/>
                <w:bCs w:val="false"/>
                <w:sz w:val="19"/>
                <w:szCs w:val="19"/>
              </w:rPr>
              <w:t xml:space="preserve">agent_name</w:t>
            </w:r>
          </w:p>
        </w:tc>
        <w:tc>
          <w:tcPr>
            <w:tcW w:type="dxa" w:w="2600"/>
            <w:tcMar>
              <w:top w:type="dxa" w:w="80"/>
              <w:left w:type="dxa" w:w="100"/>
              <w:bottom w:type="dxa" w:w="80"/>
              <w:right w:type="dxa" w:w="100"/>
            </w:tcMar>
            <w:vAlign w:val="center"/>
          </w:tcPr>
          <w:p>
            <w:r>
              <w:rPr>
                <w:b w:val="false"/>
                <w:bCs w:val="false"/>
                <w:sz w:val="19"/>
                <w:szCs w:val="19"/>
              </w:rPr>
              <w:t xml:space="preserve">NVARCHAR(100)</w:t>
            </w:r>
          </w:p>
        </w:tc>
        <w:tc>
          <w:tcPr>
            <w:tcW w:type="dxa" w:w="3500"/>
            <w:tcMar>
              <w:top w:type="dxa" w:w="80"/>
              <w:left w:type="dxa" w:w="100"/>
              <w:bottom w:type="dxa" w:w="80"/>
              <w:right w:type="dxa" w:w="100"/>
            </w:tcMar>
            <w:vAlign w:val="center"/>
          </w:tcPr>
          <w:p>
            <w:r>
              <w:rPr>
                <w:b w:val="false"/>
                <w:bCs w:val="false"/>
                <w:sz w:val="19"/>
                <w:szCs w:val="19"/>
              </w:rPr>
              <w:t xml:space="preserve"/>
            </w:r>
          </w:p>
        </w:tc>
      </w:tr>
      <w:tr>
        <w:tc>
          <w:tcPr>
            <w:tcW w:type="dxa" w:w="3300"/>
            <w:tcMar>
              <w:top w:type="dxa" w:w="80"/>
              <w:left w:type="dxa" w:w="100"/>
              <w:bottom w:type="dxa" w:w="80"/>
              <w:right w:type="dxa" w:w="100"/>
            </w:tcMar>
            <w:vAlign w:val="center"/>
          </w:tcPr>
          <w:p>
            <w:r>
              <w:rPr>
                <w:b w:val="false"/>
                <w:bCs w:val="false"/>
                <w:sz w:val="19"/>
                <w:szCs w:val="19"/>
              </w:rPr>
              <w:t xml:space="preserve">CampaignCode</w:t>
            </w:r>
          </w:p>
        </w:tc>
        <w:tc>
          <w:tcPr>
            <w:tcW w:type="dxa" w:w="2600"/>
            <w:tcMar>
              <w:top w:type="dxa" w:w="80"/>
              <w:left w:type="dxa" w:w="100"/>
              <w:bottom w:type="dxa" w:w="80"/>
              <w:right w:type="dxa" w:w="100"/>
            </w:tcMar>
            <w:vAlign w:val="center"/>
          </w:tcPr>
          <w:p>
            <w:r>
              <w:rPr>
                <w:b w:val="false"/>
                <w:bCs w:val="false"/>
                <w:sz w:val="19"/>
                <w:szCs w:val="19"/>
              </w:rPr>
              <w:t xml:space="preserve">NVARCHAR(50)</w:t>
            </w:r>
          </w:p>
        </w:tc>
        <w:tc>
          <w:tcPr>
            <w:tcW w:type="dxa" w:w="3500"/>
            <w:tcMar>
              <w:top w:type="dxa" w:w="80"/>
              <w:left w:type="dxa" w:w="100"/>
              <w:bottom w:type="dxa" w:w="80"/>
              <w:right w:type="dxa" w:w="100"/>
            </w:tcMar>
            <w:vAlign w:val="center"/>
          </w:tcPr>
          <w:p>
            <w:r>
              <w:rPr>
                <w:b w:val="false"/>
                <w:bCs w:val="false"/>
                <w:sz w:val="19"/>
                <w:szCs w:val="19"/>
              </w:rPr>
              <w:t xml:space="preserve">Added post-creation via ALTER TABLE, default 'NADClinic', to support future multi-campaign use</w:t>
            </w:r>
          </w:p>
        </w:tc>
      </w:tr>
      <w:tr>
        <w:tc>
          <w:tcPr>
            <w:tcW w:type="dxa" w:w="3300"/>
            <w:tcMar>
              <w:top w:type="dxa" w:w="80"/>
              <w:left w:type="dxa" w:w="100"/>
              <w:bottom w:type="dxa" w:w="80"/>
              <w:right w:type="dxa" w:w="100"/>
            </w:tcMar>
            <w:vAlign w:val="center"/>
          </w:tcPr>
          <w:p>
            <w:r>
              <w:rPr>
                <w:b w:val="false"/>
                <w:bCs w:val="false"/>
                <w:sz w:val="19"/>
                <w:szCs w:val="19"/>
              </w:rPr>
              <w:t xml:space="preserve">logged_out_sec … internal_training_sec</w:t>
            </w:r>
          </w:p>
        </w:tc>
        <w:tc>
          <w:tcPr>
            <w:tcW w:type="dxa" w:w="2600"/>
            <w:tcMar>
              <w:top w:type="dxa" w:w="80"/>
              <w:left w:type="dxa" w:w="100"/>
              <w:bottom w:type="dxa" w:w="80"/>
              <w:right w:type="dxa" w:w="100"/>
            </w:tcMar>
            <w:vAlign w:val="center"/>
          </w:tcPr>
          <w:p>
            <w:r>
              <w:rPr>
                <w:b w:val="false"/>
                <w:bCs w:val="false"/>
                <w:sz w:val="19"/>
                <w:szCs w:val="19"/>
              </w:rPr>
              <w:t xml:space="preserve">FLOAT ×13</w:t>
            </w:r>
          </w:p>
        </w:tc>
        <w:tc>
          <w:tcPr>
            <w:tcW w:type="dxa" w:w="3500"/>
            <w:tcMar>
              <w:top w:type="dxa" w:w="80"/>
              <w:left w:type="dxa" w:w="100"/>
              <w:bottom w:type="dxa" w:w="80"/>
              <w:right w:type="dxa" w:w="100"/>
            </w:tcMar>
            <w:vAlign w:val="center"/>
          </w:tcPr>
          <w:p>
            <w:r>
              <w:rPr>
                <w:b w:val="false"/>
                <w:bCs w:val="false"/>
                <w:sz w:val="19"/>
                <w:szCs w:val="19"/>
              </w:rPr>
              <w:t xml:space="preserve">One column per duration bucket (see §10.2 key table)</w:t>
            </w:r>
          </w:p>
        </w:tc>
      </w:tr>
      <w:tr>
        <w:tc>
          <w:tcPr>
            <w:tcW w:type="dxa" w:w="3300"/>
            <w:tcMar>
              <w:top w:type="dxa" w:w="80"/>
              <w:left w:type="dxa" w:w="100"/>
              <w:bottom w:type="dxa" w:w="80"/>
              <w:right w:type="dxa" w:w="100"/>
            </w:tcMar>
            <w:vAlign w:val="center"/>
          </w:tcPr>
          <w:p>
            <w:r>
              <w:rPr>
                <w:b w:val="false"/>
                <w:bCs w:val="false"/>
                <w:sz w:val="19"/>
                <w:szCs w:val="19"/>
              </w:rPr>
              <w:t xml:space="preserve">ph_seconds</w:t>
            </w:r>
          </w:p>
        </w:tc>
        <w:tc>
          <w:tcPr>
            <w:tcW w:type="dxa" w:w="2600"/>
            <w:tcMar>
              <w:top w:type="dxa" w:w="80"/>
              <w:left w:type="dxa" w:w="100"/>
              <w:bottom w:type="dxa" w:w="80"/>
              <w:right w:type="dxa" w:w="100"/>
            </w:tcMar>
            <w:vAlign w:val="center"/>
          </w:tcPr>
          <w:p>
            <w:r>
              <w:rPr>
                <w:b w:val="false"/>
                <w:bCs w:val="false"/>
                <w:sz w:val="19"/>
                <w:szCs w:val="19"/>
              </w:rPr>
              <w:t xml:space="preserve">FLOAT</w:t>
            </w:r>
          </w:p>
        </w:tc>
        <w:tc>
          <w:tcPr>
            <w:tcW w:type="dxa" w:w="3500"/>
            <w:tcMar>
              <w:top w:type="dxa" w:w="80"/>
              <w:left w:type="dxa" w:w="100"/>
              <w:bottom w:type="dxa" w:w="80"/>
              <w:right w:type="dxa" w:w="100"/>
            </w:tcMar>
            <w:vAlign w:val="center"/>
          </w:tcPr>
          <w:p>
            <w:r>
              <w:rPr>
                <w:b w:val="false"/>
                <w:bCs w:val="false"/>
                <w:sz w:val="19"/>
                <w:szCs w:val="19"/>
              </w:rPr>
              <w:t xml:space="preserve">Computed per the §10.3 formula</w:t>
            </w:r>
          </w:p>
        </w:tc>
      </w:tr>
      <w:tr>
        <w:tc>
          <w:tcPr>
            <w:tcW w:type="dxa" w:w="3300"/>
            <w:tcMar>
              <w:top w:type="dxa" w:w="80"/>
              <w:left w:type="dxa" w:w="100"/>
              <w:bottom w:type="dxa" w:w="80"/>
              <w:right w:type="dxa" w:w="100"/>
            </w:tcMar>
            <w:vAlign w:val="center"/>
          </w:tcPr>
          <w:p>
            <w:r>
              <w:rPr>
                <w:b w:val="false"/>
                <w:bCs w:val="false"/>
                <w:sz w:val="19"/>
                <w:szCs w:val="19"/>
              </w:rPr>
              <w:t xml:space="preserve">ph_hours</w:t>
            </w:r>
          </w:p>
        </w:tc>
        <w:tc>
          <w:tcPr>
            <w:tcW w:type="dxa" w:w="2600"/>
            <w:tcMar>
              <w:top w:type="dxa" w:w="80"/>
              <w:left w:type="dxa" w:w="100"/>
              <w:bottom w:type="dxa" w:w="80"/>
              <w:right w:type="dxa" w:w="100"/>
            </w:tcMar>
            <w:vAlign w:val="center"/>
          </w:tcPr>
          <w:p>
            <w:r>
              <w:rPr>
                <w:b w:val="false"/>
                <w:bCs w:val="false"/>
                <w:sz w:val="19"/>
                <w:szCs w:val="19"/>
              </w:rPr>
              <w:t xml:space="preserve">FLOAT (computed/persisted)</w:t>
            </w:r>
          </w:p>
        </w:tc>
        <w:tc>
          <w:tcPr>
            <w:tcW w:type="dxa" w:w="3500"/>
            <w:tcMar>
              <w:top w:type="dxa" w:w="80"/>
              <w:left w:type="dxa" w:w="100"/>
              <w:bottom w:type="dxa" w:w="80"/>
              <w:right w:type="dxa" w:w="100"/>
            </w:tcMar>
            <w:vAlign w:val="center"/>
          </w:tcPr>
          <w:p>
            <w:r>
              <w:rPr>
                <w:b w:val="false"/>
                <w:bCs w:val="false"/>
                <w:sz w:val="19"/>
                <w:szCs w:val="19"/>
              </w:rPr>
              <w:t xml:space="preserve">ph_seconds / 3600</w:t>
            </w:r>
          </w:p>
        </w:tc>
      </w:tr>
      <w:tr>
        <w:tc>
          <w:tcPr>
            <w:tcW w:type="dxa" w:w="3300"/>
            <w:tcMar>
              <w:top w:type="dxa" w:w="80"/>
              <w:left w:type="dxa" w:w="100"/>
              <w:bottom w:type="dxa" w:w="80"/>
              <w:right w:type="dxa" w:w="100"/>
            </w:tcMar>
            <w:vAlign w:val="center"/>
          </w:tcPr>
          <w:p>
            <w:r>
              <w:rPr>
                <w:b w:val="false"/>
                <w:bCs w:val="false"/>
                <w:sz w:val="19"/>
                <w:szCs w:val="19"/>
              </w:rPr>
              <w:t xml:space="preserve">billing_amount</w:t>
            </w:r>
          </w:p>
        </w:tc>
        <w:tc>
          <w:tcPr>
            <w:tcW w:type="dxa" w:w="2600"/>
            <w:tcMar>
              <w:top w:type="dxa" w:w="80"/>
              <w:left w:type="dxa" w:w="100"/>
              <w:bottom w:type="dxa" w:w="80"/>
              <w:right w:type="dxa" w:w="100"/>
            </w:tcMar>
            <w:vAlign w:val="center"/>
          </w:tcPr>
          <w:p>
            <w:r>
              <w:rPr>
                <w:b w:val="false"/>
                <w:bCs w:val="false"/>
                <w:sz w:val="19"/>
                <w:szCs w:val="19"/>
              </w:rPr>
              <w:t xml:space="preserve">DECIMAL(10,2) NULL</w:t>
            </w:r>
          </w:p>
        </w:tc>
        <w:tc>
          <w:tcPr>
            <w:tcW w:type="dxa" w:w="3500"/>
            <w:tcMar>
              <w:top w:type="dxa" w:w="80"/>
              <w:left w:type="dxa" w:w="100"/>
              <w:bottom w:type="dxa" w:w="80"/>
              <w:right w:type="dxa" w:w="100"/>
            </w:tcMar>
            <w:vAlign w:val="center"/>
          </w:tcPr>
          <w:p>
            <w:r>
              <w:rPr>
                <w:b w:val="false"/>
                <w:bCs w:val="false"/>
                <w:sz w:val="19"/>
                <w:szCs w:val="19"/>
              </w:rPr>
              <w:t xml:space="preserve">NULL for Nathaniel always (see §11); populated for Demi/Mia</w:t>
            </w:r>
          </w:p>
        </w:tc>
      </w:tr>
      <w:tr>
        <w:tc>
          <w:tcPr>
            <w:tcW w:type="dxa" w:w="3300"/>
            <w:tcMar>
              <w:top w:type="dxa" w:w="80"/>
              <w:left w:type="dxa" w:w="100"/>
              <w:bottom w:type="dxa" w:w="80"/>
              <w:right w:type="dxa" w:w="100"/>
            </w:tcMar>
            <w:vAlign w:val="center"/>
          </w:tcPr>
          <w:p>
            <w:r>
              <w:rPr>
                <w:b w:val="false"/>
                <w:bCs w:val="false"/>
                <w:sz w:val="19"/>
                <w:szCs w:val="19"/>
              </w:rPr>
              <w:t xml:space="preserve">is_working_day</w:t>
            </w:r>
          </w:p>
        </w:tc>
        <w:tc>
          <w:tcPr>
            <w:tcW w:type="dxa" w:w="2600"/>
            <w:tcMar>
              <w:top w:type="dxa" w:w="80"/>
              <w:left w:type="dxa" w:w="100"/>
              <w:bottom w:type="dxa" w:w="80"/>
              <w:right w:type="dxa" w:w="100"/>
            </w:tcMar>
            <w:vAlign w:val="center"/>
          </w:tcPr>
          <w:p>
            <w:r>
              <w:rPr>
                <w:b w:val="false"/>
                <w:bCs w:val="false"/>
                <w:sz w:val="19"/>
                <w:szCs w:val="19"/>
              </w:rPr>
              <w:t xml:space="preserve">BIT</w:t>
            </w:r>
          </w:p>
        </w:tc>
        <w:tc>
          <w:tcPr>
            <w:tcW w:type="dxa" w:w="3500"/>
            <w:tcMar>
              <w:top w:type="dxa" w:w="80"/>
              <w:left w:type="dxa" w:w="100"/>
              <w:bottom w:type="dxa" w:w="80"/>
              <w:right w:type="dxa" w:w="100"/>
            </w:tcMar>
            <w:vAlign w:val="center"/>
          </w:tcPr>
          <w:p>
            <w:r>
              <w:rPr>
                <w:b w:val="false"/>
                <w:bCs w:val="false"/>
                <w:sz w:val="19"/>
                <w:szCs w:val="19"/>
              </w:rPr>
              <w:t xml:space="preserve">Mon–Fri AND not in SAPublicHolidays, computed at insert time</w:t>
            </w:r>
          </w:p>
        </w:tc>
      </w:tr>
      <w:tr>
        <w:tc>
          <w:tcPr>
            <w:tcW w:type="dxa" w:w="3300"/>
            <w:tcMar>
              <w:top w:type="dxa" w:w="80"/>
              <w:left w:type="dxa" w:w="100"/>
              <w:bottom w:type="dxa" w:w="80"/>
              <w:right w:type="dxa" w:w="100"/>
            </w:tcMar>
            <w:vAlign w:val="center"/>
          </w:tcPr>
          <w:p>
            <w:r>
              <w:rPr>
                <w:b w:val="false"/>
                <w:bCs w:val="false"/>
                <w:sz w:val="19"/>
                <w:szCs w:val="19"/>
              </w:rPr>
              <w:t xml:space="preserve">source</w:t>
            </w:r>
          </w:p>
        </w:tc>
        <w:tc>
          <w:tcPr>
            <w:tcW w:type="dxa" w:w="2600"/>
            <w:tcMar>
              <w:top w:type="dxa" w:w="80"/>
              <w:left w:type="dxa" w:w="100"/>
              <w:bottom w:type="dxa" w:w="80"/>
              <w:right w:type="dxa" w:w="100"/>
            </w:tcMar>
            <w:vAlign w:val="center"/>
          </w:tcPr>
          <w:p>
            <w:r>
              <w:rPr>
                <w:b w:val="false"/>
                <w:bCs w:val="false"/>
                <w:sz w:val="19"/>
                <w:szCs w:val="19"/>
              </w:rPr>
              <w:t xml:space="preserve">NVARCHAR(20)</w:t>
            </w:r>
          </w:p>
        </w:tc>
        <w:tc>
          <w:tcPr>
            <w:tcW w:type="dxa" w:w="3500"/>
            <w:tcMar>
              <w:top w:type="dxa" w:w="80"/>
              <w:left w:type="dxa" w:w="100"/>
              <w:bottom w:type="dxa" w:w="80"/>
              <w:right w:type="dxa" w:w="100"/>
            </w:tcMar>
            <w:vAlign w:val="center"/>
          </w:tcPr>
          <w:p>
            <w:r>
              <w:rPr>
                <w:b w:val="false"/>
                <w:bCs w:val="false"/>
                <w:sz w:val="19"/>
                <w:szCs w:val="19"/>
              </w:rPr>
              <w:t xml:space="preserve">'daily_flow' or 'backfill'</w:t>
            </w:r>
          </w:p>
        </w:tc>
      </w:tr>
      <w:tr>
        <w:tc>
          <w:tcPr>
            <w:tcW w:type="dxa" w:w="3300"/>
            <w:tcMar>
              <w:top w:type="dxa" w:w="80"/>
              <w:left w:type="dxa" w:w="100"/>
              <w:bottom w:type="dxa" w:w="80"/>
              <w:right w:type="dxa" w:w="100"/>
            </w:tcMar>
            <w:vAlign w:val="center"/>
          </w:tcPr>
          <w:p>
            <w:r>
              <w:rPr>
                <w:b w:val="false"/>
                <w:bCs w:val="false"/>
                <w:sz w:val="19"/>
                <w:szCs w:val="19"/>
              </w:rPr>
              <w:t xml:space="preserve">pulled_at</w:t>
            </w:r>
          </w:p>
        </w:tc>
        <w:tc>
          <w:tcPr>
            <w:tcW w:type="dxa" w:w="2600"/>
            <w:tcMar>
              <w:top w:type="dxa" w:w="80"/>
              <w:left w:type="dxa" w:w="100"/>
              <w:bottom w:type="dxa" w:w="80"/>
              <w:right w:type="dxa" w:w="100"/>
            </w:tcMar>
            <w:vAlign w:val="center"/>
          </w:tcPr>
          <w:p>
            <w:r>
              <w:rPr>
                <w:b w:val="false"/>
                <w:bCs w:val="false"/>
                <w:sz w:val="19"/>
                <w:szCs w:val="19"/>
              </w:rPr>
              <w:t xml:space="preserve">DATETIME2</w:t>
            </w:r>
          </w:p>
        </w:tc>
        <w:tc>
          <w:tcPr>
            <w:tcW w:type="dxa" w:w="3500"/>
            <w:tcMar>
              <w:top w:type="dxa" w:w="80"/>
              <w:left w:type="dxa" w:w="100"/>
              <w:bottom w:type="dxa" w:w="80"/>
              <w:right w:type="dxa" w:w="100"/>
            </w:tcMar>
            <w:vAlign w:val="center"/>
          </w:tcPr>
          <w:p>
            <w:r>
              <w:rPr>
                <w:b w:val="false"/>
                <w:bCs w:val="false"/>
                <w:sz w:val="19"/>
                <w:szCs w:val="19"/>
              </w:rPr>
              <w:t xml:space="preserve"/>
            </w:r>
          </w:p>
        </w:tc>
      </w:tr>
    </w:tbl>
    <w:p>
      <w:pPr>
        <w:spacing w:after="140"/>
      </w:pPr>
      <w:r>
        <w:rPr>
          <w:b w:val="false"/>
          <w:bCs w:val="false"/>
          <w:i w:val="false"/>
          <w:iCs w:val="false"/>
        </w:rPr>
        <w:t xml:space="preserve">Unique constraint UQ_mis_agent_ph_daily_date_user on (report_date, user_id) prevents duplicate rows for the same agent/day.</w:t>
      </w:r>
    </w:p>
    <w:p>
      <w:pPr>
        <w:pStyle w:val="Heading3"/>
        <w:spacing w:after="100" w:before="200"/>
      </w:pPr>
      <w:r>
        <w:t xml:space="preserve">12.2 mis_import_log — new FileType value</w:t>
      </w:r>
    </w:p>
    <w:p>
      <w:pPr>
        <w:spacing w:after="140"/>
      </w:pPr>
      <w:r>
        <w:rPr>
          <w:b w:val="false"/>
          <w:bCs w:val="false"/>
          <w:i w:val="false"/>
          <w:iCs w:val="false"/>
        </w:rPr>
        <w:t xml:space="preserve">The existing mis_import_log table (used since v1.2) had a CHECK constraint limiting FileType to ConvHistory, QueueAnswered, UserProductivity, ContactActivity. A pre-existing, unidentified process (not MIS-QContactSync — confirmed by direct inspection of its SQL) was found writing rows under UserProductivity in a pattern unrelated to DPR (same four categories, same timestamp, mostly-NULL RowsImported — most likely a per-page-load audit trail from one of the deprecated MIS-Get* flows). To keep DPR’s log entries unambiguous, a new value was added:</w:t>
      </w:r>
    </w:p>
    <w:tbl>
      <w:tblPr>
        <w:tblW w:type="pct" w:w="100%"/>
        <w:tblBorders>
          <w:top w:val="single" w:color="d0d0d0" w:sz="4"/>
          <w:left w:val="single" w:color="d0d0d0" w:sz="4"/>
          <w:bottom w:val="single" w:color="d0d0d0" w:sz="4"/>
          <w:right w:val="single" w:color="d0d0d0" w:sz="4"/>
          <w:insideH w:val="single" w:color="auto" w:sz="4"/>
          <w:insideV w:val="single" w:color="auto" w:sz="4"/>
        </w:tblBorders>
      </w:tblPr>
      <w:tblGrid>
        <w:gridCol w:w="100"/>
      </w:tblGrid>
      <w:tr>
        <w:tc>
          <w:tcPr>
            <w:shd w:fill="f0f0f0" w:val="clear"/>
            <w:tcMar>
              <w:top w:type="dxa" w:w="120"/>
              <w:left w:type="dxa" w:w="160"/>
              <w:bottom w:type="dxa" w:w="120"/>
              <w:right w:type="dxa" w:w="160"/>
            </w:tcMar>
          </w:tcPr>
          <w:p>
            <w:pPr>
              <w:spacing w:after="20"/>
            </w:pPr>
            <w:r>
              <w:rPr>
                <w:rFonts w:ascii="Consolas" w:cs="Consolas" w:eastAsia="Consolas" w:hAnsi="Consolas"/>
                <w:color w:val="333333"/>
                <w:sz w:val="18"/>
                <w:szCs w:val="18"/>
              </w:rPr>
              <w:t xml:space="preserve">ALTER TABLE mis_import_log DROP CONSTRAINT CK_mis_import_log_FileType;</w:t>
            </w:r>
          </w:p>
          <w:p>
            <w:pPr>
              <w:spacing w:after="20"/>
            </w:pPr>
            <w:r>
              <w:rPr>
                <w:rFonts w:ascii="Consolas" w:cs="Consolas" w:eastAsia="Consolas" w:hAnsi="Consolas"/>
                <w:color w:val="333333"/>
                <w:sz w:val="18"/>
                <w:szCs w:val="18"/>
              </w:rPr>
              <w:t xml:space="preserve">ALTER TABLE mis_import_log ADD CONSTRAINT CK_mis_import_log_FileType</w:t>
            </w:r>
          </w:p>
          <w:p>
            <w:pPr>
              <w:spacing w:after="20"/>
            </w:pPr>
            <w:r>
              <w:rPr>
                <w:rFonts w:ascii="Consolas" w:cs="Consolas" w:eastAsia="Consolas" w:hAnsi="Consolas"/>
                <w:color w:val="333333"/>
                <w:sz w:val="18"/>
                <w:szCs w:val="18"/>
              </w:rPr>
              <w:t xml:space="preserve">    CHECK (</w:t>
            </w:r>
          </w:p>
          <w:p>
            <w:pPr>
              <w:spacing w:after="20"/>
            </w:pPr>
            <w:r>
              <w:rPr>
                <w:rFonts w:ascii="Consolas" w:cs="Consolas" w:eastAsia="Consolas" w:hAnsi="Consolas"/>
                <w:color w:val="333333"/>
                <w:sz w:val="18"/>
                <w:szCs w:val="18"/>
              </w:rPr>
              <w:t xml:space="preserve">        FileType = 'ConvHistory' OR FileType = 'QueueAnswered' OR</w:t>
            </w:r>
          </w:p>
          <w:p>
            <w:pPr>
              <w:spacing w:after="20"/>
            </w:pPr>
            <w:r>
              <w:rPr>
                <w:rFonts w:ascii="Consolas" w:cs="Consolas" w:eastAsia="Consolas" w:hAnsi="Consolas"/>
                <w:color w:val="333333"/>
                <w:sz w:val="18"/>
                <w:szCs w:val="18"/>
              </w:rPr>
              <w:t xml:space="preserve">        FileType = 'UserProductivity' OR FileType = 'ContactActivity' OR</w:t>
            </w:r>
          </w:p>
          <w:p>
            <w:pPr>
              <w:spacing w:after="20"/>
            </w:pPr>
            <w:r>
              <w:rPr>
                <w:rFonts w:ascii="Consolas" w:cs="Consolas" w:eastAsia="Consolas" w:hAnsi="Consolas"/>
                <w:color w:val="333333"/>
                <w:sz w:val="18"/>
                <w:szCs w:val="18"/>
              </w:rPr>
              <w:t xml:space="preserve">        FileType = 'DPR_PH'</w:t>
            </w:r>
          </w:p>
          <w:p>
            <w:pPr>
              <w:spacing w:after="20"/>
            </w:pPr>
            <w:r>
              <w:rPr>
                <w:rFonts w:ascii="Consolas" w:cs="Consolas" w:eastAsia="Consolas" w:hAnsi="Consolas"/>
                <w:color w:val="333333"/>
                <w:sz w:val="18"/>
                <w:szCs w:val="18"/>
              </w:rPr>
              <w:t xml:space="preserve">    );</w:t>
            </w:r>
          </w:p>
        </w:tc>
      </w:tr>
    </w:tbl>
    <w:p>
      <w:pPr>
        <w:spacing w:after="140"/>
      </w:pPr>
    </w:p>
    <w:p>
      <w:pPr>
        <w:pStyle w:val="Heading2"/>
        <w:spacing w:after="120" w:before="260"/>
      </w:pPr>
      <w:r>
        <w:t xml:space="preserve">13. New Power Automate Flows</w:t>
      </w:r>
    </w:p>
    <w:p>
      <w:pPr>
        <w:pStyle w:val="Heading3"/>
        <w:spacing w:after="100" w:before="200"/>
      </w:pPr>
      <w:r>
        <w:t xml:space="preserve">13.1 MIS-DailyPHPull</w:t>
      </w:r>
    </w:p>
    <w:p>
      <w:pPr>
        <w:spacing w:after="140"/>
      </w:pPr>
      <w:r>
        <w:rPr>
          <w:b w:val="false"/>
          <w:bCs w:val="false"/>
          <w:i w:val="false"/>
          <w:iCs w:val="false"/>
        </w:rPr>
        <w:t xml:space="preserve">Trigger: Recurrence, daily at 06:00 SAST (04:00 UTC). Pulls the previous SA-local calendar day only.</w:t>
      </w:r>
    </w:p>
    <w:p>
      <w:pPr>
        <w:pStyle w:val="ListParagraph"/>
        <w:numPr>
          <w:ilvl w:val="0"/>
          <w:numId w:val="1"/>
        </w:numPr>
        <w:spacing w:after="60"/>
      </w:pPr>
      <w:r>
        <w:rPr>
          <w:b w:val="false"/>
          <w:bCs w:val="false"/>
        </w:rPr>
        <w:t xml:space="preserve">Sign in once (Get tokens) → build AgentList (Demi, Mia, Nathaniel, hardcoded array) → Apply to each (Degree of Parallelism = 1)</w:t>
      </w:r>
    </w:p>
    <w:p>
      <w:pPr>
        <w:pStyle w:val="ListParagraph"/>
        <w:numPr>
          <w:ilvl w:val="0"/>
          <w:numId w:val="1"/>
        </w:numPr>
        <w:spacing w:after="60"/>
      </w:pPr>
      <w:r>
        <w:rPr>
          <w:b w:val="false"/>
          <w:bCs w:val="false"/>
        </w:rPr>
        <w:t xml:space="preserve">Per agent: HTTP call to user_breakdown → Parse JSON → sum duration buckets (TotalSeconds, ExclusionsSeconds, PHSeconds) → BillingAmount (NULL for Nathaniel, PH×£10.50 for others) → CheckHoliday + IsWorkingDay (day-of-week + SAPublicHolidays lookup — sits OUTSIDE the agent loop, computed once per run, not once per agent, per the caching lesson in §10.4) → INSERT into mis_agent_ph_daily</w:t>
      </w:r>
    </w:p>
    <w:p>
      <w:pPr>
        <w:pStyle w:val="ListParagraph"/>
        <w:numPr>
          <w:ilvl w:val="0"/>
          <w:numId w:val="1"/>
        </w:numPr>
        <w:spacing w:after="60"/>
      </w:pPr>
      <w:r>
        <w:rPr>
          <w:b w:val="false"/>
          <w:bCs w:val="false"/>
        </w:rPr>
        <w:t xml:space="preserve">After the loop: one INSERT into mis_import_log (FileType = 'DPR_PH', RowsImported = 3)</w:t>
      </w:r>
    </w:p>
    <w:p>
      <w:pPr>
        <w:spacing w:after="140"/>
      </w:pPr>
      <w:r>
        <w:rPr>
          <w:b/>
          <w:bCs/>
          <w:i w:val="false"/>
          <w:iCs w:val="false"/>
        </w:rPr>
        <w:t xml:space="preserve">Date-boundary expressions (verified against known-correct outputs before trusting):</w:t>
      </w:r>
    </w:p>
    <w:tbl>
      <w:tblPr>
        <w:tblW w:type="pct" w:w="100%"/>
        <w:tblBorders>
          <w:top w:val="single" w:color="d0d0d0" w:sz="4"/>
          <w:left w:val="single" w:color="d0d0d0" w:sz="4"/>
          <w:bottom w:val="single" w:color="d0d0d0" w:sz="4"/>
          <w:right w:val="single" w:color="d0d0d0" w:sz="4"/>
          <w:insideH w:val="single" w:color="auto" w:sz="4"/>
          <w:insideV w:val="single" w:color="auto" w:sz="4"/>
        </w:tblBorders>
      </w:tblPr>
      <w:tblGrid>
        <w:gridCol w:w="100"/>
      </w:tblGrid>
      <w:tr>
        <w:tc>
          <w:tcPr>
            <w:shd w:fill="f0f0f0" w:val="clear"/>
            <w:tcMar>
              <w:top w:type="dxa" w:w="120"/>
              <w:left w:type="dxa" w:w="160"/>
              <w:bottom w:type="dxa" w:w="120"/>
              <w:right w:type="dxa" w:w="160"/>
            </w:tcMar>
          </w:tcPr>
          <w:p>
            <w:pPr>
              <w:spacing w:after="20"/>
            </w:pPr>
            <w:r>
              <w:rPr>
                <w:rFonts w:ascii="Consolas" w:cs="Consolas" w:eastAsia="Consolas" w:hAnsi="Consolas"/>
                <w:color w:val="333333"/>
                <w:sz w:val="18"/>
                <w:szCs w:val="18"/>
              </w:rPr>
              <w:t xml:space="preserve">YesterdayDate: formatDateTime(addDays(utcNow(), -1), 'yyyy-MM-dd')</w:t>
            </w:r>
          </w:p>
          <w:p>
            <w:pPr>
              <w:spacing w:after="20"/>
            </w:pPr>
            <w:r>
              <w:rPr>
                <w:rFonts w:ascii="Consolas" w:cs="Consolas" w:eastAsia="Consolas" w:hAnsi="Consolas"/>
                <w:color w:val="333333"/>
                <w:sz w:val="18"/>
                <w:szCs w:val="18"/>
              </w:rPr>
              <w:t xml:space="preserve">RangeStart:    addHours(startOfDay(addDays(utcNow(), -2)), 22)</w:t>
            </w:r>
          </w:p>
          <w:p>
            <w:pPr>
              <w:spacing w:after="20"/>
            </w:pPr>
            <w:r>
              <w:rPr>
                <w:rFonts w:ascii="Consolas" w:cs="Consolas" w:eastAsia="Consolas" w:hAnsi="Consolas"/>
                <w:color w:val="333333"/>
                <w:sz w:val="18"/>
                <w:szCs w:val="18"/>
              </w:rPr>
              <w:t xml:space="preserve">RangeStop:     addMinutes(addHours(startOfDay(addDays(utcNow(), -1)), 21), 59)</w:t>
            </w:r>
          </w:p>
        </w:tc>
      </w:tr>
    </w:tbl>
    <w:p>
      <w:pPr>
        <w:spacing w:after="140"/>
      </w:pPr>
    </w:p>
    <w:p>
      <w:pPr>
        <w:pStyle w:val="Heading3"/>
        <w:spacing w:after="100" w:before="200"/>
      </w:pPr>
      <w:r>
        <w:t xml:space="preserve">13.2 MIS-DPRBackfill</w:t>
      </w:r>
    </w:p>
    <w:p>
      <w:pPr>
        <w:spacing w:after="140"/>
      </w:pPr>
      <w:r>
        <w:rPr>
          <w:b w:val="false"/>
          <w:bCs w:val="false"/>
          <w:i/>
          <w:iCs/>
        </w:rPr>
        <w:t xml:space="preserve">Trigger: Manual (one-time historical run). Backfill start date = 2026-06-12, chosen as the earliest date with any evidence of qContact data flowing into the system (the earliest row in mis_import_log). This is a proxy for true campaign go-live and has NOT been independently confirmed — flagged as an assumption.</w:t>
      </w:r>
    </w:p>
    <w:p>
      <w:pPr>
        <w:pStyle w:val="ListParagraph"/>
        <w:numPr>
          <w:ilvl w:val="0"/>
          <w:numId w:val="1"/>
        </w:numPr>
        <w:spacing w:after="60"/>
      </w:pPr>
      <w:r>
        <w:rPr>
          <w:b w:val="false"/>
          <w:bCs w:val="false"/>
        </w:rPr>
        <w:t xml:space="preserve">Outer "Apply to each" over a generated date array (range(0, N) where N = days between 2026-06-12 and today) → LoopDate, LoopRangeStart, LoopRangeStop computed per iteration</w:t>
      </w:r>
    </w:p>
    <w:p>
      <w:pPr>
        <w:pStyle w:val="ListParagraph"/>
        <w:numPr>
          <w:ilvl w:val="0"/>
          <w:numId w:val="1"/>
        </w:numPr>
        <w:spacing w:after="60"/>
      </w:pPr>
      <w:r>
        <w:rPr>
          <w:b w:val="false"/>
          <w:bCs w:val="false"/>
        </w:rPr>
        <w:t xml:space="preserve">Inner "Apply to each" over the same 3-agent list, same per-agent logic as MIS-DailyPHPull, source = 'backfill'</w:t>
      </w:r>
    </w:p>
    <w:p>
      <w:pPr>
        <w:pStyle w:val="ListParagraph"/>
        <w:numPr>
          <w:ilvl w:val="0"/>
          <w:numId w:val="1"/>
        </w:numPr>
        <w:spacing w:after="60"/>
      </w:pPr>
      <w:r>
        <w:rPr>
          <w:b w:val="false"/>
          <w:bCs w:val="false"/>
        </w:rPr>
        <w:t xml:space="preserve">Ran successfully end-to-end: 24 dates × 3 agents = 72 rows inserted with zero gaps (verified via GROUP BY report_date, all showing count = 3)</w:t>
      </w:r>
    </w:p>
    <w:p>
      <w:pPr>
        <w:pStyle w:val="ListParagraph"/>
        <w:numPr>
          <w:ilvl w:val="0"/>
          <w:numId w:val="1"/>
        </w:numPr>
        <w:spacing w:after="60"/>
      </w:pPr>
      <w:r>
        <w:rPr>
          <w:b w:val="false"/>
          <w:bCs w:val="false"/>
        </w:rPr>
        <w:t xml:space="preserve">One summary row written to mis_import_log after the outer loop closes (FileType = 'DPR_PH', RowsImported = 72)</w:t>
      </w:r>
    </w:p>
    <w:p>
      <w:pPr>
        <w:pStyle w:val="Heading3"/>
        <w:spacing w:after="100" w:before="200"/>
      </w:pPr>
      <w:r>
        <w:t xml:space="preserve">13.3 MIS-GetDPR</w:t>
      </w:r>
    </w:p>
    <w:p>
      <w:pPr>
        <w:spacing w:after="140"/>
      </w:pPr>
      <w:r>
        <w:rPr>
          <w:b w:val="false"/>
          <w:bCs w:val="false"/>
          <w:i w:val="false"/>
          <w:iCs w:val="false"/>
        </w:rPr>
        <w:t xml:space="preserve">Trigger: "When an HTTP request is received", schema { period, campaign, year, month } (year/month optional — see §13.4). Called by dpr.html on every filter change.</w:t>
      </w:r>
    </w:p>
    <w:p>
      <w:pPr>
        <w:spacing w:after="140"/>
      </w:pPr>
      <w:r>
        <w:rPr>
          <w:b w:val="false"/>
          <w:bCs w:val="false"/>
          <w:i w:val="false"/>
          <w:iCs w:val="false"/>
        </w:rPr>
        <w:t xml:space="preserve">Period logic (all relative to ReferenceDate = most recent complete SA-local day, i.e. yesterday, since "today" never has data):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000"/>
        <w:gridCol w:w="3400"/>
      </w:tblGrid>
      <w:tr>
        <w:trPr>
          <w:tblHeader/>
        </w:trPr>
        <w:tc>
          <w:tcPr>
            <w:tcW w:type="dxa" w:w="1600"/>
            <w:shd w:fill="1e1e1e" w:val="clear"/>
            <w:tcMar>
              <w:top w:type="dxa" w:w="80"/>
              <w:left w:type="dxa" w:w="100"/>
              <w:bottom w:type="dxa" w:w="80"/>
              <w:right w:type="dxa" w:w="100"/>
            </w:tcMar>
            <w:vAlign w:val="center"/>
          </w:tcPr>
          <w:p>
            <w:r>
              <w:rPr>
                <w:b/>
                <w:bCs/>
                <w:color w:val="FFFFFF"/>
                <w:sz w:val="18"/>
                <w:szCs w:val="18"/>
              </w:rPr>
              <w:t xml:space="preserve">period value</w:t>
            </w:r>
          </w:p>
        </w:tc>
        <w:tc>
          <w:tcPr>
            <w:tcW w:type="dxa" w:w="2400"/>
            <w:shd w:fill="1e1e1e" w:val="clear"/>
            <w:tcMar>
              <w:top w:type="dxa" w:w="80"/>
              <w:left w:type="dxa" w:w="100"/>
              <w:bottom w:type="dxa" w:w="80"/>
              <w:right w:type="dxa" w:w="100"/>
            </w:tcMar>
            <w:vAlign w:val="center"/>
          </w:tcPr>
          <w:p>
            <w:r>
              <w:rPr>
                <w:b/>
                <w:bCs/>
                <w:color w:val="FFFFFF"/>
                <w:sz w:val="18"/>
                <w:szCs w:val="18"/>
              </w:rPr>
              <w:t xml:space="preserve">Start</w:t>
            </w:r>
          </w:p>
        </w:tc>
        <w:tc>
          <w:tcPr>
            <w:tcW w:type="dxa" w:w="2000"/>
            <w:shd w:fill="1e1e1e" w:val="clear"/>
            <w:tcMar>
              <w:top w:type="dxa" w:w="80"/>
              <w:left w:type="dxa" w:w="100"/>
              <w:bottom w:type="dxa" w:w="80"/>
              <w:right w:type="dxa" w:w="100"/>
            </w:tcMar>
            <w:vAlign w:val="center"/>
          </w:tcPr>
          <w:p>
            <w:r>
              <w:rPr>
                <w:b/>
                <w:bCs/>
                <w:color w:val="FFFFFF"/>
                <w:sz w:val="18"/>
                <w:szCs w:val="18"/>
              </w:rPr>
              <w:t xml:space="preserve">End</w:t>
            </w:r>
          </w:p>
        </w:tc>
        <w:tc>
          <w:tcPr>
            <w:tcW w:type="dxa" w:w="3400"/>
            <w:shd w:fill="1e1e1e" w:val="clear"/>
            <w:tcMar>
              <w:top w:type="dxa" w:w="80"/>
              <w:left w:type="dxa" w:w="100"/>
              <w:bottom w:type="dxa" w:w="80"/>
              <w:right w:type="dxa" w:w="100"/>
            </w:tcMar>
            <w:vAlign w:val="center"/>
          </w:tcPr>
          <w:p>
            <w:r>
              <w:rPr>
                <w:b/>
                <w:bCs/>
                <w:color w:val="FFFFFF"/>
                <w:sz w:val="18"/>
                <w:szCs w:val="18"/>
              </w:rPr>
              <w:t xml:space="preserve">Prior-period comparison (apples-to-apples)</w:t>
            </w:r>
          </w:p>
        </w:tc>
      </w:tr>
      <w:tr>
        <w:tc>
          <w:tcPr>
            <w:tcW w:type="dxa" w:w="1600"/>
            <w:tcMar>
              <w:top w:type="dxa" w:w="80"/>
              <w:left w:type="dxa" w:w="100"/>
              <w:bottom w:type="dxa" w:w="80"/>
              <w:right w:type="dxa" w:w="100"/>
            </w:tcMar>
            <w:vAlign w:val="center"/>
          </w:tcPr>
          <w:p>
            <w:r>
              <w:rPr>
                <w:b w:val="false"/>
                <w:bCs w:val="false"/>
                <w:sz w:val="19"/>
                <w:szCs w:val="19"/>
              </w:rPr>
              <w:t xml:space="preserve">previous_day</w:t>
            </w:r>
          </w:p>
        </w:tc>
        <w:tc>
          <w:tcPr>
            <w:tcW w:type="dxa" w:w="2400"/>
            <w:tcMar>
              <w:top w:type="dxa" w:w="80"/>
              <w:left w:type="dxa" w:w="100"/>
              <w:bottom w:type="dxa" w:w="80"/>
              <w:right w:type="dxa" w:w="100"/>
            </w:tcMar>
            <w:vAlign w:val="center"/>
          </w:tcPr>
          <w:p>
            <w:r>
              <w:rPr>
                <w:b w:val="false"/>
                <w:bCs w:val="false"/>
                <w:sz w:val="19"/>
                <w:szCs w:val="19"/>
              </w:rPr>
              <w:t xml:space="preserve">ReferenceDate</w:t>
            </w:r>
          </w:p>
        </w:tc>
        <w:tc>
          <w:tcPr>
            <w:tcW w:type="dxa" w:w="2000"/>
            <w:tcMar>
              <w:top w:type="dxa" w:w="80"/>
              <w:left w:type="dxa" w:w="100"/>
              <w:bottom w:type="dxa" w:w="80"/>
              <w:right w:type="dxa" w:w="100"/>
            </w:tcMar>
            <w:vAlign w:val="center"/>
          </w:tcPr>
          <w:p>
            <w:r>
              <w:rPr>
                <w:b w:val="false"/>
                <w:bCs w:val="false"/>
                <w:sz w:val="19"/>
                <w:szCs w:val="19"/>
              </w:rPr>
              <w:t xml:space="preserve">ReferenceDate</w:t>
            </w:r>
          </w:p>
        </w:tc>
        <w:tc>
          <w:tcPr>
            <w:tcW w:type="dxa" w:w="3400"/>
            <w:tcMar>
              <w:top w:type="dxa" w:w="80"/>
              <w:left w:type="dxa" w:w="100"/>
              <w:bottom w:type="dxa" w:w="80"/>
              <w:right w:type="dxa" w:w="100"/>
            </w:tcMar>
            <w:vAlign w:val="center"/>
          </w:tcPr>
          <w:p>
            <w:r>
              <w:rPr>
                <w:b w:val="false"/>
                <w:bCs w:val="false"/>
                <w:sz w:val="19"/>
                <w:szCs w:val="19"/>
              </w:rPr>
              <w:t xml:space="preserve">Day before</w:t>
            </w:r>
          </w:p>
        </w:tc>
      </w:tr>
      <w:tr>
        <w:tc>
          <w:tcPr>
            <w:tcW w:type="dxa" w:w="1600"/>
            <w:tcMar>
              <w:top w:type="dxa" w:w="80"/>
              <w:left w:type="dxa" w:w="100"/>
              <w:bottom w:type="dxa" w:w="80"/>
              <w:right w:type="dxa" w:w="100"/>
            </w:tcMar>
            <w:vAlign w:val="center"/>
          </w:tcPr>
          <w:p>
            <w:r>
              <w:rPr>
                <w:b w:val="false"/>
                <w:bCs w:val="false"/>
                <w:sz w:val="19"/>
                <w:szCs w:val="19"/>
              </w:rPr>
              <w:t xml:space="preserve">wtd</w:t>
            </w:r>
          </w:p>
        </w:tc>
        <w:tc>
          <w:tcPr>
            <w:tcW w:type="dxa" w:w="2400"/>
            <w:tcMar>
              <w:top w:type="dxa" w:w="80"/>
              <w:left w:type="dxa" w:w="100"/>
              <w:bottom w:type="dxa" w:w="80"/>
              <w:right w:type="dxa" w:w="100"/>
            </w:tcMar>
            <w:vAlign w:val="center"/>
          </w:tcPr>
          <w:p>
            <w:r>
              <w:rPr>
                <w:b w:val="false"/>
                <w:bCs w:val="false"/>
                <w:sz w:val="19"/>
                <w:szCs w:val="19"/>
              </w:rPr>
              <w:t xml:space="preserve">Monday of ReferenceDate’s week</w:t>
            </w:r>
          </w:p>
        </w:tc>
        <w:tc>
          <w:tcPr>
            <w:tcW w:type="dxa" w:w="2000"/>
            <w:tcMar>
              <w:top w:type="dxa" w:w="80"/>
              <w:left w:type="dxa" w:w="100"/>
              <w:bottom w:type="dxa" w:w="80"/>
              <w:right w:type="dxa" w:w="100"/>
            </w:tcMar>
            <w:vAlign w:val="center"/>
          </w:tcPr>
          <w:p>
            <w:r>
              <w:rPr>
                <w:b w:val="false"/>
                <w:bCs w:val="false"/>
                <w:sz w:val="19"/>
                <w:szCs w:val="19"/>
              </w:rPr>
              <w:t xml:space="preserve">ReferenceDate</w:t>
            </w:r>
          </w:p>
        </w:tc>
        <w:tc>
          <w:tcPr>
            <w:tcW w:type="dxa" w:w="3400"/>
            <w:tcMar>
              <w:top w:type="dxa" w:w="80"/>
              <w:left w:type="dxa" w:w="100"/>
              <w:bottom w:type="dxa" w:w="80"/>
              <w:right w:type="dxa" w:w="100"/>
            </w:tcMar>
            <w:vAlign w:val="center"/>
          </w:tcPr>
          <w:p>
            <w:r>
              <w:rPr>
                <w:b w:val="false"/>
                <w:bCs w:val="false"/>
                <w:sz w:val="19"/>
                <w:szCs w:val="19"/>
              </w:rPr>
              <w:t xml:space="preserve">Same weekday range, 7 days earlier</w:t>
            </w:r>
          </w:p>
        </w:tc>
      </w:tr>
      <w:tr>
        <w:tc>
          <w:tcPr>
            <w:tcW w:type="dxa" w:w="1600"/>
            <w:tcMar>
              <w:top w:type="dxa" w:w="80"/>
              <w:left w:type="dxa" w:w="100"/>
              <w:bottom w:type="dxa" w:w="80"/>
              <w:right w:type="dxa" w:w="100"/>
            </w:tcMar>
            <w:vAlign w:val="center"/>
          </w:tcPr>
          <w:p>
            <w:r>
              <w:rPr>
                <w:b w:val="false"/>
                <w:bCs w:val="false"/>
                <w:sz w:val="19"/>
                <w:szCs w:val="19"/>
              </w:rPr>
              <w:t xml:space="preserve">mtd</w:t>
            </w:r>
          </w:p>
        </w:tc>
        <w:tc>
          <w:tcPr>
            <w:tcW w:type="dxa" w:w="2400"/>
            <w:tcMar>
              <w:top w:type="dxa" w:w="80"/>
              <w:left w:type="dxa" w:w="100"/>
              <w:bottom w:type="dxa" w:w="80"/>
              <w:right w:type="dxa" w:w="100"/>
            </w:tcMar>
            <w:vAlign w:val="center"/>
          </w:tcPr>
          <w:p>
            <w:r>
              <w:rPr>
                <w:b w:val="false"/>
                <w:bCs w:val="false"/>
                <w:sz w:val="19"/>
                <w:szCs w:val="19"/>
              </w:rPr>
              <w:t xml:space="preserve">1st of ReferenceDate’s month</w:t>
            </w:r>
          </w:p>
        </w:tc>
        <w:tc>
          <w:tcPr>
            <w:tcW w:type="dxa" w:w="2000"/>
            <w:tcMar>
              <w:top w:type="dxa" w:w="80"/>
              <w:left w:type="dxa" w:w="100"/>
              <w:bottom w:type="dxa" w:w="80"/>
              <w:right w:type="dxa" w:w="100"/>
            </w:tcMar>
            <w:vAlign w:val="center"/>
          </w:tcPr>
          <w:p>
            <w:r>
              <w:rPr>
                <w:b w:val="false"/>
                <w:bCs w:val="false"/>
                <w:sz w:val="19"/>
                <w:szCs w:val="19"/>
              </w:rPr>
              <w:t xml:space="preserve">ReferenceDate</w:t>
            </w:r>
          </w:p>
        </w:tc>
        <w:tc>
          <w:tcPr>
            <w:tcW w:type="dxa" w:w="3400"/>
            <w:tcMar>
              <w:top w:type="dxa" w:w="80"/>
              <w:left w:type="dxa" w:w="100"/>
              <w:bottom w:type="dxa" w:w="80"/>
              <w:right w:type="dxa" w:w="100"/>
            </w:tcMar>
            <w:vAlign w:val="center"/>
          </w:tcPr>
          <w:p>
            <w:r>
              <w:rPr>
                <w:b w:val="false"/>
                <w:bCs w:val="false"/>
                <w:sz w:val="19"/>
                <w:szCs w:val="19"/>
              </w:rPr>
              <w:t xml:space="preserve">Same day-of-month range, previous month (e.g. 4 days vs 4 days — deliberately NOT full-month-vs-partial-month)</w:t>
            </w:r>
          </w:p>
        </w:tc>
      </w:tr>
      <w:tr>
        <w:tc>
          <w:tcPr>
            <w:tcW w:type="dxa" w:w="1600"/>
            <w:tcMar>
              <w:top w:type="dxa" w:w="80"/>
              <w:left w:type="dxa" w:w="100"/>
              <w:bottom w:type="dxa" w:w="80"/>
              <w:right w:type="dxa" w:w="100"/>
            </w:tcMar>
            <w:vAlign w:val="center"/>
          </w:tcPr>
          <w:p>
            <w:r>
              <w:rPr>
                <w:b w:val="false"/>
                <w:bCs w:val="false"/>
                <w:sz w:val="19"/>
                <w:szCs w:val="19"/>
              </w:rPr>
              <w:t xml:space="preserve">full_month</w:t>
            </w:r>
          </w:p>
        </w:tc>
        <w:tc>
          <w:tcPr>
            <w:tcW w:type="dxa" w:w="2400"/>
            <w:tcMar>
              <w:top w:type="dxa" w:w="80"/>
              <w:left w:type="dxa" w:w="100"/>
              <w:bottom w:type="dxa" w:w="80"/>
              <w:right w:type="dxa" w:w="100"/>
            </w:tcMar>
            <w:vAlign w:val="center"/>
          </w:tcPr>
          <w:p>
            <w:r>
              <w:rPr>
                <w:b w:val="false"/>
                <w:bCs w:val="false"/>
                <w:sz w:val="19"/>
                <w:szCs w:val="19"/>
              </w:rPr>
              <w:t xml:space="preserve">1st of ReferenceDate’s month</w:t>
            </w:r>
          </w:p>
        </w:tc>
        <w:tc>
          <w:tcPr>
            <w:tcW w:type="dxa" w:w="2000"/>
            <w:tcMar>
              <w:top w:type="dxa" w:w="80"/>
              <w:left w:type="dxa" w:w="100"/>
              <w:bottom w:type="dxa" w:w="80"/>
              <w:right w:type="dxa" w:w="100"/>
            </w:tcMar>
            <w:vAlign w:val="center"/>
          </w:tcPr>
          <w:p>
            <w:r>
              <w:rPr>
                <w:b w:val="false"/>
                <w:bCs w:val="false"/>
                <w:sz w:val="19"/>
                <w:szCs w:val="19"/>
              </w:rPr>
              <w:t xml:space="preserve">Last day of that month</w:t>
            </w:r>
          </w:p>
        </w:tc>
        <w:tc>
          <w:tcPr>
            <w:tcW w:type="dxa" w:w="3400"/>
            <w:tcMar>
              <w:top w:type="dxa" w:w="80"/>
              <w:left w:type="dxa" w:w="100"/>
              <w:bottom w:type="dxa" w:w="80"/>
              <w:right w:type="dxa" w:w="100"/>
            </w:tcMar>
            <w:vAlign w:val="center"/>
          </w:tcPr>
          <w:p>
            <w:r>
              <w:rPr>
                <w:b w:val="false"/>
                <w:bCs w:val="false"/>
                <w:sz w:val="19"/>
                <w:szCs w:val="19"/>
              </w:rPr>
              <w:t xml:space="preserve">Full previous calendar month</w:t>
            </w:r>
          </w:p>
        </w:tc>
      </w:tr>
    </w:tbl>
    <w:p>
      <w:pPr>
        <w:spacing w:after="140"/>
      </w:pPr>
      <w:r>
        <w:rPr>
          <w:b w:val="false"/>
          <w:bCs w:val="false"/>
          <w:i w:val="false"/>
          <w:iCs w:val="false"/>
        </w:rPr>
        <w:t xml:space="preserve">Returns, per agent: TotalPHSeconds, TotalBilling (NULL for Nathaniel), WorkingDaysInPeriod, DaysInPeriod — for both the requested period and its comparison period, plus workingDaysInMonth / workingDaysInPriorMonth (needed for Nathaniel’s client-side proportional calc, §11).</w:t>
      </w:r>
    </w:p>
    <w:p>
      <w:pPr>
        <w:spacing w:after="140"/>
      </w:pPr>
      <w:r>
        <w:rPr>
          <w:b/>
          <w:bCs/>
          <w:i w:val="false"/>
          <w:iCs w:val="false"/>
        </w:rPr>
        <w:t xml:space="preserve">If the comparison period predates 2026-06-12 (no data exists), the flow correctly returns priorPeriod: null rather than a misleading empty/zero result — dpr.html must check for this explicitly.</w:t>
      </w:r>
    </w:p>
    <w:p>
      <w:pPr>
        <w:pStyle w:val="Heading3"/>
        <w:spacing w:after="100" w:before="200"/>
      </w:pPr>
      <w:r>
        <w:t xml:space="preserve">13.4 Specific-month override (added after initial build)</w:t>
      </w:r>
    </w:p>
    <w:p>
      <w:pPr>
        <w:spacing w:after="140"/>
      </w:pPr>
      <w:r>
        <w:rPr>
          <w:b w:val="false"/>
          <w:bCs w:val="false"/>
          <w:i w:val="false"/>
          <w:iCs w:val="false"/>
        </w:rPr>
        <w:t xml:space="preserve">Gap identified after initial release: the four period buttons are all relative to "today," so there was no way to view a specific past month (e.g. June) once the calendar had moved on — a real problem for billing history. Fixed by adding optional year / month fields to the trigger schema and an IsSpecificMonth Compose check (and(not(equals(year,null)), not(equals(month,null)))) that, when true, overrides every downstream date calculation to use the requested month directly instead of deriving from ReferenceDate.</w:t>
      </w:r>
    </w:p>
    <w:p>
      <w:pPr>
        <w:spacing w:after="140"/>
      </w:pPr>
      <w:r>
        <w:rPr>
          <w:b/>
          <w:bCs/>
          <w:i w:val="false"/>
          <w:iCs w:val="false"/>
        </w:rPr>
        <w:t xml:space="preserve">This required updating MonthStart, PeriodStart, PeriodEnd, PriorMonthStart, PriorPeriodStart, and PriorPeriodEnd. During this update, direct inspection of each action’s live content uncovered that PriorMonthStart, PriorPeriodStart, and PriorPeriodEnd had all been cross-contaminated with each other’s (or stale pre-trigger-swap) expressions at some point — none of the three contained what their own name implied. All three were corrected and re-verified individually against expected output dates before being trusted again. This is a concrete instance of the §10.4 lesson: verify an action’s actual saved content directly rather than assuming an earlier description of it is still accurate.</w:t>
      </w:r>
    </w:p>
    <w:p>
      <w:pPr>
        <w:pStyle w:val="Heading2"/>
        <w:spacing w:after="120" w:before="260"/>
      </w:pPr>
      <w:r>
        <w:t xml:space="preserve">14. New/Modified Frontend Pages</w:t>
      </w:r>
    </w:p>
    <w:p>
      <w:pPr>
        <w:pStyle w:val="Heading3"/>
        <w:spacing w:after="100" w:before="200"/>
      </w:pPr>
      <w:r>
        <w:t xml:space="preserve">14.1 nadclinic/dpr.html (NEW)</w:t>
      </w:r>
    </w:p>
    <w:p>
      <w:pPr>
        <w:spacing w:after="140"/>
      </w:pPr>
      <w:r>
        <w:rPr>
          <w:b w:val="false"/>
          <w:bCs w:val="false"/>
          <w:i w:val="false"/>
          <w:iCs w:val="false"/>
        </w:rPr>
        <w:t xml:space="preserve">Replaces all seven legacy report pages for this campaign. Session-gated identically to the other nadclinic/*.html pages (redirects to ../index.html if no session or billing_access is falsy).</w:t>
      </w:r>
    </w:p>
    <w:p>
      <w:pPr>
        <w:pStyle w:val="ListParagraph"/>
        <w:numPr>
          <w:ilvl w:val="0"/>
          <w:numId w:val="1"/>
        </w:numPr>
        <w:spacing w:after="60"/>
      </w:pPr>
      <w:r>
        <w:rPr>
          <w:b w:val="false"/>
          <w:bCs w:val="false"/>
        </w:rPr>
        <w:t xml:space="preserve">Filter bar: four period buttons (Previous Day / WTD / MTD / Full Month) plus a "pick a month" dropdown (last 14 months) that overrides the period buttons when used</w:t>
      </w:r>
    </w:p>
    <w:p>
      <w:pPr>
        <w:pStyle w:val="ListParagraph"/>
        <w:numPr>
          <w:ilvl w:val="0"/>
          <w:numId w:val="1"/>
        </w:numPr>
        <w:spacing w:after="60"/>
      </w:pPr>
      <w:r>
        <w:rPr>
          <w:b w:val="false"/>
          <w:bCs w:val="false"/>
        </w:rPr>
        <w:t xml:space="preserve">KPI cards: team productive hours, team billing, working days in period, period date range — each period KPI shows a vs-prior-period delta, or an explicit "No prior-period data" message rather than a misleading zero</w:t>
      </w:r>
    </w:p>
    <w:p>
      <w:pPr>
        <w:pStyle w:val="ListParagraph"/>
        <w:numPr>
          <w:ilvl w:val="0"/>
          <w:numId w:val="1"/>
        </w:numPr>
        <w:spacing w:after="60"/>
      </w:pPr>
      <w:r>
        <w:rPr>
          <w:b w:val="false"/>
          <w:bCs w:val="false"/>
        </w:rPr>
        <w:t xml:space="preserve">Agent table: Demi/Mia show real calculated billing; Nathaniel’s row is tagged "Flat rate" and shows his proportional figure computed client-side (§11)</w:t>
      </w:r>
    </w:p>
    <w:p>
      <w:pPr>
        <w:pStyle w:val="ListParagraph"/>
        <w:numPr>
          <w:ilvl w:val="0"/>
          <w:numId w:val="1"/>
        </w:numPr>
        <w:spacing w:after="60"/>
      </w:pPr>
      <w:r>
        <w:rPr>
          <w:b w:val="false"/>
          <w:bCs w:val="false"/>
        </w:rPr>
        <w:t xml:space="preserve">Two charts (Chart.js): a period-vs-prior bar comparison per agent, and a billing-split donut for the current period. A third chart (daily trend line) was considered but not built — MIS-GetDPR currently returns period totals only, not day-by-day rows; would need an additional query if wanted later.</w:t>
      </w:r>
    </w:p>
    <w:p>
      <w:pPr>
        <w:pStyle w:val="Heading3"/>
        <w:spacing w:after="100" w:before="200"/>
      </w:pPr>
      <w:r>
        <w:t xml:space="preserve">14.2 index.html (MODIFIED)</w:t>
      </w:r>
    </w:p>
    <w:p>
      <w:pPr>
        <w:spacing w:after="140"/>
      </w:pPr>
      <w:r>
        <w:rPr>
          <w:b w:val="false"/>
          <w:bCs w:val="false"/>
          <w:i w:val="false"/>
          <w:iCs w:val="false"/>
        </w:rPr>
        <w:t xml:space="preserve">The seven-card report grid was replaced with a single card linking to nadclinic/dpr.html?campaign=..., gated by the same session.billing_access check that previously gated the old billing.html card. The Admin Panel card is unchanged. No other logic (MSAL auth, session storage, per-campaign loop) was touched.</w:t>
      </w:r>
    </w:p>
    <w:p>
      <w:pPr>
        <w:pStyle w:val="Heading3"/>
        <w:spacing w:after="100" w:before="200"/>
      </w:pPr>
      <w:r>
        <w:t xml:space="preserve">14.3 admin.html (MODIFIED)</w:t>
      </w:r>
    </w:p>
    <w:p>
      <w:pPr>
        <w:spacing w:after="140"/>
      </w:pPr>
      <w:r>
        <w:rPr>
          <w:b w:val="false"/>
          <w:bCs w:val="false"/>
          <w:i w:val="false"/>
          <w:iCs w:val="false"/>
        </w:rPr>
        <w:t xml:space="preserve">The "Billing access" toggle was relabelled "DPR access" with updated help text. The underlying field id (f-billing), the billingAccess value sent to MIS-AdminSaveUser, and every other function are byte-for-byte unchanged from v1.2 — this was a copy-only change specifically to avoid touching the database column or the three admin flows.</w:t>
      </w:r>
    </w:p>
    <w:p>
      <w:pPr>
        <w:pStyle w:val="Heading2"/>
        <w:spacing w:after="120" w:before="260"/>
      </w:pPr>
      <w:r>
        <w:t xml:space="preserve">15. Deprecation / Cleanup Status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200"/>
        <w:gridCol w:w="5600"/>
      </w:tblGrid>
      <w:tr>
        <w:trPr>
          <w:tblHeader/>
        </w:trPr>
        <w:tc>
          <w:tcPr>
            <w:tcW w:type="dxa" w:w="4200"/>
            <w:shd w:fill="1e1e1e" w:val="clear"/>
            <w:tcMar>
              <w:top w:type="dxa" w:w="80"/>
              <w:left w:type="dxa" w:w="100"/>
              <w:bottom w:type="dxa" w:w="80"/>
              <w:right w:type="dxa" w:w="100"/>
            </w:tcMar>
            <w:vAlign w:val="center"/>
          </w:tcPr>
          <w:p>
            <w:r>
              <w:rPr>
                <w:b/>
                <w:bCs/>
                <w:color w:val="FFFFFF"/>
                <w:sz w:val="18"/>
                <w:szCs w:val="18"/>
              </w:rPr>
              <w:t xml:space="preserve">Component</w:t>
            </w:r>
          </w:p>
        </w:tc>
        <w:tc>
          <w:tcPr>
            <w:tcW w:type="dxa" w:w="5600"/>
            <w:shd w:fill="1e1e1e" w:val="clear"/>
            <w:tcMar>
              <w:top w:type="dxa" w:w="80"/>
              <w:left w:type="dxa" w:w="100"/>
              <w:bottom w:type="dxa" w:w="80"/>
              <w:right w:type="dxa" w:w="100"/>
            </w:tcMar>
            <w:vAlign w:val="center"/>
          </w:tcPr>
          <w:p>
            <w:r>
              <w:rPr>
                <w:b/>
                <w:bCs/>
                <w:color w:val="FFFFFF"/>
                <w:sz w:val="18"/>
                <w:szCs w:val="18"/>
              </w:rPr>
              <w:t xml:space="preserve">Status as of 2026-07-05</w:t>
            </w:r>
          </w:p>
        </w:tc>
      </w:tr>
      <w:tr>
        <w:tc>
          <w:tcPr>
            <w:tcW w:type="dxa" w:w="4200"/>
            <w:tcMar>
              <w:top w:type="dxa" w:w="80"/>
              <w:left w:type="dxa" w:w="100"/>
              <w:bottom w:type="dxa" w:w="80"/>
              <w:right w:type="dxa" w:w="100"/>
            </w:tcMar>
            <w:vAlign w:val="center"/>
          </w:tcPr>
          <w:p>
            <w:r>
              <w:rPr>
                <w:b w:val="false"/>
                <w:bCs w:val="false"/>
                <w:sz w:val="19"/>
                <w:szCs w:val="19"/>
              </w:rPr>
              <w:t xml:space="preserve">MIS-EmailIngestion (flow)</w:t>
            </w:r>
          </w:p>
        </w:tc>
        <w:tc>
          <w:tcPr>
            <w:tcW w:type="dxa" w:w="5600"/>
            <w:tcMar>
              <w:top w:type="dxa" w:w="80"/>
              <w:left w:type="dxa" w:w="100"/>
              <w:bottom w:type="dxa" w:w="80"/>
              <w:right w:type="dxa" w:w="100"/>
            </w:tcMar>
            <w:vAlign w:val="center"/>
          </w:tcPr>
          <w:p>
            <w:r>
              <w:rPr>
                <w:b w:val="false"/>
                <w:bCs w:val="false"/>
                <w:sz w:val="19"/>
                <w:szCs w:val="19"/>
              </w:rPr>
              <w:t xml:space="preserve">DISABLED (toggled off, not deleted — pending confidence in new pipeline)</w:t>
            </w:r>
          </w:p>
        </w:tc>
      </w:tr>
      <w:tr>
        <w:tc>
          <w:tcPr>
            <w:tcW w:type="dxa" w:w="4200"/>
            <w:tcMar>
              <w:top w:type="dxa" w:w="80"/>
              <w:left w:type="dxa" w:w="100"/>
              <w:bottom w:type="dxa" w:w="80"/>
              <w:right w:type="dxa" w:w="100"/>
            </w:tcMar>
            <w:vAlign w:val="center"/>
          </w:tcPr>
          <w:p>
            <w:r>
              <w:rPr>
                <w:b w:val="false"/>
                <w:bCs w:val="false"/>
                <w:sz w:val="19"/>
                <w:szCs w:val="19"/>
              </w:rPr>
              <w:t xml:space="preserve">MIS-GetDailyDashboard / GetWeeklyTrend / GetMonthlyReport / GetAgentStats / GetQueueStats / GetSLAReport / GetBillingReport (flows)</w:t>
            </w:r>
          </w:p>
        </w:tc>
        <w:tc>
          <w:tcPr>
            <w:tcW w:type="dxa" w:w="5600"/>
            <w:tcMar>
              <w:top w:type="dxa" w:w="80"/>
              <w:left w:type="dxa" w:w="100"/>
              <w:bottom w:type="dxa" w:w="80"/>
              <w:right w:type="dxa" w:w="100"/>
            </w:tcMar>
            <w:vAlign w:val="center"/>
          </w:tcPr>
          <w:p>
            <w:r>
              <w:rPr>
                <w:b w:val="false"/>
                <w:bCs w:val="false"/>
                <w:sz w:val="19"/>
                <w:szCs w:val="19"/>
              </w:rPr>
              <w:t xml:space="preserve">Still exist and are enabled, but no longer linked from index.html. Pending deletion once DPR is proven in production.</w:t>
            </w:r>
          </w:p>
        </w:tc>
      </w:tr>
      <w:tr>
        <w:tc>
          <w:tcPr>
            <w:tcW w:type="dxa" w:w="4200"/>
            <w:tcMar>
              <w:top w:type="dxa" w:w="80"/>
              <w:left w:type="dxa" w:w="100"/>
              <w:bottom w:type="dxa" w:w="80"/>
              <w:right w:type="dxa" w:w="100"/>
            </w:tcMar>
            <w:vAlign w:val="center"/>
          </w:tcPr>
          <w:p>
            <w:r>
              <w:rPr>
                <w:b w:val="false"/>
                <w:bCs w:val="false"/>
                <w:sz w:val="19"/>
                <w:szCs w:val="19"/>
              </w:rPr>
              <w:t xml:space="preserve">daily.html / weekly.html / monthly.html / agents.html / queue.html / sla.html / billing.html</w:t>
            </w:r>
          </w:p>
        </w:tc>
        <w:tc>
          <w:tcPr>
            <w:tcW w:type="dxa" w:w="5600"/>
            <w:tcMar>
              <w:top w:type="dxa" w:w="80"/>
              <w:left w:type="dxa" w:w="100"/>
              <w:bottom w:type="dxa" w:w="80"/>
              <w:right w:type="dxa" w:w="100"/>
            </w:tcMar>
            <w:vAlign w:val="center"/>
          </w:tcPr>
          <w:p>
            <w:r>
              <w:rPr>
                <w:b w:val="false"/>
                <w:bCs w:val="false"/>
                <w:sz w:val="19"/>
                <w:szCs w:val="19"/>
              </w:rPr>
              <w:t xml:space="preserve">Still exist in the repository but are no longer linked from index.html. Pending deletion from GitHub once DPR is proven in production.</w:t>
            </w:r>
          </w:p>
        </w:tc>
      </w:tr>
      <w:tr>
        <w:tc>
          <w:tcPr>
            <w:tcW w:type="dxa" w:w="4200"/>
            <w:tcMar>
              <w:top w:type="dxa" w:w="80"/>
              <w:left w:type="dxa" w:w="100"/>
              <w:bottom w:type="dxa" w:w="80"/>
              <w:right w:type="dxa" w:w="100"/>
            </w:tcMar>
            <w:vAlign w:val="center"/>
          </w:tcPr>
          <w:p>
            <w:r>
              <w:rPr>
                <w:b w:val="false"/>
                <w:bCs w:val="false"/>
                <w:sz w:val="19"/>
                <w:szCs w:val="19"/>
              </w:rPr>
              <w:t xml:space="preserve">MIS-QContactSync (flow)</w:t>
            </w:r>
          </w:p>
        </w:tc>
        <w:tc>
          <w:tcPr>
            <w:tcW w:type="dxa" w:w="5600"/>
            <w:tcMar>
              <w:top w:type="dxa" w:w="80"/>
              <w:left w:type="dxa" w:w="100"/>
              <w:bottom w:type="dxa" w:w="80"/>
              <w:right w:type="dxa" w:w="100"/>
            </w:tcMar>
            <w:vAlign w:val="center"/>
          </w:tcPr>
          <w:p>
            <w:r>
              <w:rPr>
                <w:b w:val="false"/>
                <w:bCs w:val="false"/>
                <w:sz w:val="19"/>
                <w:szCs w:val="19"/>
              </w:rPr>
              <w:t xml:space="preserve">ACTIVE, unaffected — unrelated to DPR</w:t>
            </w:r>
          </w:p>
        </w:tc>
      </w:tr>
      <w:tr>
        <w:tc>
          <w:tcPr>
            <w:tcW w:type="dxa" w:w="4200"/>
            <w:tcMar>
              <w:top w:type="dxa" w:w="80"/>
              <w:left w:type="dxa" w:w="100"/>
              <w:bottom w:type="dxa" w:w="80"/>
              <w:right w:type="dxa" w:w="100"/>
            </w:tcMar>
            <w:vAlign w:val="center"/>
          </w:tcPr>
          <w:p>
            <w:r>
              <w:rPr>
                <w:b w:val="false"/>
                <w:bCs w:val="false"/>
                <w:sz w:val="19"/>
                <w:szCs w:val="19"/>
              </w:rPr>
              <w:t xml:space="preserve">Admin/auth flows (MIS-AdminGetData/SaveUser/DeleteUser/ValidateUser)</w:t>
            </w:r>
          </w:p>
        </w:tc>
        <w:tc>
          <w:tcPr>
            <w:tcW w:type="dxa" w:w="5600"/>
            <w:tcMar>
              <w:top w:type="dxa" w:w="80"/>
              <w:left w:type="dxa" w:w="100"/>
              <w:bottom w:type="dxa" w:w="80"/>
              <w:right w:type="dxa" w:w="100"/>
            </w:tcMar>
            <w:vAlign w:val="center"/>
          </w:tcPr>
          <w:p>
            <w:r>
              <w:rPr>
                <w:b w:val="false"/>
                <w:bCs w:val="false"/>
                <w:sz w:val="19"/>
                <w:szCs w:val="19"/>
              </w:rPr>
              <w:t xml:space="preserve">ACTIVE, unaffected</w:t>
            </w:r>
          </w:p>
        </w:tc>
      </w:tr>
    </w:tbl>
    <w:p>
      <w:pPr>
        <w:spacing w:after="140"/>
      </w:pPr>
      <w:r>
        <w:rPr>
          <w:b/>
          <w:bCs/>
          <w:i w:val="false"/>
          <w:iCs w:val="false"/>
        </w:rPr>
        <w:t xml:space="preserve">Explicit sequencing agreed with Craig: build → test → THEN delete. Nothing above should be removed from GitHub or Power Automate until the DPR pipeline has been observed running correctly, unattended, for a reasonable period.</w:t>
      </w:r>
    </w:p>
    <w:p>
      <w:pPr>
        <w:pStyle w:val="Heading2"/>
        <w:spacing w:after="120" w:before="260"/>
      </w:pPr>
      <w:r>
        <w:t xml:space="preserve">16. Key Issues Resolved (v2.0 build)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00"/>
        <w:gridCol w:w="3300"/>
        <w:gridCol w:w="3400"/>
      </w:tblGrid>
      <w:tr>
        <w:trPr>
          <w:tblHeader/>
        </w:trPr>
        <w:tc>
          <w:tcPr>
            <w:tcW w:type="dxa" w:w="3100"/>
            <w:shd w:fill="1e1e1e" w:val="clear"/>
            <w:tcMar>
              <w:top w:type="dxa" w:w="80"/>
              <w:left w:type="dxa" w:w="100"/>
              <w:bottom w:type="dxa" w:w="80"/>
              <w:right w:type="dxa" w:w="100"/>
            </w:tcMar>
            <w:vAlign w:val="center"/>
          </w:tcPr>
          <w:p>
            <w:r>
              <w:rPr>
                <w:b/>
                <w:bCs/>
                <w:color w:val="FFFFFF"/>
                <w:sz w:val="18"/>
                <w:szCs w:val="18"/>
              </w:rPr>
              <w:t xml:space="preserve">Issue</w:t>
            </w:r>
          </w:p>
        </w:tc>
        <w:tc>
          <w:tcPr>
            <w:tcW w:type="dxa" w:w="3300"/>
            <w:shd w:fill="1e1e1e" w:val="clear"/>
            <w:tcMar>
              <w:top w:type="dxa" w:w="80"/>
              <w:left w:type="dxa" w:w="100"/>
              <w:bottom w:type="dxa" w:w="80"/>
              <w:right w:type="dxa" w:w="100"/>
            </w:tcMar>
            <w:vAlign w:val="center"/>
          </w:tcPr>
          <w:p>
            <w:r>
              <w:rPr>
                <w:b/>
                <w:bCs/>
                <w:color w:val="FFFFFF"/>
                <w:sz w:val="18"/>
                <w:szCs w:val="18"/>
              </w:rPr>
              <w:t xml:space="preserve">Root cause</w:t>
            </w:r>
          </w:p>
        </w:tc>
        <w:tc>
          <w:tcPr>
            <w:tcW w:type="dxa" w:w="3400"/>
            <w:shd w:fill="1e1e1e" w:val="clear"/>
            <w:tcMar>
              <w:top w:type="dxa" w:w="80"/>
              <w:left w:type="dxa" w:w="100"/>
              <w:bottom w:type="dxa" w:w="80"/>
              <w:right w:type="dxa" w:w="100"/>
            </w:tcMar>
            <w:vAlign w:val="center"/>
          </w:tcPr>
          <w:p>
            <w:r>
              <w:rPr>
                <w:b/>
                <w:bCs/>
                <w:color w:val="FFFFFF"/>
                <w:sz w:val="18"/>
                <w:szCs w:val="18"/>
              </w:rPr>
              <w:t xml:space="preserve">Fix applied</w:t>
            </w:r>
          </w:p>
        </w:tc>
      </w:tr>
      <w:tr>
        <w:tc>
          <w:tcPr>
            <w:tcW w:type="dxa" w:w="3100"/>
            <w:tcMar>
              <w:top w:type="dxa" w:w="80"/>
              <w:left w:type="dxa" w:w="100"/>
              <w:bottom w:type="dxa" w:w="80"/>
              <w:right w:type="dxa" w:w="100"/>
            </w:tcMar>
            <w:vAlign w:val="center"/>
          </w:tcPr>
          <w:p>
            <w:r>
              <w:rPr>
                <w:b w:val="false"/>
                <w:bCs w:val="false"/>
                <w:sz w:val="19"/>
                <w:szCs w:val="19"/>
              </w:rPr>
              <w:t xml:space="preserve">401 "sign in or sign up" from user_breakdown despite valid-looking tokens</w:t>
            </w:r>
          </w:p>
        </w:tc>
        <w:tc>
          <w:tcPr>
            <w:tcW w:type="dxa" w:w="3300"/>
            <w:tcMar>
              <w:top w:type="dxa" w:w="80"/>
              <w:left w:type="dxa" w:w="100"/>
              <w:bottom w:type="dxa" w:w="80"/>
              <w:right w:type="dxa" w:w="100"/>
            </w:tcMar>
            <w:vAlign w:val="center"/>
          </w:tcPr>
          <w:p>
            <w:r>
              <w:rPr>
                <w:b w:val="false"/>
                <w:bCs w:val="false"/>
                <w:sz w:val="19"/>
                <w:szCs w:val="19"/>
              </w:rPr>
              <w:t xml:space="preserve">uid header hardcoded to a slightly wrong email (craig@ vs craigs@nadclinic.com) — devise_token_auth requires an exact match</w:t>
            </w:r>
          </w:p>
        </w:tc>
        <w:tc>
          <w:tcPr>
            <w:tcW w:type="dxa" w:w="3400"/>
            <w:tcMar>
              <w:top w:type="dxa" w:w="80"/>
              <w:left w:type="dxa" w:w="100"/>
              <w:bottom w:type="dxa" w:w="80"/>
              <w:right w:type="dxa" w:w="100"/>
            </w:tcMar>
            <w:vAlign w:val="center"/>
          </w:tcPr>
          <w:p>
            <w:r>
              <w:rPr>
                <w:b w:val="false"/>
                <w:bCs w:val="false"/>
                <w:sz w:val="19"/>
                <w:szCs w:val="19"/>
              </w:rPr>
              <w:t xml:space="preserve">Fixed the sign-in body email; also removed hardcoding of uid downstream and pulled it dynamically from the sign-in response headers</w:t>
            </w:r>
          </w:p>
        </w:tc>
      </w:tr>
      <w:tr>
        <w:tc>
          <w:tcPr>
            <w:tcW w:type="dxa" w:w="3100"/>
            <w:tcMar>
              <w:top w:type="dxa" w:w="80"/>
              <w:left w:type="dxa" w:w="100"/>
              <w:bottom w:type="dxa" w:w="80"/>
              <w:right w:type="dxa" w:w="100"/>
            </w:tcMar>
            <w:vAlign w:val="center"/>
          </w:tcPr>
          <w:p>
            <w:r>
              <w:rPr>
                <w:b w:val="false"/>
                <w:bCs w:val="false"/>
                <w:sz w:val="19"/>
                <w:szCs w:val="19"/>
              </w:rPr>
              <w:t xml:space="preserve">500 Internal Server Error on filter/user_breakdown calls with date-range conditions</w:t>
            </w:r>
          </w:p>
        </w:tc>
        <w:tc>
          <w:tcPr>
            <w:tcW w:type="dxa" w:w="3300"/>
            <w:tcMar>
              <w:top w:type="dxa" w:w="80"/>
              <w:left w:type="dxa" w:w="100"/>
              <w:bottom w:type="dxa" w:w="80"/>
              <w:right w:type="dxa" w:w="100"/>
            </w:tcMar>
            <w:vAlign w:val="center"/>
          </w:tcPr>
          <w:p>
            <w:r>
              <w:rPr>
                <w:b w:val="false"/>
                <w:bCs w:val="false"/>
                <w:sz w:val="19"/>
                <w:szCs w:val="19"/>
              </w:rPr>
              <w:t xml:space="preserve">Invalid operator names guessed (greater_than, gteq) — never confirmed against real API behaviour</w:t>
            </w:r>
          </w:p>
        </w:tc>
        <w:tc>
          <w:tcPr>
            <w:tcW w:type="dxa" w:w="3400"/>
            <w:tcMar>
              <w:top w:type="dxa" w:w="80"/>
              <w:left w:type="dxa" w:w="100"/>
              <w:bottom w:type="dxa" w:w="80"/>
              <w:right w:type="dxa" w:w="100"/>
            </w:tcMar>
            <w:vAlign w:val="center"/>
          </w:tcPr>
          <w:p>
            <w:r>
              <w:rPr>
                <w:b w:val="false"/>
                <w:bCs w:val="false"/>
                <w:sz w:val="19"/>
                <w:szCs w:val="19"/>
              </w:rPr>
              <w:t xml:space="preserve">Abandoned guessing; captured the real request from qContact’s own UI via browser DevTools and replicated its exact payload shape</w:t>
            </w:r>
          </w:p>
        </w:tc>
      </w:tr>
      <w:tr>
        <w:tc>
          <w:tcPr>
            <w:tcW w:type="dxa" w:w="3100"/>
            <w:tcMar>
              <w:top w:type="dxa" w:w="80"/>
              <w:left w:type="dxa" w:w="100"/>
              <w:bottom w:type="dxa" w:w="80"/>
              <w:right w:type="dxa" w:w="100"/>
            </w:tcMar>
            <w:vAlign w:val="center"/>
          </w:tcPr>
          <w:p>
            <w:r>
              <w:rPr>
                <w:b w:val="false"/>
                <w:bCs w:val="false"/>
                <w:sz w:val="19"/>
                <w:szCs w:val="19"/>
              </w:rPr>
              <w:t xml:space="preserve">days_of_attendance showing 2 for what should be one SA business day</w:t>
            </w:r>
          </w:p>
        </w:tc>
        <w:tc>
          <w:tcPr>
            <w:tcW w:type="dxa" w:w="3300"/>
            <w:tcMar>
              <w:top w:type="dxa" w:w="80"/>
              <w:left w:type="dxa" w:w="100"/>
              <w:bottom w:type="dxa" w:w="80"/>
              <w:right w:type="dxa" w:w="100"/>
            </w:tcMar>
            <w:vAlign w:val="center"/>
          </w:tcPr>
          <w:p>
            <w:r>
              <w:rPr>
                <w:b w:val="false"/>
                <w:bCs w:val="false"/>
                <w:sz w:val="19"/>
                <w:szCs w:val="19"/>
              </w:rPr>
              <w:t xml:space="preserve">The figure counts distinct UTC calendar dates touched by the query range, not SA-local business days — a full SA day (UTC+2) straddles two UTC dates</w:t>
            </w:r>
          </w:p>
        </w:tc>
        <w:tc>
          <w:tcPr>
            <w:tcW w:type="dxa" w:w="3400"/>
            <w:tcMar>
              <w:top w:type="dxa" w:w="80"/>
              <w:left w:type="dxa" w:w="100"/>
              <w:bottom w:type="dxa" w:w="80"/>
              <w:right w:type="dxa" w:w="100"/>
            </w:tcMar>
            <w:vAlign w:val="center"/>
          </w:tcPr>
          <w:p>
            <w:r>
              <w:rPr>
                <w:b w:val="false"/>
                <w:bCs w:val="false"/>
                <w:sz w:val="19"/>
                <w:szCs w:val="19"/>
              </w:rPr>
              <w:t xml:space="preserve">Documented as a known quirk of that specific API field; not used directly in PH calculations</w:t>
            </w:r>
          </w:p>
        </w:tc>
      </w:tr>
      <w:tr>
        <w:tc>
          <w:tcPr>
            <w:tcW w:type="dxa" w:w="3100"/>
            <w:tcMar>
              <w:top w:type="dxa" w:w="80"/>
              <w:left w:type="dxa" w:w="100"/>
              <w:bottom w:type="dxa" w:w="80"/>
              <w:right w:type="dxa" w:w="100"/>
            </w:tcMar>
            <w:vAlign w:val="center"/>
          </w:tcPr>
          <w:p>
            <w:r>
              <w:rPr>
                <w:b w:val="false"/>
                <w:bCs w:val="false"/>
                <w:sz w:val="19"/>
                <w:szCs w:val="19"/>
              </w:rPr>
              <w:t xml:space="preserve">durations vs ush_durations confusion</w:t>
            </w:r>
          </w:p>
        </w:tc>
        <w:tc>
          <w:tcPr>
            <w:tcW w:type="dxa" w:w="3300"/>
            <w:tcMar>
              <w:top w:type="dxa" w:w="80"/>
              <w:left w:type="dxa" w:w="100"/>
              <w:bottom w:type="dxa" w:w="80"/>
              <w:right w:type="dxa" w:w="100"/>
            </w:tcMar>
            <w:vAlign w:val="center"/>
          </w:tcPr>
          <w:p>
            <w:r>
              <w:rPr>
                <w:b w:val="false"/>
                <w:bCs w:val="false"/>
                <w:sz w:val="19"/>
                <w:szCs w:val="19"/>
              </w:rPr>
              <w:t xml:space="preserve">Both blocks looked plausible as a PH source; only one carries pause_reason detail</w:t>
            </w:r>
          </w:p>
        </w:tc>
        <w:tc>
          <w:tcPr>
            <w:tcW w:type="dxa" w:w="3400"/>
            <w:tcMar>
              <w:top w:type="dxa" w:w="80"/>
              <w:left w:type="dxa" w:w="100"/>
              <w:bottom w:type="dxa" w:w="80"/>
              <w:right w:type="dxa" w:w="100"/>
            </w:tcMar>
            <w:vAlign w:val="center"/>
          </w:tcPr>
          <w:p>
            <w:r>
              <w:rPr>
                <w:b w:val="false"/>
                <w:bCs w:val="false"/>
                <w:sz w:val="19"/>
                <w:szCs w:val="19"/>
              </w:rPr>
              <w:t xml:space="preserve">Confirmed via exact-match test against a known raw Lunch record that durations is correct and ush_durations is not</w:t>
            </w:r>
          </w:p>
        </w:tc>
      </w:tr>
      <w:tr>
        <w:tc>
          <w:tcPr>
            <w:tcW w:type="dxa" w:w="3100"/>
            <w:tcMar>
              <w:top w:type="dxa" w:w="80"/>
              <w:left w:type="dxa" w:w="100"/>
              <w:bottom w:type="dxa" w:w="80"/>
              <w:right w:type="dxa" w:w="100"/>
            </w:tcMar>
            <w:vAlign w:val="center"/>
          </w:tcPr>
          <w:p>
            <w:r>
              <w:rPr>
                <w:b w:val="false"/>
                <w:bCs w:val="false"/>
                <w:sz w:val="19"/>
                <w:szCs w:val="19"/>
              </w:rPr>
              <w:t xml:space="preserve">SQL INSERT failures on hardcoded dates ("@{2026-07-04}" literal appearing in queries)</w:t>
            </w:r>
          </w:p>
        </w:tc>
        <w:tc>
          <w:tcPr>
            <w:tcW w:type="dxa" w:w="3300"/>
            <w:tcMar>
              <w:top w:type="dxa" w:w="80"/>
              <w:left w:type="dxa" w:w="100"/>
              <w:bottom w:type="dxa" w:w="80"/>
              <w:right w:type="dxa" w:w="100"/>
            </w:tcMar>
            <w:vAlign w:val="center"/>
          </w:tcPr>
          <w:p>
            <w:r>
              <w:rPr>
                <w:b w:val="false"/>
                <w:bCs w:val="false"/>
                <w:sz w:val="19"/>
                <w:szCs w:val="19"/>
              </w:rPr>
              <w:t xml:space="preserve">Dynamic content references typed/pasted by hand instead of inserted via the picker (see §10.4)</w:t>
            </w:r>
          </w:p>
        </w:tc>
        <w:tc>
          <w:tcPr>
            <w:tcW w:type="dxa" w:w="3400"/>
            <w:tcMar>
              <w:top w:type="dxa" w:w="80"/>
              <w:left w:type="dxa" w:w="100"/>
              <w:bottom w:type="dxa" w:w="80"/>
              <w:right w:type="dxa" w:w="100"/>
            </w:tcMar>
            <w:vAlign w:val="center"/>
          </w:tcPr>
          <w:p>
            <w:r>
              <w:rPr>
                <w:b w:val="false"/>
                <w:bCs w:val="false"/>
                <w:sz w:val="19"/>
                <w:szCs w:val="19"/>
              </w:rPr>
              <w:t xml:space="preserve">Replaced with picker-inserted tokens each time; recurred three times during this build despite the fix</w:t>
            </w:r>
          </w:p>
        </w:tc>
      </w:tr>
      <w:tr>
        <w:tc>
          <w:tcPr>
            <w:tcW w:type="dxa" w:w="3100"/>
            <w:tcMar>
              <w:top w:type="dxa" w:w="80"/>
              <w:left w:type="dxa" w:w="100"/>
              <w:bottom w:type="dxa" w:w="80"/>
              <w:right w:type="dxa" w:w="100"/>
            </w:tcMar>
            <w:vAlign w:val="center"/>
          </w:tcPr>
          <w:p>
            <w:r>
              <w:rPr>
                <w:b w:val="false"/>
                <w:bCs w:val="false"/>
                <w:sz w:val="19"/>
                <w:szCs w:val="19"/>
              </w:rPr>
              <w:t xml:space="preserve">"first() expects array or string, got Null" on BillingAmount</w:t>
            </w:r>
          </w:p>
        </w:tc>
        <w:tc>
          <w:tcPr>
            <w:tcW w:type="dxa" w:w="3300"/>
            <w:tcMar>
              <w:top w:type="dxa" w:w="80"/>
              <w:left w:type="dxa" w:w="100"/>
              <w:bottom w:type="dxa" w:w="80"/>
              <w:right w:type="dxa" w:w="100"/>
            </w:tcMar>
            <w:vAlign w:val="center"/>
          </w:tcPr>
          <w:p>
            <w:r>
              <w:rPr>
                <w:b w:val="false"/>
                <w:bCs w:val="false"/>
                <w:sz w:val="19"/>
                <w:szCs w:val="19"/>
              </w:rPr>
              <w:t xml:space="preserve">A same-input SQL query (CheckHoliday/GetWorkingDaysInMonth) was placed inside a 3-iteration agent loop and hit a gateway response cache on the 3rd call, returning an empty result</w:t>
            </w:r>
          </w:p>
        </w:tc>
        <w:tc>
          <w:tcPr>
            <w:tcW w:type="dxa" w:w="3400"/>
            <w:tcMar>
              <w:top w:type="dxa" w:w="80"/>
              <w:left w:type="dxa" w:w="100"/>
              <w:bottom w:type="dxa" w:w="80"/>
              <w:right w:type="dxa" w:w="100"/>
            </w:tcMar>
            <w:vAlign w:val="center"/>
          </w:tcPr>
          <w:p>
            <w:r>
              <w:rPr>
                <w:b w:val="false"/>
                <w:bCs w:val="false"/>
                <w:sz w:val="19"/>
                <w:szCs w:val="19"/>
              </w:rPr>
              <w:t xml:space="preserve">Moved date-only queries outside the per-agent loop entirely — computed once per run, referenced by all agents</w:t>
            </w:r>
          </w:p>
        </w:tc>
      </w:tr>
      <w:tr>
        <w:tc>
          <w:tcPr>
            <w:tcW w:type="dxa" w:w="3100"/>
            <w:tcMar>
              <w:top w:type="dxa" w:w="80"/>
              <w:left w:type="dxa" w:w="100"/>
              <w:bottom w:type="dxa" w:w="80"/>
              <w:right w:type="dxa" w:w="100"/>
            </w:tcMar>
            <w:vAlign w:val="center"/>
          </w:tcPr>
          <w:p>
            <w:r>
              <w:rPr>
                <w:b w:val="false"/>
                <w:bCs w:val="false"/>
                <w:sz w:val="19"/>
                <w:szCs w:val="19"/>
              </w:rPr>
              <w:t xml:space="preserve">dayOfWeek() weekend check inverted (Saturday treated as a working day)</w:t>
            </w:r>
          </w:p>
        </w:tc>
        <w:tc>
          <w:tcPr>
            <w:tcW w:type="dxa" w:w="3300"/>
            <w:tcMar>
              <w:top w:type="dxa" w:w="80"/>
              <w:left w:type="dxa" w:w="100"/>
              <w:bottom w:type="dxa" w:w="80"/>
              <w:right w:type="dxa" w:w="100"/>
            </w:tcMar>
            <w:vAlign w:val="center"/>
          </w:tcPr>
          <w:p>
            <w:r>
              <w:rPr>
                <w:b w:val="false"/>
                <w:bCs w:val="false"/>
                <w:sz w:val="19"/>
                <w:szCs w:val="19"/>
              </w:rPr>
              <w:t xml:space="preserve">Assumed Sunday=0 convention on a full timestamp input; actual convention for that input type is Monday=0</w:t>
            </w:r>
          </w:p>
        </w:tc>
        <w:tc>
          <w:tcPr>
            <w:tcW w:type="dxa" w:w="3400"/>
            <w:tcMar>
              <w:top w:type="dxa" w:w="80"/>
              <w:left w:type="dxa" w:w="100"/>
              <w:bottom w:type="dxa" w:w="80"/>
              <w:right w:type="dxa" w:w="100"/>
            </w:tcMar>
            <w:vAlign w:val="center"/>
          </w:tcPr>
          <w:p>
            <w:r>
              <w:rPr>
                <w:b w:val="false"/>
                <w:bCs w:val="false"/>
                <w:sz w:val="19"/>
                <w:szCs w:val="19"/>
              </w:rPr>
              <w:t xml:space="preserve">Empirically tested with a known Saturday date before trusting the expression; corrected indices</w:t>
            </w:r>
          </w:p>
        </w:tc>
      </w:tr>
      <w:tr>
        <w:tc>
          <w:tcPr>
            <w:tcW w:type="dxa" w:w="3100"/>
            <w:tcMar>
              <w:top w:type="dxa" w:w="80"/>
              <w:left w:type="dxa" w:w="100"/>
              <w:bottom w:type="dxa" w:w="80"/>
              <w:right w:type="dxa" w:w="100"/>
            </w:tcMar>
            <w:vAlign w:val="center"/>
          </w:tcPr>
          <w:p>
            <w:r>
              <w:rPr>
                <w:b w:val="false"/>
                <w:bCs w:val="false"/>
                <w:sz w:val="19"/>
                <w:szCs w:val="19"/>
              </w:rPr>
              <w:t xml:space="preserve">PriorMonthStart / PriorPeriodStart / PriorPeriodEnd all producing wrong or duplicate dates</w:t>
            </w:r>
          </w:p>
        </w:tc>
        <w:tc>
          <w:tcPr>
            <w:tcW w:type="dxa" w:w="3300"/>
            <w:tcMar>
              <w:top w:type="dxa" w:w="80"/>
              <w:left w:type="dxa" w:w="100"/>
              <w:bottom w:type="dxa" w:w="80"/>
              <w:right w:type="dxa" w:w="100"/>
            </w:tcMar>
            <w:vAlign w:val="center"/>
          </w:tcPr>
          <w:p>
            <w:r>
              <w:rPr>
                <w:b w:val="false"/>
                <w:bCs w:val="false"/>
                <w:sz w:val="19"/>
                <w:szCs w:val="19"/>
              </w:rPr>
              <w:t xml:space="preserve">The three actions’ expressions had been cross-contaminated with each other’s content (and, separately, still referenced the pre-HTTP-trigger text/text_1 keys) at some point during editing</w:t>
            </w:r>
          </w:p>
        </w:tc>
        <w:tc>
          <w:tcPr>
            <w:tcW w:type="dxa" w:w="3400"/>
            <w:tcMar>
              <w:top w:type="dxa" w:w="80"/>
              <w:left w:type="dxa" w:w="100"/>
              <w:bottom w:type="dxa" w:w="80"/>
              <w:right w:type="dxa" w:w="100"/>
            </w:tcMar>
            <w:vAlign w:val="center"/>
          </w:tcPr>
          <w:p>
            <w:r>
              <w:rPr>
                <w:b w:val="false"/>
                <w:bCs w:val="false"/>
                <w:sz w:val="19"/>
                <w:szCs w:val="19"/>
              </w:rPr>
              <w:t xml:space="preserve">Directly inspected each action’s actual saved content (not assumed from memory) and rewrote all three correctly</w:t>
            </w:r>
          </w:p>
        </w:tc>
      </w:tr>
      <w:tr>
        <w:tc>
          <w:tcPr>
            <w:tcW w:type="dxa" w:w="3100"/>
            <w:tcMar>
              <w:top w:type="dxa" w:w="80"/>
              <w:left w:type="dxa" w:w="100"/>
              <w:bottom w:type="dxa" w:w="80"/>
              <w:right w:type="dxa" w:w="100"/>
            </w:tcMar>
            <w:vAlign w:val="center"/>
          </w:tcPr>
          <w:p>
            <w:r>
              <w:rPr>
                <w:b w:val="false"/>
                <w:bCs w:val="false"/>
                <w:sz w:val="19"/>
                <w:szCs w:val="19"/>
              </w:rPr>
              <w:t xml:space="preserve">Nathaniel’s billing showing incorrect values (£5.00 instead of £5.87)</w:t>
            </w:r>
          </w:p>
        </w:tc>
        <w:tc>
          <w:tcPr>
            <w:tcW w:type="dxa" w:w="3300"/>
            <w:tcMar>
              <w:top w:type="dxa" w:w="80"/>
              <w:left w:type="dxa" w:w="100"/>
              <w:bottom w:type="dxa" w:w="80"/>
              <w:right w:type="dxa" w:w="100"/>
            </w:tcMar>
            <w:vAlign w:val="center"/>
          </w:tcPr>
          <w:p>
            <w:r>
              <w:rPr>
                <w:b w:val="false"/>
                <w:bCs w:val="false"/>
                <w:sz w:val="19"/>
                <w:szCs w:val="19"/>
              </w:rPr>
              <w:t xml:space="preserve">A working-days-in-month SQL query embedded a frozen literal date ("@{2026-07-03}") instead of a live dynamic reference, causing SQL Server to silently mis-parse the date and compute a different month’s day count</w:t>
            </w:r>
          </w:p>
        </w:tc>
        <w:tc>
          <w:tcPr>
            <w:tcW w:type="dxa" w:w="3400"/>
            <w:tcMar>
              <w:top w:type="dxa" w:w="80"/>
              <w:left w:type="dxa" w:w="100"/>
              <w:bottom w:type="dxa" w:w="80"/>
              <w:right w:type="dxa" w:w="100"/>
            </w:tcMar>
            <w:vAlign w:val="center"/>
          </w:tcPr>
          <w:p>
            <w:r>
              <w:rPr>
                <w:b w:val="false"/>
                <w:bCs w:val="false"/>
                <w:sz w:val="19"/>
                <w:szCs w:val="19"/>
              </w:rPr>
              <w:t xml:space="preserve">Root-caused via isolated re-testing of the SQL in isolation, then abandoned the ingestion-time approach entirely in favour of computing Nathaniel’s figure at display time (§11)</w:t>
            </w:r>
          </w:p>
        </w:tc>
      </w:tr>
    </w:tbl>
    <w:p>
      <w:pPr>
        <w:pStyle w:val="Heading2"/>
        <w:spacing w:after="120" w:before="260"/>
      </w:pPr>
      <w:r>
        <w:t xml:space="preserve">17. Outstanding / Next Steps (v2.0)</w:t>
      </w:r>
    </w:p>
    <w:p>
      <w:pPr>
        <w:pStyle w:val="ListParagraph"/>
        <w:numPr>
          <w:ilvl w:val="0"/>
          <w:numId w:val="1"/>
        </w:numPr>
        <w:spacing w:after="60"/>
      </w:pPr>
      <w:r>
        <w:rPr>
          <w:b w:val="false"/>
          <w:bCs w:val="false"/>
        </w:rPr>
        <w:t xml:space="preserve">Confirm the 2026-06-12 backfill start date against an actual campaign go-live record, if one exists — the current date is a proxy (earliest mis_import_log row), not a confirmed fact.</w:t>
      </w:r>
    </w:p>
    <w:p>
      <w:pPr>
        <w:pStyle w:val="ListParagraph"/>
        <w:numPr>
          <w:ilvl w:val="0"/>
          <w:numId w:val="1"/>
        </w:numPr>
        <w:spacing w:after="60"/>
      </w:pPr>
      <w:r>
        <w:rPr>
          <w:b w:val="false"/>
          <w:bCs w:val="false"/>
        </w:rPr>
        <w:t xml:space="preserve">Rule pending on pause_reason code 5_6: never observed in real data as of this document’s date; currently treated as billable (not excluded from PH) purely by default/absence of evidence. Flag for a decision if it ever appears.</w:t>
      </w:r>
    </w:p>
    <w:p>
      <w:pPr>
        <w:pStyle w:val="ListParagraph"/>
        <w:numPr>
          <w:ilvl w:val="0"/>
          <w:numId w:val="1"/>
        </w:numPr>
        <w:spacing w:after="60"/>
      </w:pPr>
      <w:r>
        <w:rPr>
          <w:b w:val="false"/>
          <w:bCs w:val="false"/>
        </w:rPr>
        <w:t xml:space="preserve">Delete the seven deprecated flows and HTML pages (§15) once the DPR pipeline has run unattended in production for a reasonable period.</w:t>
      </w:r>
    </w:p>
    <w:p>
      <w:pPr>
        <w:pStyle w:val="ListParagraph"/>
        <w:numPr>
          <w:ilvl w:val="0"/>
          <w:numId w:val="1"/>
        </w:numPr>
        <w:spacing w:after="60"/>
      </w:pPr>
      <w:r>
        <w:rPr>
          <w:b w:val="false"/>
          <w:bCs w:val="false"/>
        </w:rPr>
        <w:t xml:space="preserve">Re-enable or permanently remove MIS-EmailIngestion — currently disabled but not deleted.</w:t>
      </w:r>
    </w:p>
    <w:p>
      <w:pPr>
        <w:pStyle w:val="ListParagraph"/>
        <w:numPr>
          <w:ilvl w:val="0"/>
          <w:numId w:val="1"/>
        </w:numPr>
        <w:spacing w:after="60"/>
      </w:pPr>
      <w:r>
        <w:rPr>
          <w:b w:val="false"/>
          <w:bCs w:val="false"/>
        </w:rPr>
        <w:t xml:space="preserve">Consider adding a daily-granularity query to MIS-GetDPR if a day-by-day trend chart is wanted on dpr.html in future (see §14.1).</w:t>
      </w:r>
    </w:p>
    <w:p>
      <w:pPr>
        <w:pStyle w:val="ListParagraph"/>
        <w:numPr>
          <w:ilvl w:val="0"/>
          <w:numId w:val="1"/>
        </w:numPr>
        <w:spacing w:after="60"/>
      </w:pPr>
      <w:r>
        <w:rPr>
          <w:b w:val="false"/>
          <w:bCs w:val="false"/>
        </w:rPr>
        <w:t xml:space="preserve">When onboarding additional campaigns (Craig has indicated this is planned): mis_agent_ph_daily.CampaignCode already supports this. index.html’s campaign-loop structure already supports multiple campaigns generically. A new campaign would need: rows in mis_campaigns, its own qContact credentials/entity IDs wired into cloned versions of MIS-DailyPHPull/MIS-DPRBackfill/MIS-GetDPR, and a new nadclinic-style subfolder with its own dpr.html.</w:t>
      </w:r>
    </w:p>
    <w:p>
      <w:pPr>
        <w:pStyle w:val="ListParagraph"/>
        <w:numPr>
          <w:ilvl w:val="0"/>
          <w:numId w:val="1"/>
        </w:numPr>
        <w:spacing w:after="60"/>
      </w:pPr>
      <w:r>
        <w:rPr>
          <w:b w:val="false"/>
          <w:bCs w:val="false"/>
        </w:rPr>
        <w:t xml:space="preserve">Harden the DECLARE @j-style date arithmetic edge case noted during the v2.0 build: the MTD prior-period-end calculation can overshoot into the wrong month if ReferenceDate’s day-of-month exceeds the number of days in the previous month (e.g. reference = March 31 vs a 28/29-day February). Low-frequency edge case, not yet fixed.</w:t>
      </w:r>
    </w:p>
    <w:p>
      <w:r>
        <w:br w:type="page"/>
      </w:r>
    </w:p>
    <w:p>
      <w:pPr>
        <w:pStyle w:val="Heading1"/>
        <w:spacing w:after="160" w:before="360"/>
      </w:pPr>
      <w:r>
        <w:t xml:space="preserve">PART C — v3.0: Conversation Insights, Top 5, SLA Rebuild &amp; Email Pipeline Recovery (Current, Live System)</w:t>
      </w:r>
    </w:p>
    <w:p>
      <w:pPr>
        <w:spacing w:after="140"/>
      </w:pPr>
      <w:r>
        <w:rPr>
          <w:b w:val="false"/>
          <w:bCs w:val="false"/>
        </w:rPr>
        <w:t xml:space="preserve">Everything below this point is new as of 2026-07-21. It documents three new modules built on top of the DPR foundation (Part B) — Conversation Insights (AI sentiment/CSAT/summary per conversation), Top 5 Contact Drivers (AI-classified daily reason codes), and a rebuilt SLA report — plus the discovery and recovery of a stalled legacy email-ingestion pipeline that was found disabled mid-build. Part B (DPR) is unaffected by any of this work; mis_agent_ph_daily and its two flows were not touched.</w:t>
      </w:r>
    </w:p>
    <w:p>
      <w:pPr>
        <w:pStyle w:val="Heading2"/>
        <w:spacing w:after="120" w:before="260"/>
      </w:pPr>
      <w:r>
        <w:t xml:space="preserve">18. Conversation Insights Module</w:t>
      </w:r>
    </w:p>
    <w:p>
      <w:pPr>
        <w:spacing w:after="140"/>
      </w:pPr>
      <w:r>
        <w:rPr>
          <w:b w:val="false"/>
          <w:bCs w:val="false"/>
        </w:rPr>
        <w:t xml:space="preserve">Pulls the AI-generated summary, sentiment score, and CSAT rating that qContact’s conversation_history endpoint already returns for every conversation, and stores them centrally so they can be queried, drilled into, and interrogated with natural-language questions — none of this previously existed outside qContact’s own UI.</w:t>
      </w:r>
    </w:p>
    <w:p>
      <w:pPr>
        <w:pStyle w:val="Heading3"/>
        <w:spacing w:after="100" w:before="200"/>
      </w:pPr>
      <w:r>
        <w:t xml:space="preserve">18.1 mis_conversation_insights (new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800"/>
      </w:tblGrid>
      <w:tr>
        <w:trPr>
          <w:tblHeader/>
        </w:trPr>
        <w:tc>
          <w:tcPr>
            <w:tcW w:type="dxa" w:w="2400"/>
            <w:shd w:fill="1e1e1e" w:val="clear"/>
            <w:tcMar>
              <w:top w:type="dxa" w:w="80"/>
              <w:left w:type="dxa" w:w="100"/>
              <w:bottom w:type="dxa" w:w="80"/>
              <w:right w:type="dxa" w:w="100"/>
            </w:tcMar>
            <w:vAlign w:val="center"/>
          </w:tcPr>
          <w:p>
            <w:r>
              <w:rPr>
                <w:b/>
                <w:bCs/>
                <w:color w:val="FFFFFF"/>
                <w:sz w:val="18"/>
                <w:szCs w:val="18"/>
              </w:rPr>
              <w:t xml:space="preserve">Column</w:t>
            </w:r>
          </w:p>
        </w:tc>
        <w:tc>
          <w:tcPr>
            <w:tcW w:type="dxa" w:w="1600"/>
            <w:shd w:fill="1e1e1e" w:val="clear"/>
            <w:tcMar>
              <w:top w:type="dxa" w:w="80"/>
              <w:left w:type="dxa" w:w="100"/>
              <w:bottom w:type="dxa" w:w="80"/>
              <w:right w:type="dxa" w:w="100"/>
            </w:tcMar>
            <w:vAlign w:val="center"/>
          </w:tcPr>
          <w:p>
            <w:r>
              <w:rPr>
                <w:b/>
                <w:bCs/>
                <w:color w:val="FFFFFF"/>
                <w:sz w:val="18"/>
                <w:szCs w:val="18"/>
              </w:rPr>
              <w:t xml:space="preserve">Type</w:t>
            </w:r>
          </w:p>
        </w:tc>
        <w:tc>
          <w:tcPr>
            <w:tcW w:type="dxa" w:w="5800"/>
            <w:shd w:fill="1e1e1e" w:val="clear"/>
            <w:tcMar>
              <w:top w:type="dxa" w:w="80"/>
              <w:left w:type="dxa" w:w="100"/>
              <w:bottom w:type="dxa" w:w="80"/>
              <w:right w:type="dxa" w:w="100"/>
            </w:tcMar>
            <w:vAlign w:val="center"/>
          </w:tcPr>
          <w:p>
            <w:r>
              <w:rPr>
                <w:b/>
                <w:bCs/>
                <w:color w:val="FFFFFF"/>
                <w:sz w:val="18"/>
                <w:szCs w:val="18"/>
              </w:rPr>
              <w:t xml:space="preserve">Notes</w:t>
            </w:r>
          </w:p>
        </w:tc>
      </w:tr>
      <w:tr>
        <w:tc>
          <w:tcPr>
            <w:tcW w:type="dxa" w:w="2400"/>
            <w:tcMar>
              <w:top w:type="dxa" w:w="80"/>
              <w:left w:type="dxa" w:w="100"/>
              <w:bottom w:type="dxa" w:w="80"/>
              <w:right w:type="dxa" w:w="100"/>
            </w:tcMar>
            <w:vAlign w:val="center"/>
          </w:tcPr>
          <w:p>
            <w:r>
              <w:rPr>
                <w:b w:val="false"/>
                <w:bCs w:val="false"/>
                <w:sz w:val="18"/>
                <w:szCs w:val="18"/>
              </w:rPr>
              <w:t xml:space="preserve">conversation_id</w:t>
            </w:r>
          </w:p>
        </w:tc>
        <w:tc>
          <w:tcPr>
            <w:tcW w:type="dxa" w:w="1600"/>
            <w:tcMar>
              <w:top w:type="dxa" w:w="80"/>
              <w:left w:type="dxa" w:w="100"/>
              <w:bottom w:type="dxa" w:w="80"/>
              <w:right w:type="dxa" w:w="100"/>
            </w:tcMar>
            <w:vAlign w:val="center"/>
          </w:tcPr>
          <w:p>
            <w:r>
              <w:rPr>
                <w:b w:val="false"/>
                <w:bCs w:val="false"/>
                <w:sz w:val="18"/>
                <w:szCs w:val="18"/>
              </w:rPr>
              <w:t xml:space="preserve">BIGINT (PK)</w:t>
            </w:r>
          </w:p>
        </w:tc>
        <w:tc>
          <w:tcPr>
            <w:tcW w:type="dxa" w:w="5800"/>
            <w:tcMar>
              <w:top w:type="dxa" w:w="80"/>
              <w:left w:type="dxa" w:w="100"/>
              <w:bottom w:type="dxa" w:w="80"/>
              <w:right w:type="dxa" w:w="100"/>
            </w:tcMar>
            <w:vAlign w:val="center"/>
          </w:tcPr>
          <w:p>
            <w:r>
              <w:rPr>
                <w:b w:val="false"/>
                <w:bCs w:val="false"/>
                <w:sz w:val="18"/>
                <w:szCs w:val="18"/>
              </w:rPr>
              <w:t xml:space="preserve">qContact conversation id</w:t>
            </w:r>
          </w:p>
        </w:tc>
      </w:tr>
      <w:tr>
        <w:tc>
          <w:tcPr>
            <w:tcW w:type="dxa" w:w="2400"/>
            <w:tcMar>
              <w:top w:type="dxa" w:w="80"/>
              <w:left w:type="dxa" w:w="100"/>
              <w:bottom w:type="dxa" w:w="80"/>
              <w:right w:type="dxa" w:w="100"/>
            </w:tcMar>
            <w:vAlign w:val="center"/>
          </w:tcPr>
          <w:p>
            <w:r>
              <w:rPr>
                <w:b w:val="false"/>
                <w:bCs w:val="false"/>
                <w:sz w:val="18"/>
                <w:szCs w:val="18"/>
              </w:rPr>
              <w:t xml:space="preserve">report_date</w:t>
            </w:r>
          </w:p>
        </w:tc>
        <w:tc>
          <w:tcPr>
            <w:tcW w:type="dxa" w:w="1600"/>
            <w:tcMar>
              <w:top w:type="dxa" w:w="80"/>
              <w:left w:type="dxa" w:w="100"/>
              <w:bottom w:type="dxa" w:w="80"/>
              <w:right w:type="dxa" w:w="100"/>
            </w:tcMar>
            <w:vAlign w:val="center"/>
          </w:tcPr>
          <w:p>
            <w:r>
              <w:rPr>
                <w:b w:val="false"/>
                <w:bCs w:val="false"/>
                <w:sz w:val="18"/>
                <w:szCs w:val="18"/>
              </w:rPr>
              <w:t xml:space="preserve">DATE</w:t>
            </w:r>
          </w:p>
        </w:tc>
        <w:tc>
          <w:tcPr>
            <w:tcW w:type="dxa" w:w="5800"/>
            <w:tcMar>
              <w:top w:type="dxa" w:w="80"/>
              <w:left w:type="dxa" w:w="100"/>
              <w:bottom w:type="dxa" w:w="80"/>
              <w:right w:type="dxa" w:w="100"/>
            </w:tcMar>
            <w:vAlign w:val="center"/>
          </w:tcPr>
          <w:p>
            <w:r>
              <w:rPr>
                <w:b w:val="false"/>
                <w:bCs w:val="false"/>
                <w:sz w:val="18"/>
                <w:szCs w:val="18"/>
              </w:rPr>
              <w:t xml:space="preserve"/>
            </w:r>
          </w:p>
        </w:tc>
      </w:tr>
      <w:tr>
        <w:tc>
          <w:tcPr>
            <w:tcW w:type="dxa" w:w="2400"/>
            <w:tcMar>
              <w:top w:type="dxa" w:w="80"/>
              <w:left w:type="dxa" w:w="100"/>
              <w:bottom w:type="dxa" w:w="80"/>
              <w:right w:type="dxa" w:w="100"/>
            </w:tcMar>
            <w:vAlign w:val="center"/>
          </w:tcPr>
          <w:p>
            <w:r>
              <w:rPr>
                <w:b w:val="false"/>
                <w:bCs w:val="false"/>
                <w:sz w:val="18"/>
                <w:szCs w:val="18"/>
              </w:rPr>
              <w:t xml:space="preserve">contact_id</w:t>
            </w:r>
          </w:p>
        </w:tc>
        <w:tc>
          <w:tcPr>
            <w:tcW w:type="dxa" w:w="1600"/>
            <w:tcMar>
              <w:top w:type="dxa" w:w="80"/>
              <w:left w:type="dxa" w:w="100"/>
              <w:bottom w:type="dxa" w:w="80"/>
              <w:right w:type="dxa" w:w="100"/>
            </w:tcMar>
            <w:vAlign w:val="center"/>
          </w:tcPr>
          <w:p>
            <w:r>
              <w:rPr>
                <w:b w:val="false"/>
                <w:bCs w:val="false"/>
                <w:sz w:val="18"/>
                <w:szCs w:val="18"/>
              </w:rPr>
              <w:t xml:space="preserve">BIGINT NULL</w:t>
            </w:r>
          </w:p>
        </w:tc>
        <w:tc>
          <w:tcPr>
            <w:tcW w:type="dxa" w:w="5800"/>
            <w:tcMar>
              <w:top w:type="dxa" w:w="80"/>
              <w:left w:type="dxa" w:w="100"/>
              <w:bottom w:type="dxa" w:w="80"/>
              <w:right w:type="dxa" w:w="100"/>
            </w:tcMar>
            <w:vAlign w:val="center"/>
          </w:tcPr>
          <w:p>
            <w:r>
              <w:rPr>
                <w:b w:val="false"/>
                <w:bCs w:val="false"/>
                <w:sz w:val="18"/>
                <w:szCs w:val="18"/>
              </w:rPr>
              <w:t xml:space="preserve">Links multiple conversation_id rows back to one underlying customer case — see §18.3</w:t>
            </w:r>
          </w:p>
        </w:tc>
      </w:tr>
      <w:tr>
        <w:tc>
          <w:tcPr>
            <w:tcW w:type="dxa" w:w="2400"/>
            <w:tcMar>
              <w:top w:type="dxa" w:w="80"/>
              <w:left w:type="dxa" w:w="100"/>
              <w:bottom w:type="dxa" w:w="80"/>
              <w:right w:type="dxa" w:w="100"/>
            </w:tcMar>
            <w:vAlign w:val="center"/>
          </w:tcPr>
          <w:p>
            <w:r>
              <w:rPr>
                <w:b w:val="false"/>
                <w:bCs w:val="false"/>
                <w:sz w:val="18"/>
                <w:szCs w:val="18"/>
              </w:rPr>
              <w:t xml:space="preserve">user_id / agent_name</w:t>
            </w:r>
          </w:p>
        </w:tc>
        <w:tc>
          <w:tcPr>
            <w:tcW w:type="dxa" w:w="1600"/>
            <w:tcMar>
              <w:top w:type="dxa" w:w="80"/>
              <w:left w:type="dxa" w:w="100"/>
              <w:bottom w:type="dxa" w:w="80"/>
              <w:right w:type="dxa" w:w="100"/>
            </w:tcMar>
            <w:vAlign w:val="center"/>
          </w:tcPr>
          <w:p>
            <w:r>
              <w:rPr>
                <w:b w:val="false"/>
                <w:bCs w:val="false"/>
                <w:sz w:val="18"/>
                <w:szCs w:val="18"/>
              </w:rPr>
              <w:t xml:space="preserve">BIGINT / NVARCHAR(100)</w:t>
            </w:r>
          </w:p>
        </w:tc>
        <w:tc>
          <w:tcPr>
            <w:tcW w:type="dxa" w:w="5800"/>
            <w:tcMar>
              <w:top w:type="dxa" w:w="80"/>
              <w:left w:type="dxa" w:w="100"/>
              <w:bottom w:type="dxa" w:w="80"/>
              <w:right w:type="dxa" w:w="100"/>
            </w:tcMar>
            <w:vAlign w:val="center"/>
          </w:tcPr>
          <w:p>
            <w:r>
              <w:rPr>
                <w:b w:val="false"/>
                <w:bCs w:val="false"/>
                <w:sz w:val="18"/>
                <w:szCs w:val="18"/>
              </w:rPr>
              <w:t xml:space="preserve">NULL/blank when users[] is empty (automated system emails with no agent)</w:t>
            </w:r>
          </w:p>
        </w:tc>
      </w:tr>
      <w:tr>
        <w:tc>
          <w:tcPr>
            <w:tcW w:type="dxa" w:w="2400"/>
            <w:tcMar>
              <w:top w:type="dxa" w:w="80"/>
              <w:left w:type="dxa" w:w="100"/>
              <w:bottom w:type="dxa" w:w="80"/>
              <w:right w:type="dxa" w:w="100"/>
            </w:tcMar>
            <w:vAlign w:val="center"/>
          </w:tcPr>
          <w:p>
            <w:r>
              <w:rPr>
                <w:b w:val="false"/>
                <w:bCs w:val="false"/>
                <w:sz w:val="18"/>
                <w:szCs w:val="18"/>
              </w:rPr>
              <w:t xml:space="preserve">channel_type</w:t>
            </w:r>
          </w:p>
        </w:tc>
        <w:tc>
          <w:tcPr>
            <w:tcW w:type="dxa" w:w="1600"/>
            <w:tcMar>
              <w:top w:type="dxa" w:w="80"/>
              <w:left w:type="dxa" w:w="100"/>
              <w:bottom w:type="dxa" w:w="80"/>
              <w:right w:type="dxa" w:w="100"/>
            </w:tcMar>
            <w:vAlign w:val="center"/>
          </w:tcPr>
          <w:p>
            <w:r>
              <w:rPr>
                <w:b w:val="false"/>
                <w:bCs w:val="false"/>
                <w:sz w:val="18"/>
                <w:szCs w:val="18"/>
              </w:rPr>
              <w:t xml:space="preserve">NVARCHAR(20)</w:t>
            </w:r>
          </w:p>
        </w:tc>
        <w:tc>
          <w:tcPr>
            <w:tcW w:type="dxa" w:w="5800"/>
            <w:tcMar>
              <w:top w:type="dxa" w:w="80"/>
              <w:left w:type="dxa" w:w="100"/>
              <w:bottom w:type="dxa" w:w="80"/>
              <w:right w:type="dxa" w:w="100"/>
            </w:tcMar>
            <w:vAlign w:val="center"/>
          </w:tcPr>
          <w:p>
            <w:r>
              <w:rPr>
                <w:b w:val="false"/>
                <w:bCs w:val="false"/>
                <w:sz w:val="18"/>
                <w:szCs w:val="18"/>
              </w:rPr>
              <w:t xml:space="preserve">Derived from qContact's channel_types codes: 0=Voice, 3=Email, 10=WhatsApp, else 'Other'</w:t>
            </w:r>
          </w:p>
        </w:tc>
      </w:tr>
      <w:tr>
        <w:tc>
          <w:tcPr>
            <w:tcW w:type="dxa" w:w="2400"/>
            <w:tcMar>
              <w:top w:type="dxa" w:w="80"/>
              <w:left w:type="dxa" w:w="100"/>
              <w:bottom w:type="dxa" w:w="80"/>
              <w:right w:type="dxa" w:w="100"/>
            </w:tcMar>
            <w:vAlign w:val="center"/>
          </w:tcPr>
          <w:p>
            <w:r>
              <w:rPr>
                <w:b w:val="false"/>
                <w:bCs w:val="false"/>
                <w:sz w:val="18"/>
                <w:szCs w:val="18"/>
              </w:rPr>
              <w:t xml:space="preserve">ai_sentiment</w:t>
            </w:r>
          </w:p>
        </w:tc>
        <w:tc>
          <w:tcPr>
            <w:tcW w:type="dxa" w:w="1600"/>
            <w:tcMar>
              <w:top w:type="dxa" w:w="80"/>
              <w:left w:type="dxa" w:w="100"/>
              <w:bottom w:type="dxa" w:w="80"/>
              <w:right w:type="dxa" w:w="100"/>
            </w:tcMar>
            <w:vAlign w:val="center"/>
          </w:tcPr>
          <w:p>
            <w:r>
              <w:rPr>
                <w:b w:val="false"/>
                <w:bCs w:val="false"/>
                <w:sz w:val="18"/>
                <w:szCs w:val="18"/>
              </w:rPr>
              <w:t xml:space="preserve">INT NULL</w:t>
            </w:r>
          </w:p>
        </w:tc>
        <w:tc>
          <w:tcPr>
            <w:tcW w:type="dxa" w:w="5800"/>
            <w:tcMar>
              <w:top w:type="dxa" w:w="80"/>
              <w:left w:type="dxa" w:w="100"/>
              <w:bottom w:type="dxa" w:w="80"/>
              <w:right w:type="dxa" w:w="100"/>
            </w:tcMar>
            <w:vAlign w:val="center"/>
          </w:tcPr>
          <w:p>
            <w:r>
              <w:rPr>
                <w:b w:val="false"/>
                <w:bCs w:val="false"/>
                <w:sz w:val="18"/>
                <w:szCs w:val="18"/>
              </w:rPr>
              <w:t xml:space="preserve">-1 / 0 / 1 (Negative/Neutral/Positive); populated for every conversation with an ai_summary</w:t>
            </w:r>
          </w:p>
        </w:tc>
      </w:tr>
      <w:tr>
        <w:tc>
          <w:tcPr>
            <w:tcW w:type="dxa" w:w="2400"/>
            <w:tcMar>
              <w:top w:type="dxa" w:w="80"/>
              <w:left w:type="dxa" w:w="100"/>
              <w:bottom w:type="dxa" w:w="80"/>
              <w:right w:type="dxa" w:w="100"/>
            </w:tcMar>
            <w:vAlign w:val="center"/>
          </w:tcPr>
          <w:p>
            <w:r>
              <w:rPr>
                <w:b w:val="false"/>
                <w:bCs w:val="false"/>
                <w:sz w:val="18"/>
                <w:szCs w:val="18"/>
              </w:rPr>
              <w:t xml:space="preserve">csat</w:t>
            </w:r>
          </w:p>
        </w:tc>
        <w:tc>
          <w:tcPr>
            <w:tcW w:type="dxa" w:w="1600"/>
            <w:tcMar>
              <w:top w:type="dxa" w:w="80"/>
              <w:left w:type="dxa" w:w="100"/>
              <w:bottom w:type="dxa" w:w="80"/>
              <w:right w:type="dxa" w:w="100"/>
            </w:tcMar>
            <w:vAlign w:val="center"/>
          </w:tcPr>
          <w:p>
            <w:r>
              <w:rPr>
                <w:b w:val="false"/>
                <w:bCs w:val="false"/>
                <w:sz w:val="18"/>
                <w:szCs w:val="18"/>
              </w:rPr>
              <w:t xml:space="preserve">INT NULL</w:t>
            </w:r>
          </w:p>
        </w:tc>
        <w:tc>
          <w:tcPr>
            <w:tcW w:type="dxa" w:w="5800"/>
            <w:tcMar>
              <w:top w:type="dxa" w:w="80"/>
              <w:left w:type="dxa" w:w="100"/>
              <w:bottom w:type="dxa" w:w="80"/>
              <w:right w:type="dxa" w:w="100"/>
            </w:tcMar>
            <w:vAlign w:val="center"/>
          </w:tcPr>
          <w:p>
            <w:r>
              <w:rPr>
                <w:b w:val="false"/>
                <w:bCs w:val="false"/>
                <w:sz w:val="18"/>
                <w:szCs w:val="18"/>
              </w:rPr>
              <w:t xml:space="preserve">1-5, a genuine customer-completed survey rating; a SEPARATE metric from ai_sentiment, populated for only ~1% of conversations</w:t>
            </w:r>
          </w:p>
        </w:tc>
      </w:tr>
      <w:tr>
        <w:tc>
          <w:tcPr>
            <w:tcW w:type="dxa" w:w="2400"/>
            <w:tcMar>
              <w:top w:type="dxa" w:w="80"/>
              <w:left w:type="dxa" w:w="100"/>
              <w:bottom w:type="dxa" w:w="80"/>
              <w:right w:type="dxa" w:w="100"/>
            </w:tcMar>
            <w:vAlign w:val="center"/>
          </w:tcPr>
          <w:p>
            <w:r>
              <w:rPr>
                <w:b w:val="false"/>
                <w:bCs w:val="false"/>
                <w:sz w:val="18"/>
                <w:szCs w:val="18"/>
              </w:rPr>
              <w:t xml:space="preserve">ai_summary</w:t>
            </w:r>
          </w:p>
        </w:tc>
        <w:tc>
          <w:tcPr>
            <w:tcW w:type="dxa" w:w="1600"/>
            <w:tcMar>
              <w:top w:type="dxa" w:w="80"/>
              <w:left w:type="dxa" w:w="100"/>
              <w:bottom w:type="dxa" w:w="80"/>
              <w:right w:type="dxa" w:w="100"/>
            </w:tcMar>
            <w:vAlign w:val="center"/>
          </w:tcPr>
          <w:p>
            <w:r>
              <w:rPr>
                <w:b w:val="false"/>
                <w:bCs w:val="false"/>
                <w:sz w:val="18"/>
                <w:szCs w:val="18"/>
              </w:rPr>
              <w:t xml:space="preserve">NVARCHAR(MAX)</w:t>
            </w:r>
          </w:p>
        </w:tc>
        <w:tc>
          <w:tcPr>
            <w:tcW w:type="dxa" w:w="5800"/>
            <w:tcMar>
              <w:top w:type="dxa" w:w="80"/>
              <w:left w:type="dxa" w:w="100"/>
              <w:bottom w:type="dxa" w:w="80"/>
              <w:right w:type="dxa" w:w="100"/>
            </w:tcMar>
            <w:vAlign w:val="center"/>
          </w:tcPr>
          <w:p>
            <w:r>
              <w:rPr>
                <w:b w:val="false"/>
                <w:bCs w:val="false"/>
                <w:sz w:val="18"/>
                <w:szCs w:val="18"/>
              </w:rPr>
              <w:t xml:space="preserve">qContact-generated summary text</w:t>
            </w:r>
          </w:p>
        </w:tc>
      </w:tr>
      <w:tr>
        <w:tc>
          <w:tcPr>
            <w:tcW w:type="dxa" w:w="2400"/>
            <w:tcMar>
              <w:top w:type="dxa" w:w="80"/>
              <w:left w:type="dxa" w:w="100"/>
              <w:bottom w:type="dxa" w:w="80"/>
              <w:right w:type="dxa" w:w="100"/>
            </w:tcMar>
            <w:vAlign w:val="center"/>
          </w:tcPr>
          <w:p>
            <w:r>
              <w:rPr>
                <w:b w:val="false"/>
                <w:bCs w:val="false"/>
                <w:sz w:val="18"/>
                <w:szCs w:val="18"/>
              </w:rPr>
              <w:t xml:space="preserve">topic</w:t>
            </w:r>
          </w:p>
        </w:tc>
        <w:tc>
          <w:tcPr>
            <w:tcW w:type="dxa" w:w="1600"/>
            <w:tcMar>
              <w:top w:type="dxa" w:w="80"/>
              <w:left w:type="dxa" w:w="100"/>
              <w:bottom w:type="dxa" w:w="80"/>
              <w:right w:type="dxa" w:w="100"/>
            </w:tcMar>
            <w:vAlign w:val="center"/>
          </w:tcPr>
          <w:p>
            <w:r>
              <w:rPr>
                <w:b w:val="false"/>
                <w:bCs w:val="false"/>
                <w:sz w:val="18"/>
                <w:szCs w:val="18"/>
              </w:rPr>
              <w:t xml:space="preserve">NVARCHAR(100) NULL</w:t>
            </w:r>
          </w:p>
        </w:tc>
        <w:tc>
          <w:tcPr>
            <w:tcW w:type="dxa" w:w="5800"/>
            <w:tcMar>
              <w:top w:type="dxa" w:w="80"/>
              <w:left w:type="dxa" w:w="100"/>
              <w:bottom w:type="dxa" w:w="80"/>
              <w:right w:type="dxa" w:w="100"/>
            </w:tcMar>
            <w:vAlign w:val="center"/>
          </w:tcPr>
          <w:p>
            <w:r>
              <w:rPr>
                <w:b w:val="false"/>
                <w:bCs w:val="false"/>
                <w:sz w:val="18"/>
                <w:szCs w:val="18"/>
              </w:rPr>
              <w:t xml:space="preserve">Reserved for a Claude-generated short label; deliberately left unpopulated in production (see §19)</w:t>
            </w:r>
          </w:p>
        </w:tc>
      </w:tr>
      <w:tr>
        <w:tc>
          <w:tcPr>
            <w:tcW w:type="dxa" w:w="2400"/>
            <w:tcMar>
              <w:top w:type="dxa" w:w="80"/>
              <w:left w:type="dxa" w:w="100"/>
              <w:bottom w:type="dxa" w:w="80"/>
              <w:right w:type="dxa" w:w="100"/>
            </w:tcMar>
            <w:vAlign w:val="center"/>
          </w:tcPr>
          <w:p>
            <w:r>
              <w:rPr>
                <w:b w:val="false"/>
                <w:bCs w:val="false"/>
                <w:sz w:val="18"/>
                <w:szCs w:val="18"/>
              </w:rPr>
              <w:t xml:space="preserve">total_talk_time / total_wrap_time</w:t>
            </w:r>
          </w:p>
        </w:tc>
        <w:tc>
          <w:tcPr>
            <w:tcW w:type="dxa" w:w="1600"/>
            <w:tcMar>
              <w:top w:type="dxa" w:w="80"/>
              <w:left w:type="dxa" w:w="100"/>
              <w:bottom w:type="dxa" w:w="80"/>
              <w:right w:type="dxa" w:w="100"/>
            </w:tcMar>
            <w:vAlign w:val="center"/>
          </w:tcPr>
          <w:p>
            <w:r>
              <w:rPr>
                <w:b w:val="false"/>
                <w:bCs w:val="false"/>
                <w:sz w:val="18"/>
                <w:szCs w:val="18"/>
              </w:rPr>
              <w:t xml:space="preserve">INT</w:t>
            </w:r>
          </w:p>
        </w:tc>
        <w:tc>
          <w:tcPr>
            <w:tcW w:type="dxa" w:w="5800"/>
            <w:tcMar>
              <w:top w:type="dxa" w:w="80"/>
              <w:left w:type="dxa" w:w="100"/>
              <w:bottom w:type="dxa" w:w="80"/>
              <w:right w:type="dxa" w:w="100"/>
            </w:tcMar>
            <w:vAlign w:val="center"/>
          </w:tcPr>
          <w:p>
            <w:r>
              <w:rPr>
                <w:b w:val="false"/>
                <w:bCs w:val="false"/>
                <w:sz w:val="18"/>
                <w:szCs w:val="18"/>
              </w:rPr>
              <w:t xml:space="preserve">Seconds; used for Voice AHT (§21)</w:t>
            </w:r>
          </w:p>
        </w:tc>
      </w:tr>
      <w:tr>
        <w:tc>
          <w:tcPr>
            <w:tcW w:type="dxa" w:w="2400"/>
            <w:tcMar>
              <w:top w:type="dxa" w:w="80"/>
              <w:left w:type="dxa" w:w="100"/>
              <w:bottom w:type="dxa" w:w="80"/>
              <w:right w:type="dxa" w:w="100"/>
            </w:tcMar>
            <w:vAlign w:val="center"/>
          </w:tcPr>
          <w:p>
            <w:r>
              <w:rPr>
                <w:b w:val="false"/>
                <w:bCs w:val="false"/>
                <w:sz w:val="18"/>
                <w:szCs w:val="18"/>
              </w:rPr>
              <w:t xml:space="preserve">first_user_time</w:t>
            </w:r>
          </w:p>
        </w:tc>
        <w:tc>
          <w:tcPr>
            <w:tcW w:type="dxa" w:w="1600"/>
            <w:tcMar>
              <w:top w:type="dxa" w:w="80"/>
              <w:left w:type="dxa" w:w="100"/>
              <w:bottom w:type="dxa" w:w="80"/>
              <w:right w:type="dxa" w:w="100"/>
            </w:tcMar>
            <w:vAlign w:val="center"/>
          </w:tcPr>
          <w:p>
            <w:r>
              <w:rPr>
                <w:b w:val="false"/>
                <w:bCs w:val="false"/>
                <w:sz w:val="18"/>
                <w:szCs w:val="18"/>
              </w:rPr>
              <w:t xml:space="preserve">DATETIME2 NULL</w:t>
            </w:r>
          </w:p>
        </w:tc>
        <w:tc>
          <w:tcPr>
            <w:tcW w:type="dxa" w:w="5800"/>
            <w:tcMar>
              <w:top w:type="dxa" w:w="80"/>
              <w:left w:type="dxa" w:w="100"/>
              <w:bottom w:type="dxa" w:w="80"/>
              <w:right w:type="dxa" w:w="100"/>
            </w:tcMar>
            <w:vAlign w:val="center"/>
          </w:tcPr>
          <w:p>
            <w:r>
              <w:rPr>
                <w:b w:val="false"/>
                <w:bCs w:val="false"/>
                <w:sz w:val="18"/>
                <w:szCs w:val="18"/>
              </w:rPr>
              <w:t xml:space="preserve">Timestamp of the first agent action on the conversation; used for Speed-of-Reply SLA (§21)</w:t>
            </w:r>
          </w:p>
        </w:tc>
      </w:tr>
      <w:tr>
        <w:tc>
          <w:tcPr>
            <w:tcW w:type="dxa" w:w="2400"/>
            <w:tcMar>
              <w:top w:type="dxa" w:w="80"/>
              <w:left w:type="dxa" w:w="100"/>
              <w:bottom w:type="dxa" w:w="80"/>
              <w:right w:type="dxa" w:w="100"/>
            </w:tcMar>
            <w:vAlign w:val="center"/>
          </w:tcPr>
          <w:p>
            <w:r>
              <w:rPr>
                <w:b w:val="false"/>
                <w:bCs w:val="false"/>
                <w:sz w:val="18"/>
                <w:szCs w:val="18"/>
              </w:rPr>
              <w:t xml:space="preserve">start_at</w:t>
            </w:r>
          </w:p>
        </w:tc>
        <w:tc>
          <w:tcPr>
            <w:tcW w:type="dxa" w:w="1600"/>
            <w:tcMar>
              <w:top w:type="dxa" w:w="80"/>
              <w:left w:type="dxa" w:w="100"/>
              <w:bottom w:type="dxa" w:w="80"/>
              <w:right w:type="dxa" w:w="100"/>
            </w:tcMar>
            <w:vAlign w:val="center"/>
          </w:tcPr>
          <w:p>
            <w:r>
              <w:rPr>
                <w:b w:val="false"/>
                <w:bCs w:val="false"/>
                <w:sz w:val="18"/>
                <w:szCs w:val="18"/>
              </w:rPr>
              <w:t xml:space="preserve">DATETIME2 NULL</w:t>
            </w:r>
          </w:p>
        </w:tc>
        <w:tc>
          <w:tcPr>
            <w:tcW w:type="dxa" w:w="5800"/>
            <w:tcMar>
              <w:top w:type="dxa" w:w="80"/>
              <w:left w:type="dxa" w:w="100"/>
              <w:bottom w:type="dxa" w:w="80"/>
              <w:right w:type="dxa" w:w="100"/>
            </w:tcMar>
            <w:vAlign w:val="center"/>
          </w:tcPr>
          <w:p>
            <w:r>
              <w:rPr>
                <w:b w:val="false"/>
                <w:bCs w:val="false"/>
                <w:sz w:val="18"/>
                <w:szCs w:val="18"/>
              </w:rPr>
              <w:t xml:space="preserve">Conversation start; paired with first_user_time to compute reply-speed gap</w:t>
            </w:r>
          </w:p>
        </w:tc>
      </w:tr>
      <w:tr>
        <w:tc>
          <w:tcPr>
            <w:tcW w:type="dxa" w:w="2400"/>
            <w:tcMar>
              <w:top w:type="dxa" w:w="80"/>
              <w:left w:type="dxa" w:w="100"/>
              <w:bottom w:type="dxa" w:w="80"/>
              <w:right w:type="dxa" w:w="100"/>
            </w:tcMar>
            <w:vAlign w:val="center"/>
          </w:tcPr>
          <w:p>
            <w:r>
              <w:rPr>
                <w:b w:val="false"/>
                <w:bCs w:val="false"/>
                <w:sz w:val="18"/>
                <w:szCs w:val="18"/>
              </w:rPr>
              <w:t xml:space="preserve">campaign_code</w:t>
            </w:r>
          </w:p>
        </w:tc>
        <w:tc>
          <w:tcPr>
            <w:tcW w:type="dxa" w:w="1600"/>
            <w:tcMar>
              <w:top w:type="dxa" w:w="80"/>
              <w:left w:type="dxa" w:w="100"/>
              <w:bottom w:type="dxa" w:w="80"/>
              <w:right w:type="dxa" w:w="100"/>
            </w:tcMar>
            <w:vAlign w:val="center"/>
          </w:tcPr>
          <w:p>
            <w:r>
              <w:rPr>
                <w:b w:val="false"/>
                <w:bCs w:val="false"/>
                <w:sz w:val="18"/>
                <w:szCs w:val="18"/>
              </w:rPr>
              <w:t xml:space="preserve">NVARCHAR(50)</w:t>
            </w:r>
          </w:p>
        </w:tc>
        <w:tc>
          <w:tcPr>
            <w:tcW w:type="dxa" w:w="5800"/>
            <w:tcMar>
              <w:top w:type="dxa" w:w="80"/>
              <w:left w:type="dxa" w:w="100"/>
              <w:bottom w:type="dxa" w:w="80"/>
              <w:right w:type="dxa" w:w="100"/>
            </w:tcMar>
            <w:vAlign w:val="center"/>
          </w:tcPr>
          <w:p>
            <w:r>
              <w:rPr>
                <w:b w:val="false"/>
                <w:bCs w:val="false"/>
                <w:sz w:val="18"/>
                <w:szCs w:val="18"/>
              </w:rPr>
              <w:t xml:space="preserve">Always 'NADClinic' currently; added ahead of multi-campaign rollout, same pattern as mis_agent_ph_daily.CampaignCode</w:t>
            </w:r>
          </w:p>
        </w:tc>
      </w:tr>
      <w:tr>
        <w:tc>
          <w:tcPr>
            <w:tcW w:type="dxa" w:w="2400"/>
            <w:tcMar>
              <w:top w:type="dxa" w:w="80"/>
              <w:left w:type="dxa" w:w="100"/>
              <w:bottom w:type="dxa" w:w="80"/>
              <w:right w:type="dxa" w:w="100"/>
            </w:tcMar>
            <w:vAlign w:val="center"/>
          </w:tcPr>
          <w:p>
            <w:r>
              <w:rPr>
                <w:b w:val="false"/>
                <w:bCs w:val="false"/>
                <w:sz w:val="18"/>
                <w:szCs w:val="18"/>
              </w:rPr>
              <w:t xml:space="preserve">pulled_at</w:t>
            </w:r>
          </w:p>
        </w:tc>
        <w:tc>
          <w:tcPr>
            <w:tcW w:type="dxa" w:w="1600"/>
            <w:tcMar>
              <w:top w:type="dxa" w:w="80"/>
              <w:left w:type="dxa" w:w="100"/>
              <w:bottom w:type="dxa" w:w="80"/>
              <w:right w:type="dxa" w:w="100"/>
            </w:tcMar>
            <w:vAlign w:val="center"/>
          </w:tcPr>
          <w:p>
            <w:r>
              <w:rPr>
                <w:b w:val="false"/>
                <w:bCs w:val="false"/>
                <w:sz w:val="18"/>
                <w:szCs w:val="18"/>
              </w:rPr>
              <w:t xml:space="preserve">DATETIME2</w:t>
            </w:r>
          </w:p>
        </w:tc>
        <w:tc>
          <w:tcPr>
            <w:tcW w:type="dxa" w:w="5800"/>
            <w:tcMar>
              <w:top w:type="dxa" w:w="80"/>
              <w:left w:type="dxa" w:w="100"/>
              <w:bottom w:type="dxa" w:w="80"/>
              <w:right w:type="dxa" w:w="100"/>
            </w:tcMar>
            <w:vAlign w:val="center"/>
          </w:tcPr>
          <w:p>
            <w:r>
              <w:rPr>
                <w:b w:val="false"/>
                <w:bCs w:val="false"/>
                <w:sz w:val="18"/>
                <w:szCs w:val="18"/>
              </w:rPr>
              <w:t xml:space="preserve"/>
            </w:r>
          </w:p>
        </w:tc>
      </w:tr>
    </w:tbl>
    <w:p>
      <w:pPr>
        <w:spacing w:after="120"/>
      </w:pPr>
    </w:p>
    <w:p>
      <w:pPr>
        <w:pStyle w:val="Heading3"/>
        <w:spacing w:after="100" w:before="200"/>
      </w:pPr>
      <w:r>
        <w:t xml:space="preserve">18.2 New Power Automate Flows</w:t>
      </w:r>
    </w:p>
    <w:p>
      <w:pPr>
        <w:pStyle w:val="ListParagraph"/>
        <w:numPr>
          <w:ilvl w:val="0"/>
          <w:numId w:val="1"/>
        </w:numPr>
        <w:spacing w:after="60"/>
      </w:pPr>
      <w:r>
        <w:rPr>
          <w:b/>
          <w:bCs/>
        </w:rPr>
        <w:t xml:space="preserve">MIS-ConversationInsightsPull — </w:t>
      </w:r>
      <w:r>
        <w:rPr>
          <w:b w:val="false"/>
          <w:bCs w:val="false"/>
        </w:rPr>
        <w:t xml:space="preserve">One-time historical run over the full available range (2026-06-01 onward), nested date-loop then conversation-loop then upsert, identical shape to MIS-DPRBackfill (Part B §13.2).</w:t>
      </w:r>
    </w:p>
    <w:p>
      <w:pPr>
        <w:pStyle w:val="ListParagraph"/>
        <w:numPr>
          <w:ilvl w:val="0"/>
          <w:numId w:val="1"/>
        </w:numPr>
        <w:spacing w:after="60"/>
      </w:pPr>
      <w:r>
        <w:rPr>
          <w:b/>
          <w:bCs/>
        </w:rPr>
        <w:t xml:space="preserve">DailyConversationInsightsPull — </w:t>
      </w:r>
      <w:r>
        <w:rPr>
          <w:b w:val="false"/>
          <w:bCs w:val="false"/>
        </w:rPr>
        <w:t xml:space="preserve">Recurrence, daily, single day, no date loop; same per-conversation logic as the backfill.</w:t>
      </w:r>
    </w:p>
    <w:p>
      <w:pPr>
        <w:pStyle w:val="ListParagraph"/>
        <w:numPr>
          <w:ilvl w:val="0"/>
          <w:numId w:val="1"/>
        </w:numPr>
        <w:spacing w:after="60"/>
      </w:pPr>
      <w:r>
        <w:rPr>
          <w:b/>
          <w:bCs/>
        </w:rPr>
        <w:t xml:space="preserve">MIS-GET_ConversationInsights — </w:t>
      </w:r>
      <w:r>
        <w:rPr>
          <w:b w:val="false"/>
          <w:bCs w:val="false"/>
        </w:rPr>
        <w:t xml:space="preserve">HTTP-triggered, straight SELECT against mis_conversation_insights by date range / agent, feeds conversation-insights.html.</w:t>
      </w:r>
    </w:p>
    <w:p>
      <w:pPr>
        <w:pStyle w:val="ListParagraph"/>
        <w:numPr>
          <w:ilvl w:val="0"/>
          <w:numId w:val="1"/>
        </w:numPr>
        <w:spacing w:after="60"/>
      </w:pPr>
      <w:r>
        <w:rPr>
          <w:b/>
          <w:bCs/>
        </w:rPr>
        <w:t xml:space="preserve">MIS-QUERY_ConversationInsights — </w:t>
      </w:r>
      <w:r>
        <w:rPr>
          <w:b w:val="false"/>
          <w:bCs w:val="false"/>
        </w:rPr>
        <w:t xml:space="preserve">HTTP-triggered "Ask AI" backend — pulls up to 300 most recent ai_summary rows in the requested range, sends them plus the user’s free-text question to Claude in one call, returns a plain-text answer. The 300-row cap exists specifically to bound Claude’s input size/cost as conversation volume grows (see §19.3).</w:t>
      </w:r>
    </w:p>
    <w:p>
      <w:pPr>
        <w:pStyle w:val="Heading3"/>
        <w:spacing w:after="100" w:before="200"/>
      </w:pPr>
      <w:r>
        <w:t xml:space="preserve">18.3 contact_id — multi-conversation cases</w:t>
      </w:r>
    </w:p>
    <w:p>
      <w:pPr>
        <w:spacing w:after="140"/>
      </w:pPr>
      <w:r>
        <w:rPr>
          <w:b w:val="false"/>
          <w:bCs w:val="false"/>
        </w:rPr>
        <w:t xml:space="preserve">qContact frequently creates a new conversation_id for a single ongoing customer issue every time something happens on it (e.g. an automated inbound-email log entry, then a separate row when an agent actually replies minutes later) rather than one continuous conversation object. contact_id ties these fragments back to one underlying case. Confirmed directly against a real example: two conversation_id rows for the same customer, three minutes apart, sharing one contact_id — the first a 2-second automated system log of the inbound email with no agent, the second the agent’s actual reply. This is expected platform behaviour, not duplication, and every fragment is still stored as its own row (each has a genuine, useful ai_summary); contact_id is the join key for reassembling a full case when needed, and is the basis for the FCR and Top-5 Repeat metrics (§21, §20).</w:t>
      </w:r>
    </w:p>
    <w:p>
      <w:pPr>
        <w:pStyle w:val="Heading2"/>
        <w:spacing w:after="120" w:before="260"/>
      </w:pPr>
      <w:r>
        <w:t xml:space="preserve">19. Claude API Integration — Ask AI &amp; Topic Classification</w:t>
      </w:r>
    </w:p>
    <w:p>
      <w:pPr>
        <w:spacing w:after="140"/>
      </w:pPr>
      <w:r>
        <w:rPr>
          <w:b w:val="false"/>
          <w:bCs w:val="false"/>
        </w:rPr>
        <w:t xml:space="preserve">Two features call the Anthropic API (model claude-sonnet-5) directly from Power Automate HTTP actions: an ad-hoc natural-language query box on the Conversation Insights page, and a per-conversation topic-labelling step that was built, tested, and then deliberately disabled in production.</w:t>
      </w:r>
    </w:p>
    <w:p>
      <w:pPr>
        <w:pStyle w:val="Heading3"/>
        <w:spacing w:after="100" w:before="200"/>
      </w:pPr>
      <w:r>
        <w:t xml:space="preserve">19.1 Extended thinking consumed the entire output budget — the single most costly lesson of this build</w:t>
      </w:r>
    </w:p>
    <w:p>
      <w:pPr>
        <w:spacing w:after="140"/>
      </w:pPr>
      <w:r>
        <w:rPr>
          <w:b w:val="false"/>
          <w:bCs w:val="false"/>
        </w:rPr>
        <w:t xml:space="preserve">claude-sonnet-5 performs adaptive internal reasoning by default, and that reasoning is billed against the same max_tokens ceiling as the visible answer. On several classification/summarisation calls, the model spent its entire token budget thinking and returned a response containing only a "thinking" content block with stop_reason: "max_tokens" — zero characters of an actual answer, which then broke every downstream Parse JSON / trim() step expecting text. This happened at 1024 tokens (Ask AI, moderate input), then again at 2000 and 4000 tokens on Top 5’s Email slice, and again at 8000 tokens on a Repeat-driver call with a 55,000-token input before it was finally traced to its root cause.</w:t>
      </w:r>
    </w:p>
    <w:p>
      <w:pPr>
        <w:spacing w:after="140"/>
      </w:pPr>
      <w:r>
        <w:rPr>
          <w:b w:val="false"/>
          <w:bCs w:val="false"/>
        </w:rPr>
        <w:t xml:space="preserve">Fix actually adopted: add "thinking": {"type": "disabled"} to every classification-style HTTP call’s request body. For a bounded, non-open-ended task like "sort these summaries into these 12 buckets," extended reasoning adds cost and failure risk without adding accuracy. With thinking disabled, 2000 max_tokens is comfortably sufficient even for the largest (Email/Repeat) daily batches. A secondary defensive fix was also kept in place regardless: AnswerText/Topic compose steps use last(body(’Parse_JSON’)?[’content’])?[’text’] rather than first(...), since a thinking block (when present) always precedes the text block in the content array, never follows it.</w:t>
      </w:r>
    </w:p>
    <w:p>
      <w:pPr>
        <w:shd w:fill="f4f4f2" w:val="clear"/>
        <w:spacing w:after="140" w:before="60"/>
        <w:ind w:left="120" w:right="120"/>
      </w:pPr>
      <w:r>
        <w:rPr>
          <w:rFonts w:ascii="Consolas" w:hAnsi="Consolas"/>
          <w:b w:val="false"/>
          <w:bCs w:val="false"/>
          <w:sz w:val="18"/>
          <w:szCs w:val="18"/>
        </w:rPr>
        <w:t xml:space="preserve">{</w:t>
      </w:r>
      <w:r>
        <w:br/>
      </w:r>
      <w:r>
        <w:rPr>
          <w:rFonts w:ascii="Consolas" w:hAnsi="Consolas"/>
          <w:b w:val="false"/>
          <w:bCs w:val="false"/>
          <w:sz w:val="18"/>
          <w:szCs w:val="18"/>
        </w:rPr>
        <w:t xml:space="preserve">  "model": "claude-sonnet-5",</w:t>
      </w:r>
      <w:r>
        <w:br/>
      </w:r>
      <w:r>
        <w:rPr>
          <w:rFonts w:ascii="Consolas" w:hAnsi="Consolas"/>
          <w:b w:val="false"/>
          <w:bCs w:val="false"/>
          <w:sz w:val="18"/>
          <w:szCs w:val="18"/>
        </w:rPr>
        <w:t xml:space="preserve">  "max_tokens": 2000,</w:t>
      </w:r>
      <w:r>
        <w:br/>
      </w:r>
      <w:r>
        <w:rPr>
          <w:rFonts w:ascii="Consolas" w:hAnsi="Consolas"/>
          <w:b w:val="false"/>
          <w:bCs w:val="false"/>
          <w:sz w:val="18"/>
          <w:szCs w:val="18"/>
        </w:rPr>
        <w:t xml:space="preserve">  "thinking": { "type": "disabled" },</w:t>
      </w:r>
      <w:r>
        <w:br/>
      </w:r>
      <w:r>
        <w:rPr>
          <w:rFonts w:ascii="Consolas" w:hAnsi="Consolas"/>
          <w:b w:val="false"/>
          <w:bCs w:val="false"/>
          <w:sz w:val="18"/>
          <w:szCs w:val="18"/>
        </w:rPr>
        <w:t xml:space="preserve">  "messages": [ { "role": "user", "content": "..." } ]</w:t>
      </w:r>
      <w:r>
        <w:br/>
      </w:r>
      <w:r>
        <w:rPr>
          <w:rFonts w:ascii="Consolas" w:hAnsi="Consolas"/>
          <w:b w:val="false"/>
          <w:bCs w:val="false"/>
          <w:sz w:val="18"/>
          <w:szCs w:val="18"/>
        </w:rPr>
        <w:t xml:space="preserve">}</w:t>
      </w:r>
    </w:p>
    <w:p>
      <w:pPr>
        <w:pStyle w:val="Heading3"/>
        <w:spacing w:after="100" w:before="200"/>
      </w:pPr>
      <w:r>
        <w:t xml:space="preserve">19.2 Topic classification — built, tested, deliberately paused</w:t>
      </w:r>
    </w:p>
    <w:p>
      <w:pPr>
        <w:spacing w:after="140"/>
      </w:pPr>
      <w:r>
        <w:rPr>
          <w:b w:val="false"/>
          <w:bCs w:val="false"/>
        </w:rPr>
        <w:t xml:space="preserve">A per-conversation Claude call generating a short 2-4 word topic label (e.g. "Subscription Reactivation Pricing") was fully built and validated against real data — topics read naturally and matched conversation content correctly. It was removed from the production pipeline (topic column left NULL) after repeated failures during testing traced to the flow’s Anthropic account running out of prepaid credit under sustained testing volume, combined with the thinking-token cost described in §19.1. Re-enabling this is a bounded, well-understood task (the working prompt/parse/insert pattern is documented and can be re-added to both Conversation Insights pull flows) once billing headroom is confirmed — see §26.</w:t>
      </w:r>
    </w:p>
    <w:p>
      <w:pPr>
        <w:pStyle w:val="Heading3"/>
        <w:spacing w:after="100" w:before="200"/>
      </w:pPr>
      <w:r>
        <w:t xml:space="preserve">19.3 Ask AI — cost and scope control</w:t>
      </w:r>
    </w:p>
    <w:p>
      <w:pPr>
        <w:spacing w:after="140"/>
      </w:pPr>
      <w:r>
        <w:rPr>
          <w:b w:val="false"/>
          <w:bCs w:val="false"/>
        </w:rPr>
        <w:t xml:space="preserve">MIS-QUERY_ConversationInsights caps its SQL pull at TOP 300 most recent conversations in the requested range before sending anything to Claude, agreed explicitly as a statistically-reasonable ceiling rather than sending unbounded history — a genuinely large range without a cap was the direct cause of the 55,000-input-token / full-thinking-budget failure noted in §19.1. Real-world cost at claude-sonnet-5 intro pricing (US$2/M input, US$10/M output) is negligible for this workload — a full historical backfill of ~4,000 conversations’ worth of topic-classification calls was estimated at roughly US$2-US$3 total; a small monthly spend cap on the Anthropic account is nonetheless recommended purely as a runaway-loop safeguard, not because the expected cost is a concern.</w:t>
      </w:r>
    </w:p>
    <w:p>
      <w:pPr>
        <w:pStyle w:val="Heading2"/>
        <w:spacing w:after="120" w:before="260"/>
      </w:pPr>
      <w:r>
        <w:t xml:space="preserve">20. Top 5 Contact Drivers Module</w:t>
      </w:r>
    </w:p>
    <w:p>
      <w:pPr>
        <w:spacing w:after="140"/>
      </w:pPr>
      <w:r>
        <w:rPr>
          <w:b w:val="false"/>
          <w:bCs w:val="false"/>
        </w:rPr>
        <w:t xml:space="preserve">A daily job that classifies the previous day’s conversations into a fixed set of business categories across five independent slices (Voice, WhatsApp, Email, Dissatisfaction, Repeat-contact), so day/week/month rollups stack cleanly instead of drifting under free-form AI-generated labels.</w:t>
      </w:r>
    </w:p>
    <w:p>
      <w:pPr>
        <w:pStyle w:val="Heading3"/>
        <w:spacing w:after="100" w:before="200"/>
      </w:pPr>
      <w:r>
        <w:t xml:space="preserve">20.1 Fixed category list</w:t>
      </w:r>
    </w:p>
    <w:p>
      <w:pPr>
        <w:spacing w:after="140"/>
      </w:pPr>
      <w:r>
        <w:rPr>
          <w:b w:val="false"/>
          <w:bCs w:val="false"/>
        </w:rPr>
        <w:t xml:space="preserve">Claude is instructed to classify every summary into exactly one of twelve fixed categories (Subscription Cancellation, Subscription/Order Reactivation, Delivery Delay / Tracking, Missing or Incorrect Order Item, Payment / Billing Issue, Product Quality / Damage Complaint, Address / Order Detail Update, Refund Request, Phishing / Security Concern, Product Information Inquiry, Case Status / Resolution Follow-up, Other) — never a freely-generated label — specifically so that a day’s "Delivery Delay / Tracking" count can be summed against another day’s under the same label. A short, free-text context_note per category (e.g. "UK heatwave driving delivery delays") is stored alongside the count for the "why," without polluting the stacked totals.</w:t>
      </w:r>
    </w:p>
    <w:p>
      <w:pPr>
        <w:pStyle w:val="Heading3"/>
        <w:spacing w:after="100" w:before="200"/>
      </w:pPr>
      <w:r>
        <w:t xml:space="preserve">20.2 mis_top5_daily (new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800"/>
        <w:gridCol w:w="1300"/>
        <w:gridCol w:w="1700"/>
      </w:tblGrid>
      <w:tr>
        <w:trPr>
          <w:tblHeader/>
        </w:trPr>
        <w:tc>
          <w:tcPr>
            <w:tcW w:type="dxa" w:w="2400"/>
            <w:shd w:fill="1e1e1e" w:val="clear"/>
            <w:tcMar>
              <w:top w:type="dxa" w:w="80"/>
              <w:left w:type="dxa" w:w="100"/>
              <w:bottom w:type="dxa" w:w="80"/>
              <w:right w:type="dxa" w:w="100"/>
            </w:tcMar>
            <w:vAlign w:val="center"/>
          </w:tcPr>
          <w:p>
            <w:r>
              <w:rPr>
                <w:b/>
                <w:bCs/>
                <w:color w:val="FFFFFF"/>
                <w:sz w:val="18"/>
                <w:szCs w:val="18"/>
              </w:rPr>
              <w:t xml:space="preserve">Column</w:t>
            </w:r>
          </w:p>
        </w:tc>
        <w:tc>
          <w:tcPr>
            <w:tcW w:type="dxa" w:w="1600"/>
            <w:shd w:fill="1e1e1e" w:val="clear"/>
            <w:tcMar>
              <w:top w:type="dxa" w:w="80"/>
              <w:left w:type="dxa" w:w="100"/>
              <w:bottom w:type="dxa" w:w="80"/>
              <w:right w:type="dxa" w:w="100"/>
            </w:tcMar>
            <w:vAlign w:val="center"/>
          </w:tcPr>
          <w:p>
            <w:r>
              <w:rPr>
                <w:b/>
                <w:bCs/>
                <w:color w:val="FFFFFF"/>
                <w:sz w:val="18"/>
                <w:szCs w:val="18"/>
              </w:rPr>
              <w:t xml:space="preserve">Type</w:t>
            </w:r>
          </w:p>
        </w:tc>
        <w:tc>
          <w:tcPr>
            <w:tcW w:type="dxa" w:w="2800"/>
            <w:shd w:fill="1e1e1e" w:val="clear"/>
            <w:tcMar>
              <w:top w:type="dxa" w:w="80"/>
              <w:left w:type="dxa" w:w="100"/>
              <w:bottom w:type="dxa" w:w="80"/>
              <w:right w:type="dxa" w:w="100"/>
            </w:tcMar>
            <w:vAlign w:val="center"/>
          </w:tcPr>
          <w:p>
            <w:r>
              <w:rPr>
                <w:b/>
                <w:bCs/>
                <w:color w:val="FFFFFF"/>
                <w:sz w:val="18"/>
                <w:szCs w:val="18"/>
              </w:rPr>
              <w:t xml:space="preserve">Notes</w:t>
            </w:r>
          </w:p>
        </w:tc>
      </w:tr>
      <w:tr>
        <w:tc>
          <w:tcPr>
            <w:tcW w:type="dxa" w:w="2400"/>
            <w:tcMar>
              <w:top w:type="dxa" w:w="80"/>
              <w:left w:type="dxa" w:w="100"/>
              <w:bottom w:type="dxa" w:w="80"/>
              <w:right w:type="dxa" w:w="100"/>
            </w:tcMar>
            <w:vAlign w:val="center"/>
          </w:tcPr>
          <w:p>
            <w:r>
              <w:rPr>
                <w:b w:val="false"/>
                <w:bCs w:val="false"/>
                <w:sz w:val="18"/>
                <w:szCs w:val="18"/>
              </w:rPr>
              <w:t xml:space="preserve">report_date</w:t>
            </w:r>
          </w:p>
        </w:tc>
        <w:tc>
          <w:tcPr>
            <w:tcW w:type="dxa" w:w="1600"/>
            <w:tcMar>
              <w:top w:type="dxa" w:w="80"/>
              <w:left w:type="dxa" w:w="100"/>
              <w:bottom w:type="dxa" w:w="80"/>
              <w:right w:type="dxa" w:w="100"/>
            </w:tcMar>
            <w:vAlign w:val="center"/>
          </w:tcPr>
          <w:p>
            <w:r>
              <w:rPr>
                <w:b w:val="false"/>
                <w:bCs w:val="false"/>
                <w:sz w:val="18"/>
                <w:szCs w:val="18"/>
              </w:rPr>
              <w:t xml:space="preserve">DATE</w:t>
            </w:r>
          </w:p>
        </w:tc>
        <w:tc>
          <w:tcPr>
            <w:tcW w:type="dxa" w:w="2800"/>
            <w:tcMar>
              <w:top w:type="dxa" w:w="80"/>
              <w:left w:type="dxa" w:w="100"/>
              <w:bottom w:type="dxa" w:w="80"/>
              <w:right w:type="dxa" w:w="100"/>
            </w:tcMar>
            <w:vAlign w:val="center"/>
          </w:tcPr>
          <w:p>
            <w:r>
              <w:rPr>
                <w:b w:val="false"/>
                <w:bCs w:val="false"/>
                <w:sz w:val="18"/>
                <w:szCs w:val="18"/>
              </w:rPr>
              <w:t xml:space="preserve"/>
            </w:r>
          </w:p>
        </w:tc>
      </w:tr>
      <w:tr>
        <w:tc>
          <w:tcPr>
            <w:tcW w:type="dxa" w:w="2400"/>
            <w:tcMar>
              <w:top w:type="dxa" w:w="80"/>
              <w:left w:type="dxa" w:w="100"/>
              <w:bottom w:type="dxa" w:w="80"/>
              <w:right w:type="dxa" w:w="100"/>
            </w:tcMar>
            <w:vAlign w:val="center"/>
          </w:tcPr>
          <w:p>
            <w:r>
              <w:rPr>
                <w:b w:val="false"/>
                <w:bCs w:val="false"/>
                <w:sz w:val="18"/>
                <w:szCs w:val="18"/>
              </w:rPr>
              <w:t xml:space="preserve">slice</w:t>
            </w:r>
          </w:p>
        </w:tc>
        <w:tc>
          <w:tcPr>
            <w:tcW w:type="dxa" w:w="1600"/>
            <w:tcMar>
              <w:top w:type="dxa" w:w="80"/>
              <w:left w:type="dxa" w:w="100"/>
              <w:bottom w:type="dxa" w:w="80"/>
              <w:right w:type="dxa" w:w="100"/>
            </w:tcMar>
            <w:vAlign w:val="center"/>
          </w:tcPr>
          <w:p>
            <w:r>
              <w:rPr>
                <w:b w:val="false"/>
                <w:bCs w:val="false"/>
                <w:sz w:val="18"/>
                <w:szCs w:val="18"/>
              </w:rPr>
              <w:t xml:space="preserve">NVARCHAR(20)</w:t>
            </w:r>
          </w:p>
        </w:tc>
        <w:tc>
          <w:tcPr>
            <w:tcW w:type="dxa" w:w="2800"/>
            <w:tcMar>
              <w:top w:type="dxa" w:w="80"/>
              <w:left w:type="dxa" w:w="100"/>
              <w:bottom w:type="dxa" w:w="80"/>
              <w:right w:type="dxa" w:w="100"/>
            </w:tcMar>
            <w:vAlign w:val="center"/>
          </w:tcPr>
          <w:p>
            <w:r>
              <w:rPr>
                <w:b w:val="false"/>
                <w:bCs w:val="false"/>
                <w:sz w:val="18"/>
                <w:szCs w:val="18"/>
              </w:rPr>
              <w:t xml:space="preserve">'voice' / 'whatsapp' / 'email' / 'dissatisfaction' / 'repeat'</w:t>
            </w:r>
          </w:p>
        </w:tc>
      </w:tr>
      <w:tr>
        <w:tc>
          <w:tcPr>
            <w:tcW w:type="dxa" w:w="2400"/>
            <w:tcMar>
              <w:top w:type="dxa" w:w="80"/>
              <w:left w:type="dxa" w:w="100"/>
              <w:bottom w:type="dxa" w:w="80"/>
              <w:right w:type="dxa" w:w="100"/>
            </w:tcMar>
            <w:vAlign w:val="center"/>
          </w:tcPr>
          <w:p>
            <w:r>
              <w:rPr>
                <w:b w:val="false"/>
                <w:bCs w:val="false"/>
                <w:sz w:val="18"/>
                <w:szCs w:val="18"/>
              </w:rPr>
              <w:t xml:space="preserve">reason_label</w:t>
            </w:r>
          </w:p>
        </w:tc>
        <w:tc>
          <w:tcPr>
            <w:tcW w:type="dxa" w:w="1600"/>
            <w:tcMar>
              <w:top w:type="dxa" w:w="80"/>
              <w:left w:type="dxa" w:w="100"/>
              <w:bottom w:type="dxa" w:w="80"/>
              <w:right w:type="dxa" w:w="100"/>
            </w:tcMar>
            <w:vAlign w:val="center"/>
          </w:tcPr>
          <w:p>
            <w:r>
              <w:rPr>
                <w:b w:val="false"/>
                <w:bCs w:val="false"/>
                <w:sz w:val="18"/>
                <w:szCs w:val="18"/>
              </w:rPr>
              <w:t xml:space="preserve">NVARCHAR(60)</w:t>
            </w:r>
          </w:p>
        </w:tc>
        <w:tc>
          <w:tcPr>
            <w:tcW w:type="dxa" w:w="2800"/>
            <w:tcMar>
              <w:top w:type="dxa" w:w="80"/>
              <w:left w:type="dxa" w:w="100"/>
              <w:bottom w:type="dxa" w:w="80"/>
              <w:right w:type="dxa" w:w="100"/>
            </w:tcMar>
            <w:vAlign w:val="center"/>
          </w:tcPr>
          <w:p>
            <w:r>
              <w:rPr>
                <w:b w:val="false"/>
                <w:bCs w:val="false"/>
                <w:sz w:val="18"/>
                <w:szCs w:val="18"/>
              </w:rPr>
              <w:t xml:space="preserve">One of the twelve fixed categories §20.1</w:t>
            </w:r>
          </w:p>
        </w:tc>
      </w:tr>
      <w:tr>
        <w:tc>
          <w:tcPr>
            <w:tcW w:type="dxa" w:w="2400"/>
            <w:tcMar>
              <w:top w:type="dxa" w:w="80"/>
              <w:left w:type="dxa" w:w="100"/>
              <w:bottom w:type="dxa" w:w="80"/>
              <w:right w:type="dxa" w:w="100"/>
            </w:tcMar>
            <w:vAlign w:val="center"/>
          </w:tcPr>
          <w:p>
            <w:r>
              <w:rPr>
                <w:b w:val="false"/>
                <w:bCs w:val="false"/>
                <w:sz w:val="18"/>
                <w:szCs w:val="18"/>
              </w:rPr>
              <w:t xml:space="preserve">mention_count</w:t>
            </w:r>
          </w:p>
        </w:tc>
        <w:tc>
          <w:tcPr>
            <w:tcW w:type="dxa" w:w="1600"/>
            <w:tcMar>
              <w:top w:type="dxa" w:w="80"/>
              <w:left w:type="dxa" w:w="100"/>
              <w:bottom w:type="dxa" w:w="80"/>
              <w:right w:type="dxa" w:w="100"/>
            </w:tcMar>
            <w:vAlign w:val="center"/>
          </w:tcPr>
          <w:p>
            <w:r>
              <w:rPr>
                <w:b w:val="false"/>
                <w:bCs w:val="false"/>
                <w:sz w:val="18"/>
                <w:szCs w:val="18"/>
              </w:rPr>
              <w:t xml:space="preserve">INT</w:t>
            </w:r>
          </w:p>
        </w:tc>
        <w:tc>
          <w:tcPr>
            <w:tcW w:type="dxa" w:w="2800"/>
            <w:tcMar>
              <w:top w:type="dxa" w:w="80"/>
              <w:left w:type="dxa" w:w="100"/>
              <w:bottom w:type="dxa" w:w="80"/>
              <w:right w:type="dxa" w:w="100"/>
            </w:tcMar>
            <w:vAlign w:val="center"/>
          </w:tcPr>
          <w:p>
            <w:r>
              <w:rPr>
                <w:b w:val="false"/>
                <w:bCs w:val="false"/>
                <w:sz w:val="18"/>
                <w:szCs w:val="18"/>
              </w:rPr>
              <w:t xml:space="preserve"/>
            </w:r>
          </w:p>
        </w:tc>
      </w:tr>
      <w:tr>
        <w:tc>
          <w:tcPr>
            <w:tcW w:type="dxa" w:w="2400"/>
            <w:tcMar>
              <w:top w:type="dxa" w:w="80"/>
              <w:left w:type="dxa" w:w="100"/>
              <w:bottom w:type="dxa" w:w="80"/>
              <w:right w:type="dxa" w:w="100"/>
            </w:tcMar>
            <w:vAlign w:val="center"/>
          </w:tcPr>
          <w:p>
            <w:r>
              <w:rPr>
                <w:b w:val="false"/>
                <w:bCs w:val="false"/>
                <w:sz w:val="18"/>
                <w:szCs w:val="18"/>
              </w:rPr>
              <w:t xml:space="preserve">context_note</w:t>
            </w:r>
          </w:p>
        </w:tc>
        <w:tc>
          <w:tcPr>
            <w:tcW w:type="dxa" w:w="1600"/>
            <w:tcMar>
              <w:top w:type="dxa" w:w="80"/>
              <w:left w:type="dxa" w:w="100"/>
              <w:bottom w:type="dxa" w:w="80"/>
              <w:right w:type="dxa" w:w="100"/>
            </w:tcMar>
            <w:vAlign w:val="center"/>
          </w:tcPr>
          <w:p>
            <w:r>
              <w:rPr>
                <w:b w:val="false"/>
                <w:bCs w:val="false"/>
                <w:sz w:val="18"/>
                <w:szCs w:val="18"/>
              </w:rPr>
              <w:t xml:space="preserve">NVARCHAR(500) NULL</w:t>
            </w:r>
          </w:p>
        </w:tc>
        <w:tc>
          <w:tcPr>
            <w:tcW w:type="dxa" w:w="2800"/>
            <w:tcMar>
              <w:top w:type="dxa" w:w="80"/>
              <w:left w:type="dxa" w:w="100"/>
              <w:bottom w:type="dxa" w:w="80"/>
              <w:right w:type="dxa" w:w="100"/>
            </w:tcMar>
            <w:vAlign w:val="center"/>
          </w:tcPr>
          <w:p>
            <w:r>
              <w:rPr>
                <w:b w:val="false"/>
                <w:bCs w:val="false"/>
                <w:sz w:val="18"/>
                <w:szCs w:val="18"/>
              </w:rPr>
              <w:t xml:space="preserve"/>
            </w:r>
          </w:p>
        </w:tc>
      </w:tr>
      <w:tr>
        <w:tc>
          <w:tcPr>
            <w:tcW w:type="dxa" w:w="2400"/>
            <w:tcMar>
              <w:top w:type="dxa" w:w="80"/>
              <w:left w:type="dxa" w:w="100"/>
              <w:bottom w:type="dxa" w:w="80"/>
              <w:right w:type="dxa" w:w="100"/>
            </w:tcMar>
            <w:vAlign w:val="center"/>
          </w:tcPr>
          <w:p>
            <w:r>
              <w:rPr>
                <w:b w:val="false"/>
                <w:bCs w:val="false"/>
                <w:sz w:val="18"/>
                <w:szCs w:val="18"/>
              </w:rPr>
              <w:t xml:space="preserve">pulled_at</w:t>
            </w:r>
          </w:p>
        </w:tc>
        <w:tc>
          <w:tcPr>
            <w:tcW w:type="dxa" w:w="1600"/>
            <w:tcMar>
              <w:top w:type="dxa" w:w="80"/>
              <w:left w:type="dxa" w:w="100"/>
              <w:bottom w:type="dxa" w:w="80"/>
              <w:right w:type="dxa" w:w="100"/>
            </w:tcMar>
            <w:vAlign w:val="center"/>
          </w:tcPr>
          <w:p>
            <w:r>
              <w:rPr>
                <w:b w:val="false"/>
                <w:bCs w:val="false"/>
                <w:sz w:val="18"/>
                <w:szCs w:val="18"/>
              </w:rPr>
              <w:t xml:space="preserve">DATETIME2</w:t>
            </w:r>
          </w:p>
        </w:tc>
        <w:tc>
          <w:tcPr>
            <w:tcW w:type="dxa" w:w="2800"/>
            <w:tcMar>
              <w:top w:type="dxa" w:w="80"/>
              <w:left w:type="dxa" w:w="100"/>
              <w:bottom w:type="dxa" w:w="80"/>
              <w:right w:type="dxa" w:w="100"/>
            </w:tcMar>
            <w:vAlign w:val="center"/>
          </w:tcPr>
          <w:p>
            <w:r>
              <w:rPr>
                <w:b w:val="false"/>
                <w:bCs w:val="false"/>
                <w:sz w:val="18"/>
                <w:szCs w:val="18"/>
              </w:rPr>
              <w:t xml:space="preserve"/>
            </w:r>
          </w:p>
        </w:tc>
      </w:tr>
    </w:tbl>
    <w:p>
      <w:pPr>
        <w:spacing w:after="120"/>
      </w:pPr>
    </w:p>
    <w:p>
      <w:pPr>
        <w:pStyle w:val="Heading3"/>
        <w:spacing w:after="100" w:before="200"/>
      </w:pPr>
      <w:r>
        <w:t xml:space="preserve">20.3 MIS-Top5DailyPull — structure</w:t>
      </w:r>
    </w:p>
    <w:p>
      <w:pPr>
        <w:spacing w:after="140"/>
      </w:pPr>
      <w:r>
        <w:rPr>
          <w:b w:val="false"/>
          <w:bCs w:val="false"/>
        </w:rPr>
        <w:t xml:space="preserve">Recurrence, daily at 06:00 UK local. One flow, five near-identical parallel lanes, each following the same sequence:</w:t>
      </w:r>
    </w:p>
    <w:p>
      <w:pPr>
        <w:pStyle w:val="ListParagraph"/>
        <w:numPr>
          <w:ilvl w:val="0"/>
          <w:numId w:val="1"/>
        </w:numPr>
        <w:spacing w:after="60"/>
      </w:pPr>
      <w:r>
        <w:rPr>
          <w:b w:val="false"/>
          <w:bCs w:val="false"/>
        </w:rPr>
        <w:t xml:space="preserve">SQL_&lt;Slice&gt; — pulls ai_summary text for that slice/date (Voice/WhatsApp/Email: single-day, channel_type filter; Dissatisfaction: single-day, ai_sentiment = -1; Repeat: trailing 7-calendar-day window, joined against contact_id groups with COUNT(*) &gt; 1, capped at TOP 300 — see §19.3).</w:t>
      </w:r>
    </w:p>
    <w:p>
      <w:pPr>
        <w:pStyle w:val="ListParagraph"/>
        <w:numPr>
          <w:ilvl w:val="0"/>
          <w:numId w:val="1"/>
        </w:numPr>
        <w:spacing w:after="60"/>
      </w:pPr>
      <w:r>
        <w:rPr>
          <w:b w:val="false"/>
          <w:bCs w:val="false"/>
        </w:rPr>
        <w:t xml:space="preserve">Has&lt;Slice&gt;Data (Condition) — length(coalesce(body(’SQL_...’)?[’resultsets’]?[’Table1’], json(’[]’))) &gt; 0. A plain length() on a genuinely NULL resultset (as opposed to an empty array) throws rather than evaluating false; coalesce() to an empty JSON array first is required. This guard, and everything after it, must sit strictly inside the corresponding Select action’s branch — see §25.</w:t>
      </w:r>
    </w:p>
    <w:p>
      <w:pPr>
        <w:pStyle w:val="ListParagraph"/>
        <w:numPr>
          <w:ilvl w:val="0"/>
          <w:numId w:val="1"/>
        </w:numPr>
        <w:spacing w:after="60"/>
      </w:pPr>
      <w:r>
        <w:rPr>
          <w:b w:val="false"/>
          <w:bCs w:val="false"/>
        </w:rPr>
        <w:t xml:space="preserve">Select_&lt;Slice&gt; (inside the True branch only) → PromptText_&lt;Slice&gt; → HTTP (Claude, thinking disabled, §19.1) → Parse JSON → AnswerText (last(...), §19.1) → Parse JSON &lt;Slice&gt;Results.</w:t>
      </w:r>
    </w:p>
    <w:p>
      <w:pPr>
        <w:pStyle w:val="ListParagraph"/>
        <w:numPr>
          <w:ilvl w:val="0"/>
          <w:numId w:val="1"/>
        </w:numPr>
        <w:spacing w:after="60"/>
      </w:pPr>
      <w:r>
        <w:rPr>
          <w:b w:val="false"/>
          <w:bCs w:val="false"/>
        </w:rPr>
        <w:t xml:space="preserve">DeleteExisting_&lt;Slice&gt; — DELETE FROM mis_top5_daily WHERE report_date=... AND slice=’...’, run before the insert loop so every run of the flow cleanly replaces that slice/date rather than appending — see §25 for the bug this was fixing.</w:t>
      </w:r>
    </w:p>
    <w:p>
      <w:pPr>
        <w:pStyle w:val="ListParagraph"/>
        <w:numPr>
          <w:ilvl w:val="0"/>
          <w:numId w:val="1"/>
        </w:numPr>
        <w:spacing w:after="60"/>
      </w:pPr>
      <w:r>
        <w:rPr>
          <w:b w:val="false"/>
          <w:bCs w:val="false"/>
        </w:rPr>
        <w:t xml:space="preserve">Apply to each &lt;Slice&gt;Result → InsertTop5Row_&lt;Slice&gt; — a MERGE keyed on (report_date, slice, reason_label) that ADDS mention_count on a match rather than a plain INSERT, so that if Claude’s own JSON response ever lists the same category twice in one answer (observed in production — see §25), the two entries are combined into one correct row instead of creating a duplicate.</w:t>
      </w:r>
    </w:p>
    <w:p>
      <w:pPr>
        <w:spacing w:after="140"/>
      </w:pPr>
      <w:r>
        <w:rPr>
          <w:b w:val="false"/>
          <w:bCs w:val="false"/>
        </w:rPr>
        <w:t xml:space="preserve">Validated end to end on 2026-07-20 real data across all five slices, including a full, successful Repeat-slice run once Anthropic billing was restored and the query was capped at TOP 300 (§19.3).</w:t>
      </w:r>
    </w:p>
    <w:p>
      <w:pPr>
        <w:pStyle w:val="Heading2"/>
        <w:spacing w:after="120" w:before="260"/>
      </w:pPr>
      <w:r>
        <w:t xml:space="preserve">21. SLA Report Rebuild (MIS-GetSLAReport)</w:t>
      </w:r>
    </w:p>
    <w:p>
      <w:pPr>
        <w:spacing w:after="140"/>
      </w:pPr>
      <w:r>
        <w:rPr>
          <w:b w:val="false"/>
          <w:bCs w:val="false"/>
        </w:rPr>
        <w:t xml:space="preserve">A pre-existing flow, MIS-GetSLAReport, was discovered already built and querying three legacy tables (mis_queue_answered, mis_conversation_history, mis_user_productivity) that had silently stopped receiving new data around 2026-07-03/04 — traced to the MIS-EmailIngestion flow being disabled (§22). Rather than build a new SLA flow, the existing one was repointed at mis_conversation_insights (§18), which by this point already carried everything needed except start_at (added specifically to enable this — §18.1).</w:t>
      </w:r>
    </w:p>
    <w:p>
      <w:pPr>
        <w:pStyle w:val="Heading3"/>
        <w:spacing w:after="100" w:before="200"/>
      </w:pPr>
      <w:r>
        <w:t xml:space="preserve">21.1 Metrics rebuilt against mis_conversation_insights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5100"/>
      </w:tblGrid>
      <w:tr>
        <w:trPr>
          <w:tblHeader/>
        </w:trPr>
        <w:tc>
          <w:tcPr>
            <w:tcW w:type="dxa" w:w="2300"/>
            <w:shd w:fill="1e1e1e" w:val="clear"/>
            <w:tcMar>
              <w:top w:type="dxa" w:w="80"/>
              <w:left w:type="dxa" w:w="100"/>
              <w:bottom w:type="dxa" w:w="80"/>
              <w:right w:type="dxa" w:w="100"/>
            </w:tcMar>
            <w:vAlign w:val="center"/>
          </w:tcPr>
          <w:p>
            <w:r>
              <w:rPr>
                <w:b/>
                <w:bCs/>
                <w:color w:val="FFFFFF"/>
                <w:sz w:val="18"/>
                <w:szCs w:val="18"/>
              </w:rPr>
              <w:t xml:space="preserve">Metric</w:t>
            </w:r>
          </w:p>
        </w:tc>
        <w:tc>
          <w:tcPr>
            <w:tcW w:type="dxa" w:w="2300"/>
            <w:shd w:fill="1e1e1e" w:val="clear"/>
            <w:tcMar>
              <w:top w:type="dxa" w:w="80"/>
              <w:left w:type="dxa" w:w="100"/>
              <w:bottom w:type="dxa" w:w="80"/>
              <w:right w:type="dxa" w:w="100"/>
            </w:tcMar>
            <w:vAlign w:val="center"/>
          </w:tcPr>
          <w:p>
            <w:r>
              <w:rPr>
                <w:b/>
                <w:bCs/>
                <w:color w:val="FFFFFF"/>
                <w:sz w:val="18"/>
                <w:szCs w:val="18"/>
              </w:rPr>
              <w:t xml:space="preserve">Target</w:t>
            </w:r>
          </w:p>
        </w:tc>
        <w:tc>
          <w:tcPr>
            <w:tcW w:type="dxa" w:w="5100"/>
            <w:shd w:fill="1e1e1e" w:val="clear"/>
            <w:tcMar>
              <w:top w:type="dxa" w:w="80"/>
              <w:left w:type="dxa" w:w="100"/>
              <w:bottom w:type="dxa" w:w="80"/>
              <w:right w:type="dxa" w:w="100"/>
            </w:tcMar>
            <w:vAlign w:val="center"/>
          </w:tcPr>
          <w:p>
            <w:r>
              <w:rPr>
                <w:b/>
                <w:bCs/>
                <w:color w:val="FFFFFF"/>
                <w:sz w:val="18"/>
                <w:szCs w:val="18"/>
              </w:rPr>
              <w:t xml:space="preserve">Source / notes</w:t>
            </w:r>
          </w:p>
        </w:tc>
      </w:tr>
      <w:tr>
        <w:tc>
          <w:tcPr>
            <w:tcW w:type="dxa" w:w="2300"/>
            <w:tcMar>
              <w:top w:type="dxa" w:w="80"/>
              <w:left w:type="dxa" w:w="100"/>
              <w:bottom w:type="dxa" w:w="80"/>
              <w:right w:type="dxa" w:w="100"/>
            </w:tcMar>
            <w:vAlign w:val="center"/>
          </w:tcPr>
          <w:p>
            <w:r>
              <w:rPr>
                <w:b w:val="false"/>
                <w:bCs w:val="false"/>
                <w:sz w:val="18"/>
                <w:szCs w:val="18"/>
              </w:rPr>
              <w:t xml:space="preserve">Speed of reply — Voice</w:t>
            </w:r>
          </w:p>
        </w:tc>
        <w:tc>
          <w:tcPr>
            <w:tcW w:type="dxa" w:w="2300"/>
            <w:tcMar>
              <w:top w:type="dxa" w:w="80"/>
              <w:left w:type="dxa" w:w="100"/>
              <w:bottom w:type="dxa" w:w="80"/>
              <w:right w:type="dxa" w:w="100"/>
            </w:tcMar>
            <w:vAlign w:val="center"/>
          </w:tcPr>
          <w:p>
            <w:r>
              <w:rPr>
                <w:b w:val="false"/>
                <w:bCs w:val="false"/>
                <w:sz w:val="18"/>
                <w:szCs w:val="18"/>
              </w:rPr>
              <w:t xml:space="preserve">≥35s (weekday IVR transit adds ~20s to the nominal 15s target, agreed with Craig against observed queue behaviour)</w:t>
            </w:r>
          </w:p>
        </w:tc>
        <w:tc>
          <w:tcPr>
            <w:tcW w:type="dxa" w:w="5100"/>
            <w:tcMar>
              <w:top w:type="dxa" w:w="80"/>
              <w:left w:type="dxa" w:w="100"/>
              <w:bottom w:type="dxa" w:w="80"/>
              <w:right w:type="dxa" w:w="100"/>
            </w:tcMar>
            <w:vAlign w:val="center"/>
          </w:tcPr>
          <w:p>
            <w:r>
              <w:rPr>
                <w:b w:val="false"/>
                <w:bCs w:val="false"/>
                <w:sz w:val="18"/>
                <w:szCs w:val="18"/>
              </w:rPr>
              <w:t xml:space="preserve">DATEDIFF(SECOND, start_at, first_user_time); denominator = conversations with an agent assigned only, excluding fully-automated system emails/notifications that never needed a human reply</w:t>
            </w:r>
          </w:p>
        </w:tc>
      </w:tr>
      <w:tr>
        <w:tc>
          <w:tcPr>
            <w:tcW w:type="dxa" w:w="2300"/>
            <w:tcMar>
              <w:top w:type="dxa" w:w="80"/>
              <w:left w:type="dxa" w:w="100"/>
              <w:bottom w:type="dxa" w:w="80"/>
              <w:right w:type="dxa" w:w="100"/>
            </w:tcMar>
            <w:vAlign w:val="center"/>
          </w:tcPr>
          <w:p>
            <w:r>
              <w:rPr>
                <w:b w:val="false"/>
                <w:bCs w:val="false"/>
                <w:sz w:val="18"/>
                <w:szCs w:val="18"/>
              </w:rPr>
              <w:t xml:space="preserve">Speed of reply — WhatsApp</w:t>
            </w:r>
          </w:p>
        </w:tc>
        <w:tc>
          <w:tcPr>
            <w:tcW w:type="dxa" w:w="2300"/>
            <w:tcMar>
              <w:top w:type="dxa" w:w="80"/>
              <w:left w:type="dxa" w:w="100"/>
              <w:bottom w:type="dxa" w:w="80"/>
              <w:right w:type="dxa" w:w="100"/>
            </w:tcMar>
            <w:vAlign w:val="center"/>
          </w:tcPr>
          <w:p>
            <w:r>
              <w:rPr>
                <w:b w:val="false"/>
                <w:bCs w:val="false"/>
                <w:sz w:val="18"/>
                <w:szCs w:val="18"/>
              </w:rPr>
              <w:t xml:space="preserve">≥15 min</w:t>
            </w:r>
          </w:p>
        </w:tc>
        <w:tc>
          <w:tcPr>
            <w:tcW w:type="dxa" w:w="5100"/>
            <w:tcMar>
              <w:top w:type="dxa" w:w="80"/>
              <w:left w:type="dxa" w:w="100"/>
              <w:bottom w:type="dxa" w:w="80"/>
              <w:right w:type="dxa" w:w="100"/>
            </w:tcMar>
            <w:vAlign w:val="center"/>
          </w:tcPr>
          <w:p>
            <w:r>
              <w:rPr>
                <w:b w:val="false"/>
                <w:bCs w:val="false"/>
                <w:sz w:val="18"/>
                <w:szCs w:val="18"/>
              </w:rPr>
              <w:t xml:space="preserve">as above</w:t>
            </w:r>
          </w:p>
        </w:tc>
      </w:tr>
      <w:tr>
        <w:tc>
          <w:tcPr>
            <w:tcW w:type="dxa" w:w="2300"/>
            <w:tcMar>
              <w:top w:type="dxa" w:w="80"/>
              <w:left w:type="dxa" w:w="100"/>
              <w:bottom w:type="dxa" w:w="80"/>
              <w:right w:type="dxa" w:w="100"/>
            </w:tcMar>
            <w:vAlign w:val="center"/>
          </w:tcPr>
          <w:p>
            <w:r>
              <w:rPr>
                <w:b w:val="false"/>
                <w:bCs w:val="false"/>
                <w:sz w:val="18"/>
                <w:szCs w:val="18"/>
              </w:rPr>
              <w:t xml:space="preserve">Speed of reply — Email</w:t>
            </w:r>
          </w:p>
        </w:tc>
        <w:tc>
          <w:tcPr>
            <w:tcW w:type="dxa" w:w="2300"/>
            <w:tcMar>
              <w:top w:type="dxa" w:w="80"/>
              <w:left w:type="dxa" w:w="100"/>
              <w:bottom w:type="dxa" w:w="80"/>
              <w:right w:type="dxa" w:w="100"/>
            </w:tcMar>
            <w:vAlign w:val="center"/>
          </w:tcPr>
          <w:p>
            <w:r>
              <w:rPr>
                <w:b w:val="false"/>
                <w:bCs w:val="false"/>
                <w:sz w:val="18"/>
                <w:szCs w:val="18"/>
              </w:rPr>
              <w:t xml:space="preserve">≤1 hour</w:t>
            </w:r>
          </w:p>
        </w:tc>
        <w:tc>
          <w:tcPr>
            <w:tcW w:type="dxa" w:w="5100"/>
            <w:tcMar>
              <w:top w:type="dxa" w:w="80"/>
              <w:left w:type="dxa" w:w="100"/>
              <w:bottom w:type="dxa" w:w="80"/>
              <w:right w:type="dxa" w:w="100"/>
            </w:tcMar>
            <w:vAlign w:val="center"/>
          </w:tcPr>
          <w:p>
            <w:r>
              <w:rPr>
                <w:b w:val="false"/>
                <w:bCs w:val="false"/>
                <w:sz w:val="18"/>
                <w:szCs w:val="18"/>
              </w:rPr>
              <w:t xml:space="preserve">as above; TotalOffered dropped from 403 to 230 once automated-only rows were excluded from the denominator, with no change to the answered/within-SLA counts — confirms the automated rows were never contributing to the SLA percentage, only inflating an uninformative denominator</w:t>
            </w:r>
          </w:p>
        </w:tc>
      </w:tr>
      <w:tr>
        <w:tc>
          <w:tcPr>
            <w:tcW w:type="dxa" w:w="2300"/>
            <w:tcMar>
              <w:top w:type="dxa" w:w="80"/>
              <w:left w:type="dxa" w:w="100"/>
              <w:bottom w:type="dxa" w:w="80"/>
              <w:right w:type="dxa" w:w="100"/>
            </w:tcMar>
            <w:vAlign w:val="center"/>
          </w:tcPr>
          <w:p>
            <w:r>
              <w:rPr>
                <w:b w:val="false"/>
                <w:bCs w:val="false"/>
                <w:sz w:val="18"/>
                <w:szCs w:val="18"/>
              </w:rPr>
              <w:t xml:space="preserve">AHT — Voice (general)</w:t>
            </w:r>
          </w:p>
        </w:tc>
        <w:tc>
          <w:tcPr>
            <w:tcW w:type="dxa" w:w="2300"/>
            <w:tcMar>
              <w:top w:type="dxa" w:w="80"/>
              <w:left w:type="dxa" w:w="100"/>
              <w:bottom w:type="dxa" w:w="80"/>
              <w:right w:type="dxa" w:w="100"/>
            </w:tcMar>
            <w:vAlign w:val="center"/>
          </w:tcPr>
          <w:p>
            <w:r>
              <w:rPr>
                <w:b w:val="false"/>
                <w:bCs w:val="false"/>
                <w:sz w:val="18"/>
                <w:szCs w:val="18"/>
              </w:rPr>
              <w:t xml:space="preserve">≤4 min average</w:t>
            </w:r>
          </w:p>
        </w:tc>
        <w:tc>
          <w:tcPr>
            <w:tcW w:type="dxa" w:w="5100"/>
            <w:tcMar>
              <w:top w:type="dxa" w:w="80"/>
              <w:left w:type="dxa" w:w="100"/>
              <w:bottom w:type="dxa" w:w="80"/>
              <w:right w:type="dxa" w:w="100"/>
            </w:tcMar>
            <w:vAlign w:val="center"/>
          </w:tcPr>
          <w:p>
            <w:r>
              <w:rPr>
                <w:b w:val="false"/>
                <w:bCs w:val="false"/>
                <w:sz w:val="18"/>
                <w:szCs w:val="18"/>
              </w:rPr>
              <w:t xml:space="preserve">total_talk_time; the —7-min cancellation-specific split from the Ops target sheet cannot be computed without a per-conversation topic tag and is shown on the SLA page as an explicit "Pending" item (§25) rather than approximated</w:t>
            </w:r>
          </w:p>
        </w:tc>
      </w:tr>
      <w:tr>
        <w:tc>
          <w:tcPr>
            <w:tcW w:type="dxa" w:w="2300"/>
            <w:tcMar>
              <w:top w:type="dxa" w:w="80"/>
              <w:left w:type="dxa" w:w="100"/>
              <w:bottom w:type="dxa" w:w="80"/>
              <w:right w:type="dxa" w:w="100"/>
            </w:tcMar>
            <w:vAlign w:val="center"/>
          </w:tcPr>
          <w:p>
            <w:r>
              <w:rPr>
                <w:b w:val="false"/>
                <w:bCs w:val="false"/>
                <w:sz w:val="18"/>
                <w:szCs w:val="18"/>
              </w:rPr>
              <w:t xml:space="preserve">CSAT</w:t>
            </w:r>
          </w:p>
        </w:tc>
        <w:tc>
          <w:tcPr>
            <w:tcW w:type="dxa" w:w="2300"/>
            <w:tcMar>
              <w:top w:type="dxa" w:w="80"/>
              <w:left w:type="dxa" w:w="100"/>
              <w:bottom w:type="dxa" w:w="80"/>
              <w:right w:type="dxa" w:w="100"/>
            </w:tcMar>
            <w:vAlign w:val="center"/>
          </w:tcPr>
          <w:p>
            <w:r>
              <w:rPr>
                <w:b w:val="false"/>
                <w:bCs w:val="false"/>
                <w:sz w:val="18"/>
                <w:szCs w:val="18"/>
              </w:rPr>
              <w:t xml:space="preserve">≥4.2 / 5.0, monthly</w:t>
            </w:r>
          </w:p>
        </w:tc>
        <w:tc>
          <w:tcPr>
            <w:tcW w:type="dxa" w:w="5100"/>
            <w:tcMar>
              <w:top w:type="dxa" w:w="80"/>
              <w:left w:type="dxa" w:w="100"/>
              <w:bottom w:type="dxa" w:w="80"/>
              <w:right w:type="dxa" w:w="100"/>
            </w:tcMar>
            <w:vAlign w:val="center"/>
          </w:tcPr>
          <w:p>
            <w:r>
              <w:rPr>
                <w:b w:val="false"/>
                <w:bCs w:val="false"/>
                <w:sz w:val="18"/>
                <w:szCs w:val="18"/>
              </w:rPr>
              <w:t xml:space="preserve">csat column; genuinely sparse (survey completion is a small minority of conversations) — a week with zero completed surveys is expected, not a data gap</w:t>
            </w:r>
          </w:p>
        </w:tc>
      </w:tr>
      <w:tr>
        <w:tc>
          <w:tcPr>
            <w:tcW w:type="dxa" w:w="2300"/>
            <w:tcMar>
              <w:top w:type="dxa" w:w="80"/>
              <w:left w:type="dxa" w:w="100"/>
              <w:bottom w:type="dxa" w:w="80"/>
              <w:right w:type="dxa" w:w="100"/>
            </w:tcMar>
            <w:vAlign w:val="center"/>
          </w:tcPr>
          <w:p>
            <w:r>
              <w:rPr>
                <w:b w:val="false"/>
                <w:bCs w:val="false"/>
                <w:sz w:val="18"/>
                <w:szCs w:val="18"/>
              </w:rPr>
              <w:t xml:space="preserve">First Contact Resolution</w:t>
            </w:r>
          </w:p>
        </w:tc>
        <w:tc>
          <w:tcPr>
            <w:tcW w:type="dxa" w:w="2300"/>
            <w:tcMar>
              <w:top w:type="dxa" w:w="80"/>
              <w:left w:type="dxa" w:w="100"/>
              <w:bottom w:type="dxa" w:w="80"/>
              <w:right w:type="dxa" w:w="100"/>
            </w:tcMar>
            <w:vAlign w:val="center"/>
          </w:tcPr>
          <w:p>
            <w:r>
              <w:rPr>
                <w:b w:val="false"/>
                <w:bCs w:val="false"/>
                <w:sz w:val="18"/>
                <w:szCs w:val="18"/>
              </w:rPr>
              <w:t xml:space="preserve">≥80%, weekly</w:t>
            </w:r>
          </w:p>
        </w:tc>
        <w:tc>
          <w:tcPr>
            <w:tcW w:type="dxa" w:w="5100"/>
            <w:tcMar>
              <w:top w:type="dxa" w:w="80"/>
              <w:left w:type="dxa" w:w="100"/>
              <w:bottom w:type="dxa" w:w="80"/>
              <w:right w:type="dxa" w:w="100"/>
            </w:tcMar>
            <w:vAlign w:val="center"/>
          </w:tcPr>
          <w:p>
            <w:r>
              <w:rPr>
                <w:b w:val="false"/>
                <w:bCs w:val="false"/>
                <w:sz w:val="18"/>
                <w:szCs w:val="18"/>
              </w:rPr>
              <w:t xml:space="preserve">Proxy: a contact_id with no further conversation within the lookback window counts as resolved. Agreed definition is 5 WORKING days; implemented as a 7-CALENDAR-day lookback as an approximation — flagged as not yet precise, see §26</w:t>
            </w:r>
          </w:p>
        </w:tc>
      </w:tr>
      <w:tr>
        <w:tc>
          <w:tcPr>
            <w:tcW w:type="dxa" w:w="2300"/>
            <w:tcMar>
              <w:top w:type="dxa" w:w="80"/>
              <w:left w:type="dxa" w:w="100"/>
              <w:bottom w:type="dxa" w:w="80"/>
              <w:right w:type="dxa" w:w="100"/>
            </w:tcMar>
            <w:vAlign w:val="center"/>
          </w:tcPr>
          <w:p>
            <w:r>
              <w:rPr>
                <w:b w:val="false"/>
                <w:bCs w:val="false"/>
                <w:sz w:val="18"/>
                <w:szCs w:val="18"/>
              </w:rPr>
              <w:t xml:space="preserve">Quality Score</w:t>
            </w:r>
          </w:p>
        </w:tc>
        <w:tc>
          <w:tcPr>
            <w:tcW w:type="dxa" w:w="2300"/>
            <w:tcMar>
              <w:top w:type="dxa" w:w="80"/>
              <w:left w:type="dxa" w:w="100"/>
              <w:bottom w:type="dxa" w:w="80"/>
              <w:right w:type="dxa" w:w="100"/>
            </w:tcMar>
            <w:vAlign w:val="center"/>
          </w:tcPr>
          <w:p>
            <w:r>
              <w:rPr>
                <w:b w:val="false"/>
                <w:bCs w:val="false"/>
                <w:sz w:val="18"/>
                <w:szCs w:val="18"/>
              </w:rPr>
              <w:t xml:space="preserve">≥80%, monthly</w:t>
            </w:r>
          </w:p>
        </w:tc>
        <w:tc>
          <w:tcPr>
            <w:tcW w:type="dxa" w:w="5100"/>
            <w:tcMar>
              <w:top w:type="dxa" w:w="80"/>
              <w:left w:type="dxa" w:w="100"/>
              <w:bottom w:type="dxa" w:w="80"/>
              <w:right w:type="dxa" w:w="100"/>
            </w:tcMar>
            <w:vAlign w:val="center"/>
          </w:tcPr>
          <w:p>
            <w:r>
              <w:rPr>
                <w:b w:val="false"/>
                <w:bCs w:val="false"/>
                <w:sz w:val="18"/>
                <w:szCs w:val="18"/>
              </w:rPr>
              <w:t xml:space="preserve">NOT tracked — confirmed with Craig that QA scoring is not currently captured anywhere in qContact; not shown on the SLA page pending a separate QA process/tool decision</w:t>
            </w:r>
          </w:p>
        </w:tc>
      </w:tr>
    </w:tbl>
    <w:p>
      <w:pPr>
        <w:spacing w:after="120"/>
      </w:pPr>
    </w:p>
    <w:p>
      <w:pPr>
        <w:pStyle w:val="Heading3"/>
        <w:spacing w:after="100" w:before="200"/>
      </w:pPr>
      <w:r>
        <w:t xml:space="preserve">21.2 mis_user_productivity — explicitly not reused</w:t>
      </w:r>
    </w:p>
    <w:p>
      <w:pPr>
        <w:spacing w:after="140"/>
      </w:pPr>
      <w:r>
        <w:rPr>
          <w:b w:val="false"/>
          <w:bCs w:val="false"/>
        </w:rPr>
        <w:t xml:space="preserve">mis_user_productivity (fed by the recovered email pipeline, §22) pulls raw duration buckets from qContact’s Agent/User Productivity CSV export — the same source proven in Part B (§10.2—10.3) to suffer overlapping-record inflation. Its stored procedure (usp_MergeUserProductivity) is a correctly-built safe MERGE and the pipeline itself is fine, but the underlying report data carries the known duplication risk. AHT and any future agent-productivity figures on the SLA page deliberately read from mis_conversation_insights / mis_agent_ph_daily instead.</w:t>
      </w:r>
    </w:p>
    <w:p>
      <w:pPr>
        <w:pStyle w:val="Heading2"/>
        <w:spacing w:after="120" w:before="260"/>
      </w:pPr>
      <w:r>
        <w:t xml:space="preserve">22. Email Ingestion Pipeline Recovery</w:t>
      </w:r>
    </w:p>
    <w:p>
      <w:pPr>
        <w:spacing w:after="140"/>
      </w:pPr>
      <w:r>
        <w:rPr>
          <w:b w:val="false"/>
          <w:bCs w:val="false"/>
        </w:rPr>
        <w:t xml:space="preserve">While investigating why mis_queue_answered / mis_conversation_history / mis_user_productivity looked frozen (§21), MIS-EmailIngestion (the nightly CSV-parsing flow referenced as deprecated-but-not-deleted in Part B §15) was found switched off in the flow list. Its four underlying stored procedures (usp_MergeContactActivity, usp_MergeUserProductivity, usp_MergeQueueAnswered, usp_MergeConvHistory) were individually pulled via OBJECT_DEFINITION() and confirmed to be genuine, safe MERGE statements keyed on sensible natural keys (CampaignCode+Reference, or CampaignCode+ReportDate+AgentID/AgentName) — re-running the pipeline over the same emails twice carries no duplication risk.</w:t>
      </w:r>
    </w:p>
    <w:p>
      <w:pPr>
        <w:pStyle w:val="Heading3"/>
        <w:spacing w:after="100" w:before="200"/>
      </w:pPr>
      <w:r>
        <w:t xml:space="preserve">22.1 Backlog clearance approach</w:t>
      </w:r>
    </w:p>
    <w:p>
      <w:pPr>
        <w:spacing w:after="140"/>
      </w:pPr>
      <w:r>
        <w:rPr>
          <w:b w:val="false"/>
          <w:bCs w:val="false"/>
        </w:rPr>
        <w:t xml:space="preserve">The original flow’s trigger (When a new email arrives in a shared mailbox) only fires on genuinely new mail, so re-enabling it alone would not reprocess the several weeks of backlog sitting in the mailbox. A copy of the flow was made (MIS-EmailIngestion-Backfill), with the trigger swapped for Manually trigger a flow → Get emails (V3) → an added outer "Apply to each" over the returned email list, wrapping the entire existing attachment-parsing/Switch/merge logic. The original event-triggered flow was left completely untouched for ongoing nightly processing.</w:t>
      </w:r>
    </w:p>
    <w:p>
      <w:pPr>
        <w:pStyle w:val="Heading3"/>
        <w:spacing w:after="100" w:before="200"/>
      </w:pPr>
      <w:r>
        <w:t xml:space="preserve">22.2 Platform gotchas hit during this rebuild (new, in addition to Part B §10.4)</w:t>
      </w:r>
    </w:p>
    <w:p>
      <w:pPr>
        <w:pStyle w:val="ListParagraph"/>
        <w:numPr>
          <w:ilvl w:val="0"/>
          <w:numId w:val="1"/>
        </w:numPr>
        <w:spacing w:after="60"/>
      </w:pPr>
      <w:r>
        <w:rPr>
          <w:b w:val="false"/>
          <w:bCs w:val="false"/>
        </w:rPr>
        <w:t xml:space="preserve">Initialize Variable cannot be nested inside any Apply to each loop (’InvalidVariableInitialization’ on save) — it must sit before the loop, and any per-iteration value (e.g. a report date derived from each email’s ReceivedDateTime) must instead be computed with a Set Variable action placed inside the loop.</w:t>
      </w:r>
    </w:p>
    <w:p>
      <w:pPr>
        <w:pStyle w:val="ListParagraph"/>
        <w:numPr>
          <w:ilvl w:val="0"/>
          <w:numId w:val="1"/>
        </w:numPr>
        <w:spacing w:after="60"/>
      </w:pPr>
      <w:r>
        <w:rPr>
          <w:b w:val="false"/>
          <w:bCs w:val="false"/>
        </w:rPr>
        <w:t xml:space="preserve">Get emails (V3)’s "To or CC" field filters messages within whatever mailbox the connection already points at — it does not redirect which mailbox is searched. Reading a shared mailbox’s inbox (as opposed to the signed-in user’s own inbox) requires the separate "Original Mailbox Address" field to be set explicitly; leaving it blank silently returns zero results from the wrong mailbox rather than erroring.</w:t>
      </w:r>
    </w:p>
    <w:p>
      <w:pPr>
        <w:pStyle w:val="ListParagraph"/>
        <w:numPr>
          <w:ilvl w:val="0"/>
          <w:numId w:val="1"/>
        </w:numPr>
        <w:spacing w:after="60"/>
      </w:pPr>
      <w:r>
        <w:rPr>
          <w:b w:val="false"/>
          <w:bCs w:val="false"/>
        </w:rPr>
        <w:t xml:space="preserve">"Include Attachments" must be explicitly set to Yes on Get emails (V3) — defaults to No, which would otherwise return matching emails with no attachment content for the inner loop to process.</w:t>
      </w:r>
    </w:p>
    <w:p>
      <w:pPr>
        <w:pStyle w:val="ListParagraph"/>
        <w:numPr>
          <w:ilvl w:val="0"/>
          <w:numId w:val="1"/>
        </w:numPr>
        <w:spacing w:after="60"/>
      </w:pPr>
      <w:r>
        <w:rPr>
          <w:b w:val="false"/>
          <w:bCs w:val="false"/>
        </w:rPr>
        <w:t xml:space="preserve">Every reference built against the original single-email trigger (triggerOutputs()?[’body/Attachments’], triggerBody()?[’receivedDateTime’], the Message Id on Move email) had to be individually re-pointed at the new outer loop’s current item once the trigger changed — the same class of issue documented in Part B §10.4 ("Manual-trigger vs HTTP-trigger inputs are named differently"), recurring here across every trigger-derived reference in a flow, not just one.</w:t>
      </w:r>
    </w:p>
    <w:p>
      <w:pPr>
        <w:spacing w:after="140"/>
      </w:pPr>
      <w:r>
        <w:rPr>
          <w:b w:val="false"/>
          <w:bCs w:val="false"/>
        </w:rPr>
        <w:t xml:space="preserve">Result: 155 backlogged emails processed in one run; mis_queue_answered, mis_conversation_history, mis_user_productivity, and mis_contact_activity all confirmed current through 2026-07-20 immediately after.</w:t>
      </w:r>
    </w:p>
    <w:p>
      <w:pPr>
        <w:pStyle w:val="Heading2"/>
        <w:spacing w:after="120" w:before="260"/>
      </w:pPr>
      <w:r>
        <w:t xml:space="preserve">23. New Frontend Pages</w:t>
      </w:r>
    </w:p>
    <w:p>
      <w:pPr>
        <w:spacing w:after="140"/>
      </w:pPr>
      <w:r>
        <w:rPr>
          <w:b w:val="false"/>
          <w:bCs w:val="false"/>
        </w:rPr>
        <w:t xml:space="preserve">All three pages below follow the exact session-gate, FLOWS/callFlow, and visual-styling pattern established by dpr.html in Part B (§14.1) — same navy/green Trilogy branding, same Montserrat + Wix Madefor Text fonts, same redirect-to-../index.html-if-no-billing_access guard. Each was built first against realistic mock data matching its table’s real schema, then wired to its real Power Automate flow once that flow was tested and confirmed via Postman.</w:t>
      </w:r>
    </w:p>
    <w:p>
      <w:pPr>
        <w:pStyle w:val="ListParagraph"/>
        <w:numPr>
          <w:ilvl w:val="0"/>
          <w:numId w:val="1"/>
        </w:numPr>
        <w:spacing w:after="60"/>
      </w:pPr>
      <w:r>
        <w:rPr>
          <w:b/>
          <w:bCs/>
        </w:rPr>
        <w:t xml:space="preserve">nadclinic/conversation-insights.html — </w:t>
      </w:r>
      <w:r>
        <w:rPr>
          <w:b w:val="false"/>
          <w:bCs w:val="false"/>
        </w:rPr>
        <w:t xml:space="preserve">AI Sentiment donut (all conversations) plus a Positive-vs-Negative-only "sentiment balance" KPI (neutral excluded, per Craig’s request); a separate CSAT star-rating breakdown, deliberately never combined with AI sentiment; a "Unique customers" KPI deduplicated by contact_id (§18.3) rather than a raw conversation count, since one customer can generate several conversation_id rows; a full conversation table with drill-down; and an "Ask AI" free-text box (§19.3).</w:t>
      </w:r>
    </w:p>
    <w:p>
      <w:pPr>
        <w:pStyle w:val="ListParagraph"/>
        <w:numPr>
          <w:ilvl w:val="0"/>
          <w:numId w:val="1"/>
        </w:numPr>
        <w:spacing w:after="60"/>
      </w:pPr>
      <w:r>
        <w:rPr>
          <w:b/>
          <w:bCs/>
        </w:rPr>
        <w:t xml:space="preserve">nadclinic/top5.html — </w:t>
      </w:r>
      <w:r>
        <w:rPr>
          <w:b w:val="false"/>
          <w:bCs w:val="false"/>
        </w:rPr>
        <w:t xml:space="preserve">Day/Week/Month toggle; five category-ranked cards (Voice, WhatsApp, Email, Dissatisfaction, Repeat), each showing rank, category, count, and context_note where present.</w:t>
      </w:r>
    </w:p>
    <w:p>
      <w:pPr>
        <w:pStyle w:val="ListParagraph"/>
        <w:numPr>
          <w:ilvl w:val="0"/>
          <w:numId w:val="1"/>
        </w:numPr>
        <w:spacing w:after="60"/>
      </w:pPr>
      <w:r>
        <w:rPr>
          <w:b/>
          <w:bCs/>
        </w:rPr>
        <w:t xml:space="preserve">nadclinic/sla.html — </w:t>
      </w:r>
      <w:r>
        <w:rPr>
          <w:b w:val="false"/>
          <w:bCs w:val="false"/>
        </w:rPr>
        <w:t xml:space="preserve">Six scorecards (Voice/WhatsApp/Email reply speed, AHT, FCR, CSAT), each a green "Met" / red "Not met" pill against the Ops target sheet, plus an explicit amber "Pending" notice for the two metrics that cannot yet be measured (AHT cancellation split, Quality Score — §21.1).</w:t>
      </w:r>
    </w:p>
    <w:p>
      <w:pPr>
        <w:spacing w:after="140"/>
      </w:pPr>
      <w:r>
        <w:rPr>
          <w:b w:val="false"/>
          <w:bCs w:val="false"/>
        </w:rPr>
        <w:t xml:space="preserve">index.html was updated to add two new report cards (Conversation Insights, Top 5) and one more (SLA), gated by the same session.billing_access check as the existing DPR card — no other change to index.html’s MSAL/session/campaign-loop logic.</w:t>
      </w:r>
    </w:p>
    <w:p>
      <w:pPr>
        <w:pStyle w:val="Heading2"/>
        <w:spacing w:after="120" w:before="260"/>
      </w:pPr>
      <w:r>
        <w:t xml:space="preserve">24. Deprecation / Cleanup Status — Update</w:t>
      </w:r>
    </w:p>
    <w:p>
      <w:pPr>
        <w:spacing w:after="140"/>
      </w:pPr>
      <w:r>
        <w:rPr>
          <w:b w:val="false"/>
          <w:bCs w:val="false"/>
        </w:rPr>
        <w:t xml:space="preserve">Supersedes the corresponding row in Part B §15. MIS-EmailIngestion is now re-enabled (not disabled) — it turned out to still be the correct, live source for mis_queue_answered / mis_conversation_history / mis_user_productivity / mis_contact_activity, all four of which are genuinely used by the rebuilt SLA report (§21) and were not, in fact, safe to delete. The temporary MIS-EmailIngestion-Backfill copy (§22.1) is retained dormant for any future backlog-clearing need rather than deleted, at negligible cost.</w:t>
      </w:r>
    </w:p>
    <w:p>
      <w:pPr>
        <w:pStyle w:val="Heading2"/>
        <w:spacing w:after="120" w:before="260"/>
      </w:pPr>
      <w:r>
        <w:t xml:space="preserve">25. Key Issues Resolved (v3.0 build)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900"/>
        <w:gridCol w:w="3100"/>
        <w:gridCol w:w="3300"/>
      </w:tblGrid>
      <w:tr>
        <w:trPr>
          <w:tblHeader/>
        </w:trPr>
        <w:tc>
          <w:tcPr>
            <w:tcW w:type="dxa" w:w="2900"/>
            <w:shd w:fill="1e1e1e" w:val="clear"/>
            <w:tcMar>
              <w:top w:type="dxa" w:w="80"/>
              <w:left w:type="dxa" w:w="100"/>
              <w:bottom w:type="dxa" w:w="80"/>
              <w:right w:type="dxa" w:w="100"/>
            </w:tcMar>
            <w:vAlign w:val="center"/>
          </w:tcPr>
          <w:p>
            <w:r>
              <w:rPr>
                <w:b/>
                <w:bCs/>
                <w:color w:val="FFFFFF"/>
                <w:sz w:val="18"/>
                <w:szCs w:val="18"/>
              </w:rPr>
              <w:t xml:space="preserve">Issue</w:t>
            </w:r>
          </w:p>
        </w:tc>
        <w:tc>
          <w:tcPr>
            <w:tcW w:type="dxa" w:w="3100"/>
            <w:shd w:fill="1e1e1e" w:val="clear"/>
            <w:tcMar>
              <w:top w:type="dxa" w:w="80"/>
              <w:left w:type="dxa" w:w="100"/>
              <w:bottom w:type="dxa" w:w="80"/>
              <w:right w:type="dxa" w:w="100"/>
            </w:tcMar>
            <w:vAlign w:val="center"/>
          </w:tcPr>
          <w:p>
            <w:r>
              <w:rPr>
                <w:b/>
                <w:bCs/>
                <w:color w:val="FFFFFF"/>
                <w:sz w:val="18"/>
                <w:szCs w:val="18"/>
              </w:rPr>
              <w:t xml:space="preserve">Root cause</w:t>
            </w:r>
          </w:p>
        </w:tc>
        <w:tc>
          <w:tcPr>
            <w:tcW w:type="dxa" w:w="3300"/>
            <w:shd w:fill="1e1e1e" w:val="clear"/>
            <w:tcMar>
              <w:top w:type="dxa" w:w="80"/>
              <w:left w:type="dxa" w:w="100"/>
              <w:bottom w:type="dxa" w:w="80"/>
              <w:right w:type="dxa" w:w="100"/>
            </w:tcMar>
            <w:vAlign w:val="center"/>
          </w:tcPr>
          <w:p>
            <w:r>
              <w:rPr>
                <w:b/>
                <w:bCs/>
                <w:color w:val="FFFFFF"/>
                <w:sz w:val="18"/>
                <w:szCs w:val="18"/>
              </w:rPr>
              <w:t xml:space="preserve">Fix applied</w:t>
            </w:r>
          </w:p>
        </w:tc>
      </w:tr>
      <w:tr>
        <w:tc>
          <w:tcPr>
            <w:tcW w:type="dxa" w:w="2900"/>
            <w:tcMar>
              <w:top w:type="dxa" w:w="80"/>
              <w:left w:type="dxa" w:w="100"/>
              <w:bottom w:type="dxa" w:w="80"/>
              <w:right w:type="dxa" w:w="100"/>
            </w:tcMar>
            <w:vAlign w:val="center"/>
          </w:tcPr>
          <w:p>
            <w:r>
              <w:rPr>
                <w:b w:val="false"/>
                <w:bCs w:val="false"/>
                <w:sz w:val="18"/>
                <w:szCs w:val="18"/>
              </w:rPr>
              <w:t xml:space="preserve">Claude API calls returning only a "thinking" block, no answer text, on Topic labelling / Ask AI / Top 5 Email &amp; Repeat slices</w:t>
            </w:r>
          </w:p>
        </w:tc>
        <w:tc>
          <w:tcPr>
            <w:tcW w:type="dxa" w:w="3100"/>
            <w:tcMar>
              <w:top w:type="dxa" w:w="80"/>
              <w:left w:type="dxa" w:w="100"/>
              <w:bottom w:type="dxa" w:w="80"/>
              <w:right w:type="dxa" w:w="100"/>
            </w:tcMar>
            <w:vAlign w:val="center"/>
          </w:tcPr>
          <w:p>
            <w:r>
              <w:rPr>
                <w:b w:val="false"/>
                <w:bCs w:val="false"/>
                <w:sz w:val="18"/>
                <w:szCs w:val="18"/>
              </w:rPr>
              <w:t xml:space="preserve">claude-sonnet-5’s adaptive extended thinking consumed the entire max_tokens budget before writing any visible answer, especially on larger inputs (Email, and a 55k-input-token Repeat call)</w:t>
            </w:r>
          </w:p>
        </w:tc>
        <w:tc>
          <w:tcPr>
            <w:tcW w:type="dxa" w:w="3300"/>
            <w:tcMar>
              <w:top w:type="dxa" w:w="80"/>
              <w:left w:type="dxa" w:w="100"/>
              <w:bottom w:type="dxa" w:w="80"/>
              <w:right w:type="dxa" w:w="100"/>
            </w:tcMar>
            <w:vAlign w:val="center"/>
          </w:tcPr>
          <w:p>
            <w:r>
              <w:rPr>
                <w:b w:val="false"/>
                <w:bCs w:val="false"/>
                <w:sz w:val="18"/>
                <w:szCs w:val="18"/>
              </w:rPr>
              <w:t xml:space="preserve">Added "thinking":{"type":"disabled"} to every classification-style call; reduced max_tokens back to 2000 (sufficient once thinking is off); AnswerText/Topic composes use last(), not first(), on the content array as a secondary safeguard</w:t>
            </w:r>
          </w:p>
        </w:tc>
      </w:tr>
      <w:tr>
        <w:tc>
          <w:tcPr>
            <w:tcW w:type="dxa" w:w="2900"/>
            <w:tcMar>
              <w:top w:type="dxa" w:w="80"/>
              <w:left w:type="dxa" w:w="100"/>
              <w:bottom w:type="dxa" w:w="80"/>
              <w:right w:type="dxa" w:w="100"/>
            </w:tcMar>
            <w:vAlign w:val="center"/>
          </w:tcPr>
          <w:p>
            <w:r>
              <w:rPr>
                <w:b w:val="false"/>
                <w:bCs w:val="false"/>
                <w:sz w:val="18"/>
                <w:szCs w:val="18"/>
              </w:rPr>
              <w:t xml:space="preserve">Top 5 rows silently doubling every time the flow was manually re-run during testing</w:t>
            </w:r>
          </w:p>
        </w:tc>
        <w:tc>
          <w:tcPr>
            <w:tcW w:type="dxa" w:w="3100"/>
            <w:tcMar>
              <w:top w:type="dxa" w:w="80"/>
              <w:left w:type="dxa" w:w="100"/>
              <w:bottom w:type="dxa" w:w="80"/>
              <w:right w:type="dxa" w:w="100"/>
            </w:tcMar>
            <w:vAlign w:val="center"/>
          </w:tcPr>
          <w:p>
            <w:r>
              <w:rPr>
                <w:b w:val="false"/>
                <w:bCs w:val="false"/>
                <w:sz w:val="18"/>
                <w:szCs w:val="18"/>
              </w:rPr>
              <w:t xml:space="preserve">InsertTop5Row_&lt;Slice&gt; was a plain INSERT with no natural key to upsert against</w:t>
            </w:r>
          </w:p>
        </w:tc>
        <w:tc>
          <w:tcPr>
            <w:tcW w:type="dxa" w:w="3300"/>
            <w:tcMar>
              <w:top w:type="dxa" w:w="80"/>
              <w:left w:type="dxa" w:w="100"/>
              <w:bottom w:type="dxa" w:w="80"/>
              <w:right w:type="dxa" w:w="100"/>
            </w:tcMar>
            <w:vAlign w:val="center"/>
          </w:tcPr>
          <w:p>
            <w:r>
              <w:rPr>
                <w:b w:val="false"/>
                <w:bCs w:val="false"/>
                <w:sz w:val="18"/>
                <w:szCs w:val="18"/>
              </w:rPr>
              <w:t xml:space="preserve">Added a DeleteExisting_&lt;Slice&gt; step (by report_date+slice) immediately before each insert loop, and converted every InsertTop5Row_&lt;Slice&gt; to a MERGE keyed on (report_date, slice, reason_label) that sums mention_count on a match — covers both repeat-run duplication and a single Claude response listing the same category twice</w:t>
            </w:r>
          </w:p>
        </w:tc>
      </w:tr>
      <w:tr>
        <w:tc>
          <w:tcPr>
            <w:tcW w:type="dxa" w:w="2900"/>
            <w:tcMar>
              <w:top w:type="dxa" w:w="80"/>
              <w:left w:type="dxa" w:w="100"/>
              <w:bottom w:type="dxa" w:w="80"/>
              <w:right w:type="dxa" w:w="100"/>
            </w:tcMar>
            <w:vAlign w:val="center"/>
          </w:tcPr>
          <w:p>
            <w:r>
              <w:rPr>
                <w:b w:val="false"/>
                <w:bCs w:val="false"/>
                <w:sz w:val="18"/>
                <w:szCs w:val="18"/>
              </w:rPr>
              <w:t xml:space="preserve">Top 5 Dissatisfaction slice silently doubling even after the DeleteExisting fix was added</w:t>
            </w:r>
          </w:p>
        </w:tc>
        <w:tc>
          <w:tcPr>
            <w:tcW w:type="dxa" w:w="3100"/>
            <w:tcMar>
              <w:top w:type="dxa" w:w="80"/>
              <w:left w:type="dxa" w:w="100"/>
              <w:bottom w:type="dxa" w:w="80"/>
              <w:right w:type="dxa" w:w="100"/>
            </w:tcMar>
            <w:vAlign w:val="center"/>
          </w:tcPr>
          <w:p>
            <w:r>
              <w:rPr>
                <w:b w:val="false"/>
                <w:bCs w:val="false"/>
                <w:sz w:val="18"/>
                <w:szCs w:val="18"/>
              </w:rPr>
              <w:t xml:space="preserve">DeleteExisting_Dissatisfaction’s SQL had been copy-pasted from the Repeat slice and never updated — it was deleting slice=’repeat’ rows, not slice=’dissatisfaction’ rows, so the real Dissatisfaction rows were never cleared before the next insert</w:t>
            </w:r>
          </w:p>
        </w:tc>
        <w:tc>
          <w:tcPr>
            <w:tcW w:type="dxa" w:w="3300"/>
            <w:tcMar>
              <w:top w:type="dxa" w:w="80"/>
              <w:left w:type="dxa" w:w="100"/>
              <w:bottom w:type="dxa" w:w="80"/>
              <w:right w:type="dxa" w:w="100"/>
            </w:tcMar>
            <w:vAlign w:val="center"/>
          </w:tcPr>
          <w:p>
            <w:r>
              <w:rPr>
                <w:b w:val="false"/>
                <w:bCs w:val="false"/>
                <w:sz w:val="18"/>
                <w:szCs w:val="18"/>
              </w:rPr>
              <w:t xml:space="preserve">Corrected the slice literal in that one statement; recommend a one-time visual check of all five DeleteExisting_&lt;Slice&gt; statements for the same copy-paste risk</w:t>
            </w:r>
          </w:p>
        </w:tc>
      </w:tr>
      <w:tr>
        <w:tc>
          <w:tcPr>
            <w:tcW w:type="dxa" w:w="2900"/>
            <w:tcMar>
              <w:top w:type="dxa" w:w="80"/>
              <w:left w:type="dxa" w:w="100"/>
              <w:bottom w:type="dxa" w:w="80"/>
              <w:right w:type="dxa" w:w="100"/>
            </w:tcMar>
            <w:vAlign w:val="center"/>
          </w:tcPr>
          <w:p>
            <w:r>
              <w:rPr>
                <w:b w:val="false"/>
                <w:bCs w:val="false"/>
                <w:sz w:val="18"/>
                <w:szCs w:val="18"/>
              </w:rPr>
              <w:t xml:space="preserve">Top 5 "length() expects array or string, got Null" on every Has&lt;Slice&gt;Data condition on a genuinely quiet day</w:t>
            </w:r>
          </w:p>
        </w:tc>
        <w:tc>
          <w:tcPr>
            <w:tcW w:type="dxa" w:w="3100"/>
            <w:tcMar>
              <w:top w:type="dxa" w:w="80"/>
              <w:left w:type="dxa" w:w="100"/>
              <w:bottom w:type="dxa" w:w="80"/>
              <w:right w:type="dxa" w:w="100"/>
            </w:tcMar>
            <w:vAlign w:val="center"/>
          </w:tcPr>
          <w:p>
            <w:r>
              <w:rPr>
                <w:b w:val="false"/>
                <w:bCs w:val="false"/>
                <w:sz w:val="18"/>
                <w:szCs w:val="18"/>
              </w:rPr>
              <w:t xml:space="preserve">SQL’s resultsets.Table1 can come back as a true NULL, not an empty array, when a query returns zero rows in this connector</w:t>
            </w:r>
          </w:p>
        </w:tc>
        <w:tc>
          <w:tcPr>
            <w:tcW w:type="dxa" w:w="3300"/>
            <w:tcMar>
              <w:top w:type="dxa" w:w="80"/>
              <w:left w:type="dxa" w:w="100"/>
              <w:bottom w:type="dxa" w:w="80"/>
              <w:right w:type="dxa" w:w="100"/>
            </w:tcMar>
            <w:vAlign w:val="center"/>
          </w:tcPr>
          <w:p>
            <w:r>
              <w:rPr>
                <w:b w:val="false"/>
                <w:bCs w:val="false"/>
                <w:sz w:val="18"/>
                <w:szCs w:val="18"/>
              </w:rPr>
              <w:t xml:space="preserve">Wrapped every condition as length(coalesce(body(...)?[’resultsets’]?[’Table1’], json(’[]’))) &gt; 0</w:t>
            </w:r>
          </w:p>
        </w:tc>
      </w:tr>
      <w:tr>
        <w:tc>
          <w:tcPr>
            <w:tcW w:type="dxa" w:w="2900"/>
            <w:tcMar>
              <w:top w:type="dxa" w:w="80"/>
              <w:left w:type="dxa" w:w="100"/>
              <w:bottom w:type="dxa" w:w="80"/>
              <w:right w:type="dxa" w:w="100"/>
            </w:tcMar>
            <w:vAlign w:val="center"/>
          </w:tcPr>
          <w:p>
            <w:r>
              <w:rPr>
                <w:b w:val="false"/>
                <w:bCs w:val="false"/>
                <w:sz w:val="18"/>
                <w:szCs w:val="18"/>
              </w:rPr>
              <w:t xml:space="preserve">Top 5 Select_&lt;Slice&gt; action crashing with the same Null-array error even after the condition guard was added</w:t>
            </w:r>
          </w:p>
        </w:tc>
        <w:tc>
          <w:tcPr>
            <w:tcW w:type="dxa" w:w="3100"/>
            <w:tcMar>
              <w:top w:type="dxa" w:w="80"/>
              <w:left w:type="dxa" w:w="100"/>
              <w:bottom w:type="dxa" w:w="80"/>
              <w:right w:type="dxa" w:w="100"/>
            </w:tcMar>
            <w:vAlign w:val="center"/>
          </w:tcPr>
          <w:p>
            <w:r>
              <w:rPr>
                <w:b w:val="false"/>
                <w:bCs w:val="false"/>
                <w:sz w:val="18"/>
                <w:szCs w:val="18"/>
              </w:rPr>
              <w:t xml:space="preserve">The Select action had been built before the Has&lt;Slice&gt;Data condition in the canvas, so it still ran (and crashed) on empty days regardless of the guard</w:t>
            </w:r>
          </w:p>
        </w:tc>
        <w:tc>
          <w:tcPr>
            <w:tcW w:type="dxa" w:w="3300"/>
            <w:tcMar>
              <w:top w:type="dxa" w:w="80"/>
              <w:left w:type="dxa" w:w="100"/>
              <w:bottom w:type="dxa" w:w="80"/>
              <w:right w:type="dxa" w:w="100"/>
            </w:tcMar>
            <w:vAlign w:val="center"/>
          </w:tcPr>
          <w:p>
            <w:r>
              <w:rPr>
                <w:b w:val="false"/>
                <w:bCs w:val="false"/>
                <w:sz w:val="18"/>
                <w:szCs w:val="18"/>
              </w:rPr>
              <w:t xml:space="preserve">Moved each Select_&lt;Slice&gt; to be the first step inside the condition’s True branch, so it never runs unless the condition has already confirmed real data exists</w:t>
            </w:r>
          </w:p>
        </w:tc>
      </w:tr>
      <w:tr>
        <w:tc>
          <w:tcPr>
            <w:tcW w:type="dxa" w:w="2900"/>
            <w:tcMar>
              <w:top w:type="dxa" w:w="80"/>
              <w:left w:type="dxa" w:w="100"/>
              <w:bottom w:type="dxa" w:w="80"/>
              <w:right w:type="dxa" w:w="100"/>
            </w:tcMar>
            <w:vAlign w:val="center"/>
          </w:tcPr>
          <w:p>
            <w:r>
              <w:rPr>
                <w:b w:val="false"/>
                <w:bCs w:val="false"/>
                <w:sz w:val="18"/>
                <w:szCs w:val="18"/>
              </w:rPr>
              <w:t xml:space="preserve">Get emails (V3) returning zero results from a shared mailbox that visibly contained the target emails</w:t>
            </w:r>
          </w:p>
        </w:tc>
        <w:tc>
          <w:tcPr>
            <w:tcW w:type="dxa" w:w="3100"/>
            <w:tcMar>
              <w:top w:type="dxa" w:w="80"/>
              <w:left w:type="dxa" w:w="100"/>
              <w:bottom w:type="dxa" w:w="80"/>
              <w:right w:type="dxa" w:w="100"/>
            </w:tcMar>
            <w:vAlign w:val="center"/>
          </w:tcPr>
          <w:p>
            <w:r>
              <w:rPr>
                <w:b w:val="false"/>
                <w:bCs w:val="false"/>
                <w:sz w:val="18"/>
                <w:szCs w:val="18"/>
              </w:rPr>
              <w:t xml:space="preserve">The "Original Mailbox Address" field (the field that actually redirects which mailbox is searched) was left blank; "To or CC" was set instead, which only filters within the connected account’s own mailbox</w:t>
            </w:r>
          </w:p>
        </w:tc>
        <w:tc>
          <w:tcPr>
            <w:tcW w:type="dxa" w:w="3300"/>
            <w:tcMar>
              <w:top w:type="dxa" w:w="80"/>
              <w:left w:type="dxa" w:w="100"/>
              <w:bottom w:type="dxa" w:w="80"/>
              <w:right w:type="dxa" w:w="100"/>
            </w:tcMar>
            <w:vAlign w:val="center"/>
          </w:tcPr>
          <w:p>
            <w:r>
              <w:rPr>
                <w:b w:val="false"/>
                <w:bCs w:val="false"/>
                <w:sz w:val="18"/>
                <w:szCs w:val="18"/>
              </w:rPr>
              <w:t xml:space="preserve">Set Original Mailbox Address explicitly to the shared mailbox address; removed the now-redundant To/CC filter</w:t>
            </w:r>
          </w:p>
        </w:tc>
      </w:tr>
      <w:tr>
        <w:tc>
          <w:tcPr>
            <w:tcW w:type="dxa" w:w="2900"/>
            <w:tcMar>
              <w:top w:type="dxa" w:w="80"/>
              <w:left w:type="dxa" w:w="100"/>
              <w:bottom w:type="dxa" w:w="80"/>
              <w:right w:type="dxa" w:w="100"/>
            </w:tcMar>
            <w:vAlign w:val="center"/>
          </w:tcPr>
          <w:p>
            <w:r>
              <w:rPr>
                <w:b w:val="false"/>
                <w:bCs w:val="false"/>
                <w:sz w:val="18"/>
                <w:szCs w:val="18"/>
              </w:rPr>
              <w:t xml:space="preserve">MIS-EmailIngestion-Backfill flow failing to save with ’InvalidVariableInitialization’</w:t>
            </w:r>
          </w:p>
        </w:tc>
        <w:tc>
          <w:tcPr>
            <w:tcW w:type="dxa" w:w="3100"/>
            <w:tcMar>
              <w:top w:type="dxa" w:w="80"/>
              <w:left w:type="dxa" w:w="100"/>
              <w:bottom w:type="dxa" w:w="80"/>
              <w:right w:type="dxa" w:w="100"/>
            </w:tcMar>
            <w:vAlign w:val="center"/>
          </w:tcPr>
          <w:p>
            <w:r>
              <w:rPr>
                <w:b w:val="false"/>
                <w:bCs w:val="false"/>
                <w:sz w:val="18"/>
                <w:szCs w:val="18"/>
              </w:rPr>
              <w:t xml:space="preserve">Initialize Variable had ended up nested inside the newly-added outer "Apply to each" loop while restructuring the trigger</w:t>
            </w:r>
          </w:p>
        </w:tc>
        <w:tc>
          <w:tcPr>
            <w:tcW w:type="dxa" w:w="3300"/>
            <w:tcMar>
              <w:top w:type="dxa" w:w="80"/>
              <w:left w:type="dxa" w:w="100"/>
              <w:bottom w:type="dxa" w:w="80"/>
              <w:right w:type="dxa" w:w="100"/>
            </w:tcMar>
            <w:vAlign w:val="center"/>
          </w:tcPr>
          <w:p>
            <w:r>
              <w:rPr>
                <w:b w:val="false"/>
                <w:bCs w:val="false"/>
                <w:sz w:val="18"/>
                <w:szCs w:val="18"/>
              </w:rPr>
              <w:t xml:space="preserve">Moved Initialize Variable back above the loop; replaced its per-email value with a Set Variable action inside the loop for anything that genuinely varies per iteration</w:t>
            </w:r>
          </w:p>
        </w:tc>
      </w:tr>
      <w:tr>
        <w:tc>
          <w:tcPr>
            <w:tcW w:type="dxa" w:w="2900"/>
            <w:tcMar>
              <w:top w:type="dxa" w:w="80"/>
              <w:left w:type="dxa" w:w="100"/>
              <w:bottom w:type="dxa" w:w="80"/>
              <w:right w:type="dxa" w:w="100"/>
            </w:tcMar>
            <w:vAlign w:val="center"/>
          </w:tcPr>
          <w:p>
            <w:r>
              <w:rPr>
                <w:b w:val="false"/>
                <w:bCs w:val="false"/>
                <w:sz w:val="18"/>
                <w:szCs w:val="18"/>
              </w:rPr>
              <w:t xml:space="preserve">Anthropic API "credit balance too low" errors partway through Top 5/Ask AI testing</w:t>
            </w:r>
          </w:p>
        </w:tc>
        <w:tc>
          <w:tcPr>
            <w:tcW w:type="dxa" w:w="3100"/>
            <w:tcMar>
              <w:top w:type="dxa" w:w="80"/>
              <w:left w:type="dxa" w:w="100"/>
              <w:bottom w:type="dxa" w:w="80"/>
              <w:right w:type="dxa" w:w="100"/>
            </w:tcMar>
            <w:vAlign w:val="center"/>
          </w:tcPr>
          <w:p>
            <w:r>
              <w:rPr>
                <w:b w:val="false"/>
                <w:bCs w:val="false"/>
                <w:sz w:val="18"/>
                <w:szCs w:val="18"/>
              </w:rPr>
              <w:t xml:space="preserve">Sustained same-day testing volume, including one uncapped 55,000-input-token Repeat-slice call before the TOP 300 cap was added, exhausted a fresh account’s starting credit balance</w:t>
            </w:r>
          </w:p>
        </w:tc>
        <w:tc>
          <w:tcPr>
            <w:tcW w:type="dxa" w:w="3300"/>
            <w:tcMar>
              <w:top w:type="dxa" w:w="80"/>
              <w:left w:type="dxa" w:w="100"/>
              <w:bottom w:type="dxa" w:w="80"/>
              <w:right w:type="dxa" w:w="100"/>
            </w:tcMar>
            <w:vAlign w:val="center"/>
          </w:tcPr>
          <w:p>
            <w:r>
              <w:rPr>
                <w:b w:val="false"/>
                <w:bCs w:val="false"/>
                <w:sz w:val="18"/>
                <w:szCs w:val="18"/>
              </w:rPr>
              <w:t xml:space="preserve">Added the TOP 300 cap (§19.3, §20.3); recommended a modest monthly Anthropic spend limit as ongoing insurance, not because expected cost is a genuine concern (§19.3)</w:t>
            </w:r>
          </w:p>
        </w:tc>
      </w:tr>
    </w:tbl>
    <w:p>
      <w:pPr>
        <w:spacing w:after="120"/>
      </w:pPr>
    </w:p>
    <w:p>
      <w:pPr>
        <w:pStyle w:val="Heading2"/>
        <w:spacing w:after="120" w:before="260"/>
      </w:pPr>
      <w:r>
        <w:t xml:space="preserve">26. Outstanding / Next Steps (v3.0)</w:t>
      </w:r>
    </w:p>
    <w:p>
      <w:pPr>
        <w:pStyle w:val="ListParagraph"/>
        <w:numPr>
          <w:ilvl w:val="0"/>
          <w:numId w:val="1"/>
        </w:numPr>
        <w:spacing w:after="60"/>
      </w:pPr>
      <w:r>
        <w:rPr>
          <w:b w:val="false"/>
          <w:bCs w:val="false"/>
        </w:rPr>
        <w:t xml:space="preserve">Re-enable per-conversation Topic classification (§19.2) once Anthropic billing headroom is confirmed comfortable — the working prompt/parse/insert pattern already exists and is documented; this also unlocks the AHT cancellation-specific (—7 min) split currently shown as "Pending" on the SLA page (§21.1).</w:t>
      </w:r>
    </w:p>
    <w:p>
      <w:pPr>
        <w:pStyle w:val="ListParagraph"/>
        <w:numPr>
          <w:ilvl w:val="0"/>
          <w:numId w:val="1"/>
        </w:numPr>
        <w:spacing w:after="60"/>
      </w:pPr>
      <w:r>
        <w:rPr>
          <w:b w:val="false"/>
          <w:bCs w:val="false"/>
        </w:rPr>
        <w:t xml:space="preserve">Replace First Contact Resolution’s 7-calendar-day lookback approximation with a true 5-working-day calculation (a working-day-counting CTE, rather than a flat DATEADD) — the agreed business definition is 5 working days specifically because of typical 3-5 day delivery transit times; the current approximation is close but not exact.</w:t>
      </w:r>
    </w:p>
    <w:p>
      <w:pPr>
        <w:pStyle w:val="ListParagraph"/>
        <w:numPr>
          <w:ilvl w:val="0"/>
          <w:numId w:val="1"/>
        </w:numPr>
        <w:spacing w:after="60"/>
      </w:pPr>
      <w:r>
        <w:rPr>
          <w:b w:val="false"/>
          <w:bCs w:val="false"/>
        </w:rPr>
        <w:t xml:space="preserve">Confirm pause_reason code 5_6 if it is ever observed in real qContact data (carried over from Part B §17 — still unconfirmed as of this document’s date).</w:t>
      </w:r>
    </w:p>
    <w:p>
      <w:pPr>
        <w:pStyle w:val="ListParagraph"/>
        <w:numPr>
          <w:ilvl w:val="0"/>
          <w:numId w:val="1"/>
        </w:numPr>
        <w:spacing w:after="60"/>
      </w:pPr>
      <w:r>
        <w:rPr>
          <w:b w:val="false"/>
          <w:bCs w:val="false"/>
        </w:rPr>
        <w:t xml:space="preserve">Remove the plaintext admin/password credential pattern in admin.html (flagged separately, unrelated to this build’s scope) once Craig confirms the outer company-wide "Manage Access" system (screenshot reviewed live during this build) is the intended sole gate for MIS section access, making admin.html’s own login redundant.</w:t>
      </w:r>
    </w:p>
    <w:p>
      <w:pPr>
        <w:pStyle w:val="ListParagraph"/>
        <w:numPr>
          <w:ilvl w:val="0"/>
          <w:numId w:val="1"/>
        </w:numPr>
        <w:spacing w:after="60"/>
      </w:pPr>
      <w:r>
        <w:rPr>
          <w:b w:val="false"/>
          <w:bCs w:val="false"/>
        </w:rPr>
        <w:t xml:space="preserve">Delete the seven Part-B-deprecated legacy pages/flows only once DPR has been observed running unattended in production for a reasonable period — unchanged guidance from Part B §17, and now reinforced by §24: at least one of those "deprecated" flows (MIS-EmailIngestion) turned out to still be load-bearing, so this sequencing should be treated as a firm rule, not a suggestion.</w:t>
      </w:r>
    </w:p>
    <w:p>
      <w:pPr>
        <w:pStyle w:val="ListParagraph"/>
        <w:numPr>
          <w:ilvl w:val="0"/>
          <w:numId w:val="1"/>
        </w:numPr>
        <w:spacing w:after="60"/>
      </w:pPr>
      <w:r>
        <w:rPr>
          <w:b w:val="false"/>
          <w:bCs w:val="false"/>
        </w:rPr>
        <w:t xml:space="preserve">Consider layering a per-agent SLA/AHT breakdown onto sla.html if Ops asks for it — not built in this pass; would read from mis_agent_ph_daily (Part B), not mis_user_productivity (§21.2).</w:t>
      </w:r>
    </w:p>
    <w:p>
      <w:pPr>
        <w:spacing w:before="400"/>
      </w:pPr>
      <w:r>
        <w:rPr>
          <w:i/>
          <w:iCs/>
          <w:color w:val="7a8499"/>
          <w:sz w:val="18"/>
          <w:szCs w:val="18"/>
        </w:rPr>
        <w:t xml:space="preserve">Document prepared by Claude (Anthropic) for Trilogy BPO | v3.0 2026-07-21 | CONFIDENTIAL</w:t>
      </w:r>
    </w:p>
    <w:p>
      <w:pPr>
        <w:spacing w:before="200"/>
        <w:jc w:val="center"/>
      </w:pPr>
      <w:r>
        <w:rPr>
          <w:b/>
          <w:bCs/>
          <w:sz w:val="18"/>
          <w:szCs w:val="18"/>
        </w:rPr>
        <w:t xml:space="preserve">CONFIDENTIAL — Trilogy BPO Internal Use Only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8499"/>
        <w:sz w:val="15"/>
        <w:szCs w:val="15"/>
      </w:rPr>
      <w:t xml:space="preserve">Page </w:t>
    </w:r>
    <w:r>
      <w:rPr>
        <w:color w:val="7a8499"/>
        <w:sz w:val="15"/>
        <w:szCs w:val="15"/>
      </w:rPr>
      <w:fldChar w:fldCharType="begin"/>
      <w:instrText xml:space="preserve">PAGE</w:instrText>
      <w:fldChar w:fldCharType="separate"/>
      <w:fldChar w:fldCharType="end"/>
    </w:r>
    <w:r>
      <w:rPr>
        <w:color w:val="7a8499"/>
        <w:sz w:val="15"/>
        <w:szCs w:val="15"/>
      </w:rPr>
      <w:t xml:space="preserve"> of </w:t>
    </w:r>
    <w:r>
      <w:rPr>
        <w:color w:val="7a849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a8499"/>
        <w:sz w:val="15"/>
        <w:szCs w:val="15"/>
      </w:rPr>
      <w:t xml:space="preserve">TRILOGY BPO | MIS Dashboard Technical Documentation | v2.0 | 2026-07-05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pPr>
    <w:rPr>
      <w:b/>
      <w:bCs/>
      <w:color w:val="1e1e1e"/>
      <w:sz w:val="30"/>
      <w:szCs w:val="30"/>
    </w:rPr>
  </w:style>
  <w:style w:type="paragraph" w:styleId="Heading2">
    <w:name w:val="Heading 2"/>
    <w:basedOn w:val="Normal"/>
    <w:next w:val="Normal"/>
    <w:pPr>
      <w:spacing w:after="120" w:before="260"/>
    </w:pPr>
    <w:rPr>
      <w:b/>
      <w:bCs/>
      <w:color w:val="2a8a00"/>
      <w:sz w:val="25"/>
      <w:szCs w:val="25"/>
    </w:rPr>
  </w:style>
  <w:style w:type="paragraph" w:styleId="Heading3">
    <w:name w:val="Heading 3"/>
    <w:basedOn w:val="Normal"/>
    <w:next w:val="Normal"/>
    <w:pPr>
      <w:spacing w:after="100" w:before="200"/>
    </w:pPr>
    <w:rPr>
      <w:b/>
      <w:bCs/>
      <w:color w:val="1e1e1e"/>
      <w:sz w:val="22"/>
      <w:szCs w:val="22"/>
    </w:rPr>
  </w:style>
  <w:style w:type="paragraph" w:styleId="Title">
    <w:name w:val="Title"/>
    <w:basedOn w:val="Normal"/>
    <w:next w:val="Normal"/>
    <w:rPr>
      <w:b/>
      <w:bCs/>
      <w:color w:val="1e1e1e"/>
      <w:sz w:val="40"/>
      <w:szCs w:val="4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footnotes" Target="footnote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customXml" Target="../customXml/item1.xml"/><Relationship Id="rId4" Type="http://schemas.openxmlformats.org/officeDocument/2006/relationships/endnotes" Target="endnotes.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D7A22E85D508D4BA3D88F285A4BFBFF" ma:contentTypeVersion="11" ma:contentTypeDescription="Create a new document." ma:contentTypeScope="" ma:versionID="5f1205c4f3bf337c924879e26fd18862">
  <xsd:schema xmlns:xsd="http://www.w3.org/2001/XMLSchema" xmlns:xs="http://www.w3.org/2001/XMLSchema" xmlns:p="http://schemas.microsoft.com/office/2006/metadata/properties" xmlns:ns2="4aba8e23-181e-4a95-9270-5fdb07633be2" xmlns:ns3="5b5294e1-9b14-479f-be65-1200265709b9" targetNamespace="http://schemas.microsoft.com/office/2006/metadata/properties" ma:root="true" ma:fieldsID="c28c450ebb8aa89ac089a4fbd1595ce3" ns2:_="" ns3:_="">
    <xsd:import namespace="4aba8e23-181e-4a95-9270-5fdb07633be2"/>
    <xsd:import namespace="5b5294e1-9b14-479f-be65-1200265709b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InformationClassifi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ba8e23-181e-4a95-9270-5fdb07633be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54d1e14-a102-48c8-8e1e-c1b118d551e3"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InformationClassification" ma:index="18" nillable="true" ma:displayName="Information Classification" ma:default="Internal - Confidential" ma:format="Dropdown" ma:internalName="InformationClassification">
      <xsd:simpleType>
        <xsd:restriction base="dms:Choice">
          <xsd:enumeration value="Internal - Confidential"/>
          <xsd:enumeration value="External - Confidential"/>
          <xsd:enumeration value="Public"/>
        </xsd:restriction>
      </xsd:simpleType>
    </xsd:element>
  </xsd:schema>
  <xsd:schema xmlns:xsd="http://www.w3.org/2001/XMLSchema" xmlns:xs="http://www.w3.org/2001/XMLSchema" xmlns:dms="http://schemas.microsoft.com/office/2006/documentManagement/types" xmlns:pc="http://schemas.microsoft.com/office/infopath/2007/PartnerControls" targetNamespace="5b5294e1-9b14-479f-be65-1200265709b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0f0de05-ede7-4a46-9e41-f1e1e405c4b4}" ma:internalName="TaxCatchAll" ma:showField="CatchAllData" ma:web="5b5294e1-9b14-479f-be65-1200265709b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5b5294e1-9b14-479f-be65-1200265709b9" xsi:nil="true"/>
    <InformationClassification xmlns="4aba8e23-181e-4a95-9270-5fdb07633be2">Internal - Confidential</InformationClassification>
    <lcf76f155ced4ddcb4097134ff3c332f xmlns="4aba8e23-181e-4a95-9270-5fdb07633be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192FEED-426D-4B0F-A9BB-BC4530BE8E73}"/>
</file>

<file path=customXml/itemProps2.xml><?xml version="1.0" encoding="utf-8"?>
<ds:datastoreItem xmlns:ds="http://schemas.openxmlformats.org/officeDocument/2006/customXml" ds:itemID="{5CE6D920-5621-46B1-AB8C-D7D3D17DB849}"/>
</file>

<file path=customXml/itemProps3.xml><?xml version="1.0" encoding="utf-8"?>
<ds:datastoreItem xmlns:ds="http://schemas.openxmlformats.org/officeDocument/2006/customXml" ds:itemID="{952E3864-C96E-4E08-A88E-3E242A9AC379}"/>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2026-07-05T21:23:19Z</dcterms:created>
  <dcterms:modified xsi:type="dcterms:W3CDTF">2026-07-05T21:23:19Z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0x0101008D7A22E85D508D4BA3D88F285A4BFBFF</vt:lpwstr>
  </property>
</Properties>
</file>