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_31b2ae71e45c1e963be467278f7fccde2187a47"/>
    <w:p>
      <w:pPr>
        <w:pStyle w:val="Heading1"/>
      </w:pPr>
      <w:r>
        <w:t xml:space="preserve">Mix or not, and how hot is hot enough</w:t>
      </w:r>
    </w:p>
    <w:p>
      <w:pPr>
        <w:pStyle w:val="FirstParagraph"/>
      </w:pPr>
      <w:r>
        <w:t xml:space="preserve">Status: Draft · Pass 0 · Updated 2026-10-06</w:t>
      </w:r>
    </w:p>
    <w:p>
      <w:pPr>
        <w:pStyle w:val="BlockText"/>
      </w:pPr>
      <w:r>
        <w:t xml:space="preserve">What this is: the first draft of a whitepaper on two linked questions about</w:t>
      </w:r>
      <w:r>
        <w:t xml:space="preserve"> </w:t>
      </w:r>
      <w:r>
        <w:t xml:space="preserve">a heat pump with thermal storage. Discharge: should the water going to the</w:t>
      </w:r>
      <w:r>
        <w:t xml:space="preserve"> </w:t>
      </w:r>
      <w:r>
        <w:t xml:space="preserve">distribution system be mixed down to the required source water temperature,</w:t>
      </w:r>
      <w:r>
        <w:t xml:space="preserve"> </w:t>
      </w:r>
      <w:r>
        <w:t xml:space="preserve">or sent as hot as the store has it? Charge: how hot does the store need to</w:t>
      </w:r>
      <w:r>
        <w:t xml:space="preserve"> </w:t>
      </w:r>
      <w:r>
        <w:t xml:space="preserve">be, and did we overheat it in the shoulder season? Every declaration in the</w:t>
      </w:r>
      <w:r>
        <w:t xml:space="preserve"> </w:t>
      </w:r>
      <w:r>
        <w:t xml:space="preserve">paper is a claim tested against fleet data; the claims register below is</w:t>
      </w:r>
      <w:r>
        <w:t xml:space="preserve"> </w:t>
      </w:r>
      <w:r>
        <w:t xml:space="preserve">the paper’s spine. Nothing here is settled yet.</w:t>
      </w:r>
    </w:p>
    <w:bookmarkStart w:id="9" w:name="_5d650cfa2aa9b8e30afff95be7bc07876d578e8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John Siegenthaler’s position is that the temperature going into the</w:t>
      </w:r>
      <w:r>
        <w:t xml:space="preserve"> </w:t>
      </w:r>
      <w:r>
        <w:t xml:space="preserve">distribution system should be regulated in a tight band. A full store is no</w:t>
      </w:r>
      <w:r>
        <w:t xml:space="preserve"> </w:t>
      </w:r>
      <w:r>
        <w:t xml:space="preserve">reason to send hot water upstairs; the hot water should be saved.</w:t>
      </w:r>
    </w:p>
    <w:p>
      <w:pPr>
        <w:pStyle w:val="BodyText"/>
      </w:pPr>
      <w:r>
        <w:t xml:space="preserve">Our practice is to send whatever the store has. A heat call with hot water is</w:t>
      </w:r>
      <w:r>
        <w:t xml:space="preserve"> </w:t>
      </w:r>
      <w:r>
        <w:t xml:space="preserve">short. The water then sits in the emitters, keeps giving heat to the room, and</w:t>
      </w:r>
      <w:r>
        <w:t xml:space="preserve"> </w:t>
      </w:r>
      <w:r>
        <w:t xml:space="preserve">comes back much colder than it would in a constant heat call.</w:t>
      </w:r>
    </w:p>
    <w:p>
      <w:pPr>
        <w:pStyle w:val="BodyText"/>
      </w:pPr>
      <w:r>
        <w:t xml:space="preserve">The design question: do we regulate the water temperature going upstairs, do</w:t>
      </w:r>
      <w:r>
        <w:t xml:space="preserve"> </w:t>
      </w:r>
      <w:r>
        <w:t xml:space="preserve">we not care, or do we prefer not to regulate it?</w:t>
      </w:r>
    </w:p>
    <w:p>
      <w:pPr>
        <w:pStyle w:val="BodyText"/>
      </w:pPr>
      <w:r>
        <w:t xml:space="preserve">Required source water temperature (RSWT) is the source temperature at which a</w:t>
      </w:r>
      <w:r>
        <w:t xml:space="preserve"> </w:t>
      </w:r>
      <w:r>
        <w:t xml:space="preserve">zone stays in near-constant heat call and holds its setpoint.</w:t>
      </w:r>
    </w:p>
    <w:bookmarkEnd w:id="9"/>
    <w:bookmarkStart w:id="10" w:name="_f67491f38cc74c1a67233d116b18d83b1b86994"/>
    <w:p>
      <w:pPr>
        <w:pStyle w:val="Heading2"/>
      </w:pPr>
      <w:r>
        <w:t xml:space="preserve">How hot the water comes back</w:t>
      </w:r>
    </w:p>
    <w:p>
      <w:pPr>
        <w:pStyle w:val="FirstParagraph"/>
      </w:pPr>
      <w:r>
        <w:t xml:space="preserve">The concern with sending hot water upstairs unmixed is that hot water</w:t>
      </w:r>
      <w:r>
        <w:t xml:space="preserve"> </w:t>
      </w:r>
      <w:r>
        <w:t xml:space="preserve">comes back: a return hot enough that the heat pump cannot take it, so</w:t>
      </w:r>
      <w:r>
        <w:t xml:space="preserve"> </w:t>
      </w:r>
      <w:r>
        <w:t xml:space="preserve">the heat pump would have to stay off while the top of the buffer is hot.</w:t>
      </w:r>
      <w:r>
        <w:t xml:space="preserve"> </w:t>
      </w:r>
      <w:r>
        <w:t xml:space="preserve">The fleet ran this way all of the 2025–26 season, so the return</w:t>
      </w:r>
      <w:r>
        <w:t xml:space="preserve"> </w:t>
      </w:r>
      <w:r>
        <w:t xml:space="preserve">temperature is on record.</w:t>
      </w:r>
    </w:p>
    <w:p>
      <w:pPr>
        <w:pStyle w:val="BodyText"/>
      </w:pPr>
      <w:r>
        <w:t xml:space="preserve">Two things set the return temperature: how hot the source is, and how</w:t>
      </w:r>
      <w:r>
        <w:t xml:space="preserve"> </w:t>
      </w:r>
      <w:r>
        <w:t xml:space="preserve">much of the hour heat is being called. Each house without a mixing</w:t>
      </w:r>
      <w:r>
        <w:t xml:space="preserve"> </w:t>
      </w:r>
      <w:r>
        <w:t xml:space="preserve">valve has one grid below; spruce has a mixing valve and is left out.</w:t>
      </w:r>
      <w:r>
        <w:t xml:space="preserve"> </w:t>
      </w:r>
      <w:r>
        <w:t xml:space="preserve">Rows are the source temperature to distribution. Columns are the share</w:t>
      </w:r>
      <w:r>
        <w:t xml:space="preserve"> </w:t>
      </w:r>
      <w:r>
        <w:t xml:space="preserve">of the hour the distribution loop circulated, which is the share of the</w:t>
      </w:r>
      <w:r>
        <w:t xml:space="preserve"> </w:t>
      </w:r>
      <w:r>
        <w:t xml:space="preserve">hour some zone was calling for heat. Each cell is the median return</w:t>
      </w:r>
      <w:r>
        <w:t xml:space="preserve"> </w:t>
      </w:r>
      <w:r>
        <w:t xml:space="preserve">temperature from distribution (</w:t>
      </w:r>
      <w:r>
        <w:rPr>
          <w:rStyle w:val="VerbatimChar"/>
        </w:rPr>
        <w:t xml:space="preserve">dist-rwt</w:t>
      </w:r>
      <w:r>
        <w:t xml:space="preserve">, °F, flow-weighted) with the</w:t>
      </w:r>
      <w:r>
        <w:t xml:space="preserve"> </w:t>
      </w:r>
      <w:r>
        <w:t xml:space="preserve">number of hours in brackets; a cell with fewer than ten hours is empty.</w:t>
      </w:r>
      <w:r>
        <w:t xml:space="preserve"> </w:t>
      </w:r>
      <w:r>
        <w:t xml:space="preserve">Quartiles are in</w:t>
      </w:r>
      <w:r>
        <w:t xml:space="preserve"> </w:t>
      </w:r>
      <w:r>
        <w:rPr>
          <w:rStyle w:val="VerbatimChar"/>
        </w:rPr>
        <w:t xml:space="preserve">experiments/dist-loop-experiments/return-temp.md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beech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100–110</w:t>
            </w:r>
          </w:p>
        </w:tc>
        <w:tc>
          <w:tcPr/>
          <w:p>
            <w:pPr>
              <w:pStyle w:val="Compact"/>
            </w:pPr>
            <w:r>
              <w:t xml:space="preserve">76 (15)</w:t>
            </w:r>
          </w:p>
        </w:tc>
        <w:tc>
          <w:tcPr/>
          <w:p>
            <w:pPr>
              <w:pStyle w:val="Compact"/>
            </w:pPr>
            <w:r>
              <w:t xml:space="preserve">89 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  <w:r>
              <w:t xml:space="preserve">79 (53)</w:t>
            </w:r>
          </w:p>
        </w:tc>
        <w:tc>
          <w:tcPr/>
          <w:p>
            <w:pPr>
              <w:pStyle w:val="Compact"/>
            </w:pPr>
            <w:r>
              <w:t xml:space="preserve">95 (25)</w:t>
            </w:r>
          </w:p>
        </w:tc>
        <w:tc>
          <w:tcPr/>
          <w:p>
            <w:pPr>
              <w:pStyle w:val="Compact"/>
            </w:pPr>
            <w:r>
              <w:t xml:space="preserve">101 (10)</w:t>
            </w:r>
          </w:p>
        </w:tc>
        <w:tc>
          <w:tcPr/>
          <w:p>
            <w:pPr>
              <w:pStyle w:val="Compact"/>
            </w:pPr>
            <w:r>
              <w:t xml:space="preserve">102 (12)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85 (153)</w:t>
            </w:r>
          </w:p>
        </w:tc>
        <w:tc>
          <w:tcPr/>
          <w:p>
            <w:pPr>
              <w:pStyle w:val="Compact"/>
            </w:pPr>
            <w:r>
              <w:t xml:space="preserve">99 (103)</w:t>
            </w:r>
          </w:p>
        </w:tc>
        <w:tc>
          <w:tcPr/>
          <w:p>
            <w:pPr>
              <w:pStyle w:val="Compact"/>
            </w:pPr>
            <w:r>
              <w:t xml:space="preserve">106 (61)</w:t>
            </w:r>
          </w:p>
        </w:tc>
        <w:tc>
          <w:tcPr/>
          <w:p>
            <w:pPr>
              <w:pStyle w:val="Compact"/>
            </w:pPr>
            <w:r>
              <w:t xml:space="preserve">110 (48)</w:t>
            </w:r>
          </w:p>
        </w:tc>
        <w:tc>
          <w:tcPr/>
          <w:p>
            <w:pPr>
              <w:pStyle w:val="Compact"/>
            </w:pPr>
            <w:r>
              <w:t xml:space="preserve">112 (11)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91 (262)</w:t>
            </w:r>
          </w:p>
        </w:tc>
        <w:tc>
          <w:tcPr/>
          <w:p>
            <w:pPr>
              <w:pStyle w:val="Compact"/>
            </w:pPr>
            <w:r>
              <w:t xml:space="preserve">103 (309)</w:t>
            </w:r>
          </w:p>
        </w:tc>
        <w:tc>
          <w:tcPr/>
          <w:p>
            <w:pPr>
              <w:pStyle w:val="Compact"/>
            </w:pPr>
            <w:r>
              <w:t xml:space="preserve">111 (196)</w:t>
            </w:r>
          </w:p>
        </w:tc>
        <w:tc>
          <w:tcPr/>
          <w:p>
            <w:pPr>
              <w:pStyle w:val="Compact"/>
            </w:pPr>
            <w:r>
              <w:t xml:space="preserve">115 (83)</w:t>
            </w:r>
          </w:p>
        </w:tc>
        <w:tc>
          <w:tcPr/>
          <w:p>
            <w:pPr>
              <w:pStyle w:val="Compact"/>
            </w:pPr>
            <w:r>
              <w:t xml:space="preserve">118 (28)</w:t>
            </w:r>
          </w:p>
        </w:tc>
        <w:tc>
          <w:tcPr/>
          <w:p>
            <w:pPr>
              <w:pStyle w:val="Compact"/>
            </w:pPr>
            <w:r>
              <w:t xml:space="preserve">119 (29)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94 (381)</w:t>
            </w:r>
          </w:p>
        </w:tc>
        <w:tc>
          <w:tcPr/>
          <w:p>
            <w:pPr>
              <w:pStyle w:val="Compact"/>
            </w:pPr>
            <w:r>
              <w:t xml:space="preserve">106 (349)</w:t>
            </w:r>
          </w:p>
        </w:tc>
        <w:tc>
          <w:tcPr/>
          <w:p>
            <w:pPr>
              <w:pStyle w:val="Compact"/>
            </w:pPr>
            <w:r>
              <w:t xml:space="preserve">116 (205)</w:t>
            </w:r>
          </w:p>
        </w:tc>
        <w:tc>
          <w:tcPr/>
          <w:p>
            <w:pPr>
              <w:pStyle w:val="Compact"/>
            </w:pPr>
            <w:r>
              <w:t xml:space="preserve">121 (165)</w:t>
            </w:r>
          </w:p>
        </w:tc>
        <w:tc>
          <w:tcPr/>
          <w:p>
            <w:pPr>
              <w:pStyle w:val="Compact"/>
            </w:pPr>
            <w:r>
              <w:t xml:space="preserve">124 (56)</w:t>
            </w:r>
          </w:p>
        </w:tc>
        <w:tc>
          <w:tcPr/>
          <w:p>
            <w:pPr>
              <w:pStyle w:val="Compact"/>
            </w:pPr>
            <w:r>
              <w:t xml:space="preserve">125 (47)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94 (295)</w:t>
            </w:r>
          </w:p>
        </w:tc>
        <w:tc>
          <w:tcPr/>
          <w:p>
            <w:pPr>
              <w:pStyle w:val="Compact"/>
            </w:pPr>
            <w:r>
              <w:t xml:space="preserve">112 (261)</w:t>
            </w:r>
          </w:p>
        </w:tc>
        <w:tc>
          <w:tcPr/>
          <w:p>
            <w:pPr>
              <w:pStyle w:val="Compact"/>
            </w:pPr>
            <w:r>
              <w:t xml:space="preserve">123 (206)</w:t>
            </w:r>
          </w:p>
        </w:tc>
        <w:tc>
          <w:tcPr/>
          <w:p>
            <w:pPr>
              <w:pStyle w:val="Compact"/>
            </w:pPr>
            <w:r>
              <w:t xml:space="preserve">127 (115)</w:t>
            </w:r>
          </w:p>
        </w:tc>
        <w:tc>
          <w:tcPr/>
          <w:p>
            <w:pPr>
              <w:pStyle w:val="Compact"/>
            </w:pPr>
            <w:r>
              <w:t xml:space="preserve">132 (49)</w:t>
            </w:r>
          </w:p>
        </w:tc>
        <w:tc>
          <w:tcPr/>
          <w:p>
            <w:pPr>
              <w:pStyle w:val="Compact"/>
            </w:pPr>
            <w:r>
              <w:t xml:space="preserve">131 (53)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94 (128)</w:t>
            </w:r>
          </w:p>
        </w:tc>
        <w:tc>
          <w:tcPr/>
          <w:p>
            <w:pPr>
              <w:pStyle w:val="Compact"/>
            </w:pPr>
            <w:r>
              <w:t xml:space="preserve">117 (164)</w:t>
            </w:r>
          </w:p>
        </w:tc>
        <w:tc>
          <w:tcPr/>
          <w:p>
            <w:pPr>
              <w:pStyle w:val="Compact"/>
            </w:pPr>
            <w:r>
              <w:t xml:space="preserve">127 (148)</w:t>
            </w:r>
          </w:p>
        </w:tc>
        <w:tc>
          <w:tcPr/>
          <w:p>
            <w:pPr>
              <w:pStyle w:val="Compact"/>
            </w:pPr>
            <w:r>
              <w:t xml:space="preserve">134 (113)</w:t>
            </w:r>
          </w:p>
        </w:tc>
        <w:tc>
          <w:tcPr/>
          <w:p>
            <w:pPr>
              <w:pStyle w:val="Compact"/>
            </w:pPr>
            <w:r>
              <w:t xml:space="preserve">136 (28)</w:t>
            </w:r>
          </w:p>
        </w:tc>
        <w:tc>
          <w:tcPr/>
          <w:p>
            <w:pPr>
              <w:pStyle w:val="Compact"/>
            </w:pPr>
            <w:r>
              <w:t xml:space="preserve">138 (24)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131 (19)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elm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  <w:r>
              <w:t xml:space="preserve">88 (24)</w:t>
            </w:r>
          </w:p>
        </w:tc>
        <w:tc>
          <w:tcPr/>
          <w:p>
            <w:pPr>
              <w:pStyle w:val="Compact"/>
            </w:pPr>
            <w:r>
              <w:t xml:space="preserve">96 (28)</w:t>
            </w:r>
          </w:p>
        </w:tc>
        <w:tc>
          <w:tcPr/>
          <w:p>
            <w:pPr>
              <w:pStyle w:val="Compact"/>
            </w:pPr>
            <w:r>
              <w:t xml:space="preserve">101 (23)</w:t>
            </w:r>
          </w:p>
        </w:tc>
        <w:tc>
          <w:tcPr/>
          <w:p>
            <w:pPr>
              <w:pStyle w:val="Compact"/>
            </w:pPr>
            <w:r>
              <w:t xml:space="preserve">104 (15)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107 (11)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90 (107)</w:t>
            </w:r>
          </w:p>
        </w:tc>
        <w:tc>
          <w:tcPr/>
          <w:p>
            <w:pPr>
              <w:pStyle w:val="Compact"/>
            </w:pPr>
            <w:r>
              <w:t xml:space="preserve">99 (110)</w:t>
            </w:r>
          </w:p>
        </w:tc>
        <w:tc>
          <w:tcPr/>
          <w:p>
            <w:pPr>
              <w:pStyle w:val="Compact"/>
            </w:pPr>
            <w:r>
              <w:t xml:space="preserve">104 (116)</w:t>
            </w:r>
          </w:p>
        </w:tc>
        <w:tc>
          <w:tcPr/>
          <w:p>
            <w:pPr>
              <w:pStyle w:val="Compact"/>
            </w:pPr>
            <w:r>
              <w:t xml:space="preserve">107 (50)</w:t>
            </w:r>
          </w:p>
        </w:tc>
        <w:tc>
          <w:tcPr/>
          <w:p>
            <w:pPr>
              <w:pStyle w:val="Compact"/>
            </w:pPr>
            <w:r>
              <w:t xml:space="preserve">109 (24)</w:t>
            </w:r>
          </w:p>
        </w:tc>
        <w:tc>
          <w:tcPr/>
          <w:p>
            <w:pPr>
              <w:pStyle w:val="Compact"/>
            </w:pPr>
            <w:r>
              <w:t xml:space="preserve">112 (35)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95 (213)</w:t>
            </w:r>
          </w:p>
        </w:tc>
        <w:tc>
          <w:tcPr/>
          <w:p>
            <w:pPr>
              <w:pStyle w:val="Compact"/>
            </w:pPr>
            <w:r>
              <w:t xml:space="preserve">104 (324)</w:t>
            </w:r>
          </w:p>
        </w:tc>
        <w:tc>
          <w:tcPr/>
          <w:p>
            <w:pPr>
              <w:pStyle w:val="Compact"/>
            </w:pPr>
            <w:r>
              <w:t xml:space="preserve">109 (265)</w:t>
            </w:r>
          </w:p>
        </w:tc>
        <w:tc>
          <w:tcPr/>
          <w:p>
            <w:pPr>
              <w:pStyle w:val="Compact"/>
            </w:pPr>
            <w:r>
              <w:t xml:space="preserve">112 (178)</w:t>
            </w:r>
          </w:p>
        </w:tc>
        <w:tc>
          <w:tcPr/>
          <w:p>
            <w:pPr>
              <w:pStyle w:val="Compact"/>
            </w:pPr>
            <w:r>
              <w:t xml:space="preserve">115 (76)</w:t>
            </w:r>
          </w:p>
        </w:tc>
        <w:tc>
          <w:tcPr/>
          <w:p>
            <w:pPr>
              <w:pStyle w:val="Compact"/>
            </w:pPr>
            <w:r>
              <w:t xml:space="preserve">117 (83)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102 (235)</w:t>
            </w:r>
          </w:p>
        </w:tc>
        <w:tc>
          <w:tcPr/>
          <w:p>
            <w:pPr>
              <w:pStyle w:val="Compact"/>
            </w:pPr>
            <w:r>
              <w:t xml:space="preserve">112 (462)</w:t>
            </w:r>
          </w:p>
        </w:tc>
        <w:tc>
          <w:tcPr/>
          <w:p>
            <w:pPr>
              <w:pStyle w:val="Compact"/>
            </w:pPr>
            <w:r>
              <w:t xml:space="preserve">115 (412)</w:t>
            </w:r>
          </w:p>
        </w:tc>
        <w:tc>
          <w:tcPr/>
          <w:p>
            <w:pPr>
              <w:pStyle w:val="Compact"/>
            </w:pPr>
            <w:r>
              <w:t xml:space="preserve">117 (286)</w:t>
            </w:r>
          </w:p>
        </w:tc>
        <w:tc>
          <w:tcPr/>
          <w:p>
            <w:pPr>
              <w:pStyle w:val="Compact"/>
            </w:pPr>
            <w:r>
              <w:t xml:space="preserve">119 (152)</w:t>
            </w:r>
          </w:p>
        </w:tc>
        <w:tc>
          <w:tcPr/>
          <w:p>
            <w:pPr>
              <w:pStyle w:val="Compact"/>
            </w:pPr>
            <w:r>
              <w:t xml:space="preserve">123 (144)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109 (136)</w:t>
            </w:r>
          </w:p>
        </w:tc>
        <w:tc>
          <w:tcPr/>
          <w:p>
            <w:pPr>
              <w:pStyle w:val="Compact"/>
            </w:pPr>
            <w:r>
              <w:t xml:space="preserve">116 (187)</w:t>
            </w:r>
          </w:p>
        </w:tc>
        <w:tc>
          <w:tcPr/>
          <w:p>
            <w:pPr>
              <w:pStyle w:val="Compact"/>
            </w:pPr>
            <w:r>
              <w:t xml:space="preserve">121 (178)</w:t>
            </w:r>
          </w:p>
        </w:tc>
        <w:tc>
          <w:tcPr/>
          <w:p>
            <w:pPr>
              <w:pStyle w:val="Compact"/>
            </w:pPr>
            <w:r>
              <w:t xml:space="preserve">123 (153)</w:t>
            </w:r>
          </w:p>
        </w:tc>
        <w:tc>
          <w:tcPr/>
          <w:p>
            <w:pPr>
              <w:pStyle w:val="Compact"/>
            </w:pPr>
            <w:r>
              <w:t xml:space="preserve">126 (82)</w:t>
            </w:r>
          </w:p>
        </w:tc>
        <w:tc>
          <w:tcPr/>
          <w:p>
            <w:pPr>
              <w:pStyle w:val="Compact"/>
            </w:pPr>
            <w:r>
              <w:t xml:space="preserve">129 (72)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116 (14)</w:t>
            </w:r>
          </w:p>
        </w:tc>
        <w:tc>
          <w:tcPr/>
          <w:p>
            <w:pPr>
              <w:pStyle w:val="Compact"/>
            </w:pPr>
            <w:r>
              <w:t xml:space="preserve">123 (27)</w:t>
            </w:r>
          </w:p>
        </w:tc>
        <w:tc>
          <w:tcPr/>
          <w:p>
            <w:pPr>
              <w:pStyle w:val="Compact"/>
            </w:pPr>
            <w:r>
              <w:t xml:space="preserve">124 (16)</w:t>
            </w:r>
          </w:p>
        </w:tc>
        <w:tc>
          <w:tcPr/>
          <w:p>
            <w:pPr>
              <w:pStyle w:val="Compact"/>
            </w:pPr>
            <w:r>
              <w:t xml:space="preserve">127 (15)</w:t>
            </w:r>
          </w:p>
        </w:tc>
        <w:tc>
          <w:tcPr/>
          <w:p>
            <w:pPr>
              <w:pStyle w:val="Compact"/>
            </w:pPr>
            <w:r>
              <w:t xml:space="preserve">132 (13)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fir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100–110</w:t>
            </w:r>
          </w:p>
        </w:tc>
        <w:tc>
          <w:tcPr/>
          <w:p>
            <w:pPr>
              <w:pStyle w:val="Compact"/>
            </w:pPr>
            <w:r>
              <w:t xml:space="preserve">90 (23)</w:t>
            </w:r>
          </w:p>
        </w:tc>
        <w:tc>
          <w:tcPr/>
          <w:p>
            <w:pPr>
              <w:pStyle w:val="Compact"/>
            </w:pPr>
            <w:r>
              <w:t xml:space="preserve">98 (19)</w:t>
            </w:r>
          </w:p>
        </w:tc>
        <w:tc>
          <w:tcPr/>
          <w:p>
            <w:pPr>
              <w:pStyle w:val="Compact"/>
            </w:pPr>
            <w:r>
              <w:t xml:space="preserve">99 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102 (18)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  <w:r>
              <w:t xml:space="preserve">97 (76)</w:t>
            </w:r>
          </w:p>
        </w:tc>
        <w:tc>
          <w:tcPr/>
          <w:p>
            <w:pPr>
              <w:pStyle w:val="Compact"/>
            </w:pPr>
            <w:r>
              <w:t xml:space="preserve">103 (57)</w:t>
            </w:r>
          </w:p>
        </w:tc>
        <w:tc>
          <w:tcPr/>
          <w:p>
            <w:pPr>
              <w:pStyle w:val="Compact"/>
            </w:pPr>
            <w:r>
              <w:t xml:space="preserve">105 (42)</w:t>
            </w:r>
          </w:p>
        </w:tc>
        <w:tc>
          <w:tcPr/>
          <w:p>
            <w:pPr>
              <w:pStyle w:val="Compact"/>
            </w:pPr>
            <w:r>
              <w:t xml:space="preserve">107 (41)</w:t>
            </w:r>
          </w:p>
        </w:tc>
        <w:tc>
          <w:tcPr/>
          <w:p>
            <w:pPr>
              <w:pStyle w:val="Compact"/>
            </w:pPr>
            <w:r>
              <w:t xml:space="preserve">108 (14)</w:t>
            </w:r>
          </w:p>
        </w:tc>
        <w:tc>
          <w:tcPr/>
          <w:p>
            <w:pPr>
              <w:pStyle w:val="Compact"/>
            </w:pPr>
            <w:r>
              <w:t xml:space="preserve">106 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102 (173)</w:t>
            </w:r>
          </w:p>
        </w:tc>
        <w:tc>
          <w:tcPr/>
          <w:p>
            <w:pPr>
              <w:pStyle w:val="Compact"/>
            </w:pPr>
            <w:r>
              <w:t xml:space="preserve">107 (187)</w:t>
            </w:r>
          </w:p>
        </w:tc>
        <w:tc>
          <w:tcPr/>
          <w:p>
            <w:pPr>
              <w:pStyle w:val="Compact"/>
            </w:pPr>
            <w:r>
              <w:t xml:space="preserve">112 (123)</w:t>
            </w:r>
          </w:p>
        </w:tc>
        <w:tc>
          <w:tcPr/>
          <w:p>
            <w:pPr>
              <w:pStyle w:val="Compact"/>
            </w:pPr>
            <w:r>
              <w:t xml:space="preserve">111 (46)</w:t>
            </w:r>
          </w:p>
        </w:tc>
        <w:tc>
          <w:tcPr/>
          <w:p>
            <w:pPr>
              <w:pStyle w:val="Compact"/>
            </w:pPr>
            <w:r>
              <w:t xml:space="preserve">114 (21)</w:t>
            </w:r>
          </w:p>
        </w:tc>
        <w:tc>
          <w:tcPr/>
          <w:p>
            <w:pPr>
              <w:pStyle w:val="Compact"/>
            </w:pPr>
            <w:r>
              <w:t xml:space="preserve">114 (24)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106 (261)</w:t>
            </w:r>
          </w:p>
        </w:tc>
        <w:tc>
          <w:tcPr/>
          <w:p>
            <w:pPr>
              <w:pStyle w:val="Compact"/>
            </w:pPr>
            <w:r>
              <w:t xml:space="preserve">114 (359)</w:t>
            </w:r>
          </w:p>
        </w:tc>
        <w:tc>
          <w:tcPr/>
          <w:p>
            <w:pPr>
              <w:pStyle w:val="Compact"/>
            </w:pPr>
            <w:r>
              <w:t xml:space="preserve">117 (229)</w:t>
            </w:r>
          </w:p>
        </w:tc>
        <w:tc>
          <w:tcPr/>
          <w:p>
            <w:pPr>
              <w:pStyle w:val="Compact"/>
            </w:pPr>
            <w:r>
              <w:t xml:space="preserve">119 (145)</w:t>
            </w:r>
          </w:p>
        </w:tc>
        <w:tc>
          <w:tcPr/>
          <w:p>
            <w:pPr>
              <w:pStyle w:val="Compact"/>
            </w:pPr>
            <w:r>
              <w:t xml:space="preserve">120 (65)</w:t>
            </w:r>
          </w:p>
        </w:tc>
        <w:tc>
          <w:tcPr/>
          <w:p>
            <w:pPr>
              <w:pStyle w:val="Compact"/>
            </w:pPr>
            <w:r>
              <w:t xml:space="preserve">121 (42)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111 (356)</w:t>
            </w:r>
          </w:p>
        </w:tc>
        <w:tc>
          <w:tcPr/>
          <w:p>
            <w:pPr>
              <w:pStyle w:val="Compact"/>
            </w:pPr>
            <w:r>
              <w:t xml:space="preserve">119 (391)</w:t>
            </w:r>
          </w:p>
        </w:tc>
        <w:tc>
          <w:tcPr/>
          <w:p>
            <w:pPr>
              <w:pStyle w:val="Compact"/>
            </w:pPr>
            <w:r>
              <w:t xml:space="preserve">122 (212)</w:t>
            </w:r>
          </w:p>
        </w:tc>
        <w:tc>
          <w:tcPr/>
          <w:p>
            <w:pPr>
              <w:pStyle w:val="Compact"/>
            </w:pPr>
            <w:r>
              <w:t xml:space="preserve">124 (174)</w:t>
            </w:r>
          </w:p>
        </w:tc>
        <w:tc>
          <w:tcPr/>
          <w:p>
            <w:pPr>
              <w:pStyle w:val="Compact"/>
            </w:pPr>
            <w:r>
              <w:t xml:space="preserve">126 (135)</w:t>
            </w:r>
          </w:p>
        </w:tc>
        <w:tc>
          <w:tcPr/>
          <w:p>
            <w:pPr>
              <w:pStyle w:val="Compact"/>
            </w:pPr>
            <w:r>
              <w:t xml:space="preserve">127 (62)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116 (234)</w:t>
            </w:r>
          </w:p>
        </w:tc>
        <w:tc>
          <w:tcPr/>
          <w:p>
            <w:pPr>
              <w:pStyle w:val="Compact"/>
            </w:pPr>
            <w:r>
              <w:t xml:space="preserve">122 (178)</w:t>
            </w:r>
          </w:p>
        </w:tc>
        <w:tc>
          <w:tcPr/>
          <w:p>
            <w:pPr>
              <w:pStyle w:val="Compact"/>
            </w:pPr>
            <w:r>
              <w:t xml:space="preserve">126 (114)</w:t>
            </w:r>
          </w:p>
        </w:tc>
        <w:tc>
          <w:tcPr/>
          <w:p>
            <w:pPr>
              <w:pStyle w:val="Compact"/>
            </w:pPr>
            <w:r>
              <w:t xml:space="preserve">131 (73)</w:t>
            </w:r>
          </w:p>
        </w:tc>
        <w:tc>
          <w:tcPr/>
          <w:p>
            <w:pPr>
              <w:pStyle w:val="Compact"/>
            </w:pPr>
            <w:r>
              <w:t xml:space="preserve">133 (41)</w:t>
            </w:r>
          </w:p>
        </w:tc>
        <w:tc>
          <w:tcPr/>
          <w:p>
            <w:pPr>
              <w:pStyle w:val="Compact"/>
            </w:pPr>
            <w:r>
              <w:t xml:space="preserve">134 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117 (45)</w:t>
            </w:r>
          </w:p>
        </w:tc>
        <w:tc>
          <w:tcPr/>
          <w:p>
            <w:pPr>
              <w:pStyle w:val="Compact"/>
            </w:pPr>
            <w:r>
              <w:t xml:space="preserve">127 (59)</w:t>
            </w:r>
          </w:p>
        </w:tc>
        <w:tc>
          <w:tcPr/>
          <w:p>
            <w:pPr>
              <w:pStyle w:val="Compact"/>
            </w:pPr>
            <w:r>
              <w:t xml:space="preserve">132 (19)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maple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100–110</w:t>
            </w:r>
          </w:p>
        </w:tc>
        <w:tc>
          <w:tcPr/>
          <w:p>
            <w:pPr>
              <w:pStyle w:val="Compact"/>
            </w:pPr>
            <w:r>
              <w:t xml:space="preserve">77 (30)</w:t>
            </w:r>
          </w:p>
        </w:tc>
        <w:tc>
          <w:tcPr/>
          <w:p>
            <w:pPr>
              <w:pStyle w:val="Compact"/>
            </w:pPr>
            <w:r>
              <w:t xml:space="preserve">90 (12)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99 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  <w:r>
              <w:t xml:space="preserve">82 (66)</w:t>
            </w:r>
          </w:p>
        </w:tc>
        <w:tc>
          <w:tcPr/>
          <w:p>
            <w:pPr>
              <w:pStyle w:val="Compact"/>
            </w:pPr>
            <w:r>
              <w:t xml:space="preserve">94 (43)</w:t>
            </w:r>
          </w:p>
        </w:tc>
        <w:tc>
          <w:tcPr/>
          <w:p>
            <w:pPr>
              <w:pStyle w:val="Compact"/>
            </w:pPr>
            <w:r>
              <w:t xml:space="preserve">100 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108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84 (178)</w:t>
            </w:r>
          </w:p>
        </w:tc>
        <w:tc>
          <w:tcPr/>
          <w:p>
            <w:pPr>
              <w:pStyle w:val="Compact"/>
            </w:pPr>
            <w:r>
              <w:t xml:space="preserve">100 (99)</w:t>
            </w:r>
          </w:p>
        </w:tc>
        <w:tc>
          <w:tcPr/>
          <w:p>
            <w:pPr>
              <w:pStyle w:val="Compact"/>
            </w:pPr>
            <w:r>
              <w:t xml:space="preserve">109 (49)</w:t>
            </w:r>
          </w:p>
        </w:tc>
        <w:tc>
          <w:tcPr/>
          <w:p>
            <w:pPr>
              <w:pStyle w:val="Compact"/>
            </w:pPr>
            <w:r>
              <w:t xml:space="preserve">113 (22)</w:t>
            </w:r>
          </w:p>
        </w:tc>
        <w:tc>
          <w:tcPr/>
          <w:p>
            <w:pPr>
              <w:pStyle w:val="Compact"/>
            </w:pPr>
            <w:r>
              <w:t xml:space="preserve">116 (15)</w:t>
            </w:r>
          </w:p>
        </w:tc>
        <w:tc>
          <w:tcPr/>
          <w:p>
            <w:pPr>
              <w:pStyle w:val="Compact"/>
            </w:pPr>
            <w:r>
              <w:t xml:space="preserve">117 (42)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91 (158)</w:t>
            </w:r>
          </w:p>
        </w:tc>
        <w:tc>
          <w:tcPr/>
          <w:p>
            <w:pPr>
              <w:pStyle w:val="Compact"/>
            </w:pPr>
            <w:r>
              <w:t xml:space="preserve">107 (194)</w:t>
            </w:r>
          </w:p>
        </w:tc>
        <w:tc>
          <w:tcPr/>
          <w:p>
            <w:pPr>
              <w:pStyle w:val="Compact"/>
            </w:pPr>
            <w:r>
              <w:t xml:space="preserve">115 (93)</w:t>
            </w:r>
          </w:p>
        </w:tc>
        <w:tc>
          <w:tcPr/>
          <w:p>
            <w:pPr>
              <w:pStyle w:val="Compact"/>
            </w:pPr>
            <w:r>
              <w:t xml:space="preserve">120 (65)</w:t>
            </w:r>
          </w:p>
        </w:tc>
        <w:tc>
          <w:tcPr/>
          <w:p>
            <w:pPr>
              <w:pStyle w:val="Compact"/>
            </w:pPr>
            <w:r>
              <w:t xml:space="preserve">123 (29)</w:t>
            </w:r>
          </w:p>
        </w:tc>
        <w:tc>
          <w:tcPr/>
          <w:p>
            <w:pPr>
              <w:pStyle w:val="Compact"/>
            </w:pPr>
            <w:r>
              <w:t xml:space="preserve">126 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102 (201)</w:t>
            </w:r>
          </w:p>
        </w:tc>
        <w:tc>
          <w:tcPr/>
          <w:p>
            <w:pPr>
              <w:pStyle w:val="Compact"/>
            </w:pPr>
            <w:r>
              <w:t xml:space="preserve">116 (322)</w:t>
            </w:r>
          </w:p>
        </w:tc>
        <w:tc>
          <w:tcPr/>
          <w:p>
            <w:pPr>
              <w:pStyle w:val="Compact"/>
            </w:pPr>
            <w:r>
              <w:t xml:space="preserve">123 (210)</w:t>
            </w:r>
          </w:p>
        </w:tc>
        <w:tc>
          <w:tcPr/>
          <w:p>
            <w:pPr>
              <w:pStyle w:val="Compact"/>
            </w:pPr>
            <w:r>
              <w:t xml:space="preserve">130 (97)</w:t>
            </w:r>
          </w:p>
        </w:tc>
        <w:tc>
          <w:tcPr/>
          <w:p>
            <w:pPr>
              <w:pStyle w:val="Compact"/>
            </w:pPr>
            <w:r>
              <w:t xml:space="preserve">132 (40)</w:t>
            </w:r>
          </w:p>
        </w:tc>
        <w:tc>
          <w:tcPr/>
          <w:p>
            <w:pPr>
              <w:pStyle w:val="Compact"/>
            </w:pPr>
            <w:r>
              <w:t xml:space="preserve">134 (67)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113 (229)</w:t>
            </w:r>
          </w:p>
        </w:tc>
        <w:tc>
          <w:tcPr/>
          <w:p>
            <w:pPr>
              <w:pStyle w:val="Compact"/>
            </w:pPr>
            <w:r>
              <w:t xml:space="preserve">125 (389)</w:t>
            </w:r>
          </w:p>
        </w:tc>
        <w:tc>
          <w:tcPr/>
          <w:p>
            <w:pPr>
              <w:pStyle w:val="Compact"/>
            </w:pPr>
            <w:r>
              <w:t xml:space="preserve">133 (248)</w:t>
            </w:r>
          </w:p>
        </w:tc>
        <w:tc>
          <w:tcPr/>
          <w:p>
            <w:pPr>
              <w:pStyle w:val="Compact"/>
            </w:pPr>
            <w:r>
              <w:t xml:space="preserve">139 (142)</w:t>
            </w:r>
          </w:p>
        </w:tc>
        <w:tc>
          <w:tcPr/>
          <w:p>
            <w:pPr>
              <w:pStyle w:val="Compact"/>
            </w:pPr>
            <w:r>
              <w:t xml:space="preserve">142 (47)</w:t>
            </w:r>
          </w:p>
        </w:tc>
        <w:tc>
          <w:tcPr/>
          <w:p>
            <w:pPr>
              <w:pStyle w:val="Compact"/>
            </w:pPr>
            <w:r>
              <w:t xml:space="preserve">143 (118)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118 (197)</w:t>
            </w:r>
          </w:p>
        </w:tc>
        <w:tc>
          <w:tcPr/>
          <w:p>
            <w:pPr>
              <w:pStyle w:val="Compact"/>
            </w:pPr>
            <w:r>
              <w:t xml:space="preserve">135 (309)</w:t>
            </w:r>
          </w:p>
        </w:tc>
        <w:tc>
          <w:tcPr/>
          <w:p>
            <w:pPr>
              <w:pStyle w:val="Compact"/>
            </w:pPr>
            <w:r>
              <w:t xml:space="preserve">143 (230)</w:t>
            </w:r>
          </w:p>
        </w:tc>
        <w:tc>
          <w:tcPr/>
          <w:p>
            <w:pPr>
              <w:pStyle w:val="Compact"/>
            </w:pPr>
            <w:r>
              <w:t xml:space="preserve">148 (149)</w:t>
            </w:r>
          </w:p>
        </w:tc>
        <w:tc>
          <w:tcPr/>
          <w:p>
            <w:pPr>
              <w:pStyle w:val="Compact"/>
            </w:pPr>
            <w:r>
              <w:t xml:space="preserve">151 (65)</w:t>
            </w:r>
          </w:p>
        </w:tc>
        <w:tc>
          <w:tcPr/>
          <w:p>
            <w:pPr>
              <w:pStyle w:val="Compact"/>
            </w:pPr>
            <w:r>
              <w:t xml:space="preserve">153 (187)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156 (15)</w:t>
            </w:r>
          </w:p>
        </w:tc>
        <w:tc>
          <w:tcPr/>
          <w:p>
            <w:pPr>
              <w:pStyle w:val="Compact"/>
            </w:pPr>
            <w:r>
              <w:t xml:space="preserve">158 (46)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oak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under 20%</w:t>
            </w:r>
          </w:p>
        </w:tc>
        <w:tc>
          <w:tcPr/>
          <w:p>
            <w:pPr>
              <w:pStyle w:val="Compact"/>
            </w:pPr>
            <w:r>
              <w:t xml:space="preserve">20–40%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80–95%</w:t>
            </w:r>
          </w:p>
        </w:tc>
        <w:tc>
          <w:tcPr/>
          <w:p>
            <w:pPr>
              <w:pStyle w:val="Compact"/>
            </w:pPr>
            <w:r>
              <w:t xml:space="preserve">95–100%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100–110</w:t>
            </w:r>
          </w:p>
        </w:tc>
        <w:tc>
          <w:tcPr/>
          <w:p>
            <w:pPr>
              <w:pStyle w:val="Compact"/>
            </w:pPr>
            <w:r>
              <w:t xml:space="preserve">89 (38)</w:t>
            </w:r>
          </w:p>
        </w:tc>
        <w:tc>
          <w:tcPr/>
          <w:p>
            <w:pPr>
              <w:pStyle w:val="Compact"/>
            </w:pPr>
            <w:r>
              <w:t xml:space="preserve">95 (15)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  <w:r>
              <w:t xml:space="preserve">94 (125)</w:t>
            </w:r>
          </w:p>
        </w:tc>
        <w:tc>
          <w:tcPr/>
          <w:p>
            <w:pPr>
              <w:pStyle w:val="Compact"/>
            </w:pPr>
            <w:r>
              <w:t xml:space="preserve">99 (54)</w:t>
            </w:r>
          </w:p>
        </w:tc>
        <w:tc>
          <w:tcPr/>
          <w:p>
            <w:pPr>
              <w:pStyle w:val="Compact"/>
            </w:pPr>
            <w:r>
              <w:t xml:space="preserve">100 (21)</w:t>
            </w:r>
          </w:p>
        </w:tc>
        <w:tc>
          <w:tcPr/>
          <w:p>
            <w:pPr>
              <w:pStyle w:val="Compact"/>
            </w:pPr>
            <w:r>
              <w:t xml:space="preserve">103 (11)</w:t>
            </w:r>
          </w:p>
        </w:tc>
        <w:tc>
          <w:tcPr/>
          <w:p>
            <w:pPr>
              <w:pStyle w:val="Compact"/>
            </w:pPr>
            <w:r>
              <w:t xml:space="preserve">103 (11)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  <w:r>
              <w:t xml:space="preserve">92 (306)</w:t>
            </w:r>
          </w:p>
        </w:tc>
        <w:tc>
          <w:tcPr/>
          <w:p>
            <w:pPr>
              <w:pStyle w:val="Compact"/>
            </w:pPr>
            <w:r>
              <w:t xml:space="preserve">99 (160)</w:t>
            </w:r>
          </w:p>
        </w:tc>
        <w:tc>
          <w:tcPr/>
          <w:p>
            <w:pPr>
              <w:pStyle w:val="Compact"/>
            </w:pPr>
            <w:r>
              <w:t xml:space="preserve">104 (47)</w:t>
            </w:r>
          </w:p>
        </w:tc>
        <w:tc>
          <w:tcPr/>
          <w:p>
            <w:pPr>
              <w:pStyle w:val="Compact"/>
            </w:pPr>
            <w:r>
              <w:t xml:space="preserve">107 (42)</w:t>
            </w:r>
          </w:p>
        </w:tc>
        <w:tc>
          <w:tcPr/>
          <w:p>
            <w:pPr>
              <w:pStyle w:val="Compact"/>
            </w:pPr>
            <w:r>
              <w:t xml:space="preserve">108 (22)</w:t>
            </w:r>
          </w:p>
        </w:tc>
        <w:tc>
          <w:tcPr/>
          <w:p>
            <w:pPr>
              <w:pStyle w:val="Compact"/>
            </w:pPr>
            <w:r>
              <w:t xml:space="preserve">108 (19)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95 (514)</w:t>
            </w:r>
          </w:p>
        </w:tc>
        <w:tc>
          <w:tcPr/>
          <w:p>
            <w:pPr>
              <w:pStyle w:val="Compact"/>
            </w:pPr>
            <w:r>
              <w:t xml:space="preserve">102 (408)</w:t>
            </w:r>
          </w:p>
        </w:tc>
        <w:tc>
          <w:tcPr/>
          <w:p>
            <w:pPr>
              <w:pStyle w:val="Compact"/>
            </w:pPr>
            <w:r>
              <w:t xml:space="preserve">109 (165)</w:t>
            </w:r>
          </w:p>
        </w:tc>
        <w:tc>
          <w:tcPr/>
          <w:p>
            <w:pPr>
              <w:pStyle w:val="Compact"/>
            </w:pPr>
            <w:r>
              <w:t xml:space="preserve">113 (99)</w:t>
            </w:r>
          </w:p>
        </w:tc>
        <w:tc>
          <w:tcPr/>
          <w:p>
            <w:pPr>
              <w:pStyle w:val="Compact"/>
            </w:pPr>
            <w:r>
              <w:t xml:space="preserve">116 (27)</w:t>
            </w:r>
          </w:p>
        </w:tc>
        <w:tc>
          <w:tcPr/>
          <w:p>
            <w:pPr>
              <w:pStyle w:val="Compact"/>
            </w:pPr>
            <w:r>
              <w:t xml:space="preserve">116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99 (461)</w:t>
            </w:r>
          </w:p>
        </w:tc>
        <w:tc>
          <w:tcPr/>
          <w:p>
            <w:pPr>
              <w:pStyle w:val="Compact"/>
            </w:pPr>
            <w:r>
              <w:t xml:space="preserve">106 (415)</w:t>
            </w:r>
          </w:p>
        </w:tc>
        <w:tc>
          <w:tcPr/>
          <w:p>
            <w:pPr>
              <w:pStyle w:val="Compact"/>
            </w:pPr>
            <w:r>
              <w:t xml:space="preserve">115 (145)</w:t>
            </w:r>
          </w:p>
        </w:tc>
        <w:tc>
          <w:tcPr/>
          <w:p>
            <w:pPr>
              <w:pStyle w:val="Compact"/>
            </w:pPr>
            <w:r>
              <w:t xml:space="preserve">122 (60)</w:t>
            </w:r>
          </w:p>
        </w:tc>
        <w:tc>
          <w:tcPr/>
          <w:p>
            <w:pPr>
              <w:pStyle w:val="Compact"/>
            </w:pPr>
            <w:r>
              <w:t xml:space="preserve">122 (12)</w:t>
            </w:r>
          </w:p>
        </w:tc>
        <w:tc>
          <w:tcPr/>
          <w:p>
            <w:pPr>
              <w:pStyle w:val="Compact"/>
            </w:pPr>
            <w:r>
              <w:t xml:space="preserve">118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111 (260)</w:t>
            </w:r>
          </w:p>
        </w:tc>
        <w:tc>
          <w:tcPr/>
          <w:p>
            <w:pPr>
              <w:pStyle w:val="Compact"/>
            </w:pPr>
            <w:r>
              <w:t xml:space="preserve">115 (214)</w:t>
            </w:r>
          </w:p>
        </w:tc>
        <w:tc>
          <w:tcPr/>
          <w:p>
            <w:pPr>
              <w:pStyle w:val="Compact"/>
            </w:pPr>
            <w:r>
              <w:t xml:space="preserve">119 (49)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120 (110)</w:t>
            </w:r>
          </w:p>
        </w:tc>
        <w:tc>
          <w:tcPr/>
          <w:p>
            <w:pPr>
              <w:pStyle w:val="Compact"/>
            </w:pPr>
            <w:r>
              <w:t xml:space="preserve">121 (71)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  <w:r>
              <w:t xml:space="preserve">126 (11)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The right-hand column again as a temperature drop: the median drop</w:t>
      </w:r>
      <w:r>
        <w:t xml:space="preserve"> </w:t>
      </w:r>
      <w:r>
        <w:t xml:space="preserve">from source to return (°F) in hours the loop circulated 95–100% of the</w:t>
      </w:r>
      <w:r>
        <w:t xml:space="preserve"> </w:t>
      </w:r>
      <w:r>
        <w:t xml:space="preserve">hour, by source temperature, with the number of hours in brackets.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beech</w:t>
            </w:r>
          </w:p>
        </w:tc>
        <w:tc>
          <w:tcPr/>
          <w:p>
            <w:pPr>
              <w:pStyle w:val="Compact"/>
            </w:pPr>
            <w:r>
              <w:t xml:space="preserve">elm</w:t>
            </w:r>
          </w:p>
        </w:tc>
        <w:tc>
          <w:tcPr/>
          <w:p>
            <w:pPr>
              <w:pStyle w:val="Compact"/>
            </w:pPr>
            <w:r>
              <w:t xml:space="preserve">fir</w:t>
            </w:r>
          </w:p>
        </w:tc>
        <w:tc>
          <w:tcPr/>
          <w:p>
            <w:pPr>
              <w:pStyle w:val="Compact"/>
            </w:pPr>
            <w:r>
              <w:t xml:space="preserve">maple</w:t>
            </w:r>
          </w:p>
        </w:tc>
        <w:tc>
          <w:tcPr/>
          <w:p>
            <w:pPr>
              <w:pStyle w:val="Compact"/>
            </w:pPr>
            <w:r>
              <w:t xml:space="preserve">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 (14)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2.9 (13)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100–110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4.2 (18)</w:t>
            </w:r>
          </w:p>
        </w:tc>
        <w:tc>
          <w:tcPr/>
          <w:p>
            <w:pPr>
              <w:pStyle w:val="Compact"/>
            </w:pPr>
            <w:r>
              <w:t xml:space="preserve">6.5 (10)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110–120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10.8 (11)</w:t>
            </w:r>
          </w:p>
        </w:tc>
        <w:tc>
          <w:tcPr/>
          <w:p>
            <w:pPr>
              <w:pStyle w:val="Compact"/>
            </w:pPr>
            <w:r>
              <w:t xml:space="preserve">9.4 (20)</w:t>
            </w:r>
          </w:p>
        </w:tc>
        <w:tc>
          <w:tcPr/>
          <w:p>
            <w:pPr>
              <w:pStyle w:val="Compact"/>
            </w:pPr>
            <w:r>
              <w:t xml:space="preserve">7.1 (12)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120–130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15.0 (35)</w:t>
            </w:r>
          </w:p>
        </w:tc>
        <w:tc>
          <w:tcPr/>
          <w:p>
            <w:pPr>
              <w:pStyle w:val="Compact"/>
            </w:pPr>
            <w:r>
              <w:t xml:space="preserve">11.4 (24)</w:t>
            </w:r>
          </w:p>
        </w:tc>
        <w:tc>
          <w:tcPr/>
          <w:p>
            <w:pPr>
              <w:pStyle w:val="Compact"/>
            </w:pPr>
            <w:r>
              <w:t xml:space="preserve">8.8 (42)</w:t>
            </w:r>
          </w:p>
        </w:tc>
        <w:tc>
          <w:tcPr/>
          <w:p>
            <w:pPr>
              <w:pStyle w:val="Compact"/>
            </w:pPr>
            <w:r>
              <w:t xml:space="preserve">15.8 (19)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130–140</w:t>
            </w:r>
          </w:p>
        </w:tc>
        <w:tc>
          <w:tcPr/>
          <w:p>
            <w:pPr>
              <w:pStyle w:val="Compact"/>
            </w:pPr>
            <w:r>
              <w:t xml:space="preserve">17.1 (29)</w:t>
            </w:r>
          </w:p>
        </w:tc>
        <w:tc>
          <w:tcPr/>
          <w:p>
            <w:pPr>
              <w:pStyle w:val="Compact"/>
            </w:pPr>
            <w:r>
              <w:t xml:space="preserve">19.5 (83)</w:t>
            </w:r>
          </w:p>
        </w:tc>
        <w:tc>
          <w:tcPr/>
          <w:p>
            <w:pPr>
              <w:pStyle w:val="Compact"/>
            </w:pPr>
            <w:r>
              <w:t xml:space="preserve">14.2 (42)</w:t>
            </w:r>
          </w:p>
        </w:tc>
        <w:tc>
          <w:tcPr/>
          <w:p>
            <w:pPr>
              <w:pStyle w:val="Compact"/>
            </w:pPr>
            <w:r>
              <w:t xml:space="preserve">10.5 (50)</w:t>
            </w:r>
          </w:p>
        </w:tc>
        <w:tc>
          <w:tcPr/>
          <w:p>
            <w:pPr>
              <w:pStyle w:val="Compact"/>
            </w:pPr>
            <w:r>
              <w:t xml:space="preserve">17.0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140–150</w:t>
            </w:r>
          </w:p>
        </w:tc>
        <w:tc>
          <w:tcPr/>
          <w:p>
            <w:pPr>
              <w:pStyle w:val="Compact"/>
            </w:pPr>
            <w:r>
              <w:t xml:space="preserve">19.8 (47)</w:t>
            </w:r>
          </w:p>
        </w:tc>
        <w:tc>
          <w:tcPr/>
          <w:p>
            <w:pPr>
              <w:pStyle w:val="Compact"/>
            </w:pPr>
            <w:r>
              <w:t xml:space="preserve">22.0 (144)</w:t>
            </w:r>
          </w:p>
        </w:tc>
        <w:tc>
          <w:tcPr/>
          <w:p>
            <w:pPr>
              <w:pStyle w:val="Compact"/>
            </w:pPr>
            <w:r>
              <w:t xml:space="preserve">17.8 (62)</w:t>
            </w:r>
          </w:p>
        </w:tc>
        <w:tc>
          <w:tcPr/>
          <w:p>
            <w:pPr>
              <w:pStyle w:val="Compact"/>
            </w:pPr>
            <w:r>
              <w:t xml:space="preserve">10.7 (67)</w:t>
            </w:r>
          </w:p>
        </w:tc>
        <w:tc>
          <w:tcPr/>
          <w:p>
            <w:pPr>
              <w:pStyle w:val="Compact"/>
            </w:pPr>
            <w:r>
              <w:t xml:space="preserve">25.0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150–160</w:t>
            </w:r>
          </w:p>
        </w:tc>
        <w:tc>
          <w:tcPr/>
          <w:p>
            <w:pPr>
              <w:pStyle w:val="Compact"/>
            </w:pPr>
            <w:r>
              <w:t xml:space="preserve">23.0 (53)</w:t>
            </w:r>
          </w:p>
        </w:tc>
        <w:tc>
          <w:tcPr/>
          <w:p>
            <w:pPr>
              <w:pStyle w:val="Compact"/>
            </w:pPr>
            <w:r>
              <w:t xml:space="preserve">25.3 (72)</w:t>
            </w:r>
          </w:p>
        </w:tc>
        <w:tc>
          <w:tcPr/>
          <w:p>
            <w:pPr>
              <w:pStyle w:val="Compact"/>
            </w:pPr>
            <w:r>
              <w:t xml:space="preserve">19.3 (20)</w:t>
            </w:r>
          </w:p>
        </w:tc>
        <w:tc>
          <w:tcPr/>
          <w:p>
            <w:pPr>
              <w:pStyle w:val="Compact"/>
            </w:pPr>
            <w:r>
              <w:t xml:space="preserve">12.0 (118)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160–170</w:t>
            </w:r>
          </w:p>
        </w:tc>
        <w:tc>
          <w:tcPr/>
          <w:p>
            <w:pPr>
              <w:pStyle w:val="Compact"/>
            </w:pPr>
            <w:r>
              <w:t xml:space="preserve">25.5 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13.4 (187)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170–180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14.2 (46)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axes matter, and about equally.</w:t>
      </w:r>
      <w:r>
        <w:t xml:space="preserve"> </w:t>
      </w:r>
      <w:r>
        <w:t xml:space="preserve">At beech, going from 130–140</w:t>
      </w:r>
      <w:r>
        <w:t xml:space="preserve"> </w:t>
      </w:r>
      <w:r>
        <w:t xml:space="preserve">to 160–170 °F source raises the steady return 19 °F (119 to 138 °F);</w:t>
      </w:r>
      <w:r>
        <w:t xml:space="preserve"> </w:t>
      </w:r>
      <w:r>
        <w:t xml:space="preserve">going from steady circulation to under 20% at 160–170 °F source lowers</w:t>
      </w:r>
      <w:r>
        <w:t xml:space="preserve"> </w:t>
      </w:r>
      <w:r>
        <w:t xml:space="preserve">it 44 °F (138 to 94 °F).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Hotter source brings hotter return in every column.</w:t>
      </w:r>
      <w:r>
        <w:t xml:space="preserve"> </w:t>
      </w:r>
      <w:r>
        <w:t xml:space="preserve">In steady</w:t>
      </w:r>
      <w:r>
        <w:t xml:space="preserve"> </w:t>
      </w:r>
      <w:r>
        <w:t xml:space="preserve">circulation the return rises 0.6 to 0.9 °F per °F of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With little heat call the return is cold whatever the source, at</w:t>
      </w:r>
      <w:r>
        <w:rPr>
          <w:b/>
          <w:bCs/>
        </w:rPr>
        <w:t xml:space="preserve"> </w:t>
      </w:r>
      <w:r>
        <w:rPr>
          <w:b/>
          <w:bCs/>
        </w:rPr>
        <w:t xml:space="preserve">beech.</w:t>
      </w:r>
      <w:r>
        <w:t xml:space="preserve"> </w:t>
      </w:r>
      <w:r>
        <w:t xml:space="preserve">Its under-20% column stays at 91–94 °F from 130 to 170 °F</w:t>
      </w:r>
      <w:r>
        <w:t xml:space="preserve"> </w:t>
      </w:r>
      <w:r>
        <w:t xml:space="preserve">source. At the other houses that column rises with source: 95 to</w:t>
      </w:r>
      <w:r>
        <w:t xml:space="preserve"> </w:t>
      </w:r>
      <w:r>
        <w:t xml:space="preserve">116 °F at elm, 91 to 118 °F at maple.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Shorter heat calls return colder water at every house and every</w:t>
      </w:r>
      <w:r>
        <w:rPr>
          <w:b/>
          <w:bCs/>
        </w:rPr>
        <w:t xml:space="preserve"> </w:t>
      </w:r>
      <w:r>
        <w:rPr>
          <w:b/>
          <w:bCs/>
        </w:rPr>
        <w:t xml:space="preserve">source temperature.</w:t>
      </w:r>
      <w:r>
        <w:t xml:space="preserve"> </w:t>
      </w:r>
      <w:r>
        <w:t xml:space="preserve">This is claim 3, and it holds. For source of</w:t>
      </w:r>
      <w:r>
        <w:t xml:space="preserve"> </w:t>
      </w:r>
      <w:r>
        <w:t xml:space="preserve">120 °F and above, the under-20% column is 12 to 44 °F below the steady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hot-source hours are not steady.</w:t>
      </w:r>
      <w:r>
        <w:t xml:space="preserve"> </w:t>
      </w:r>
      <w:r>
        <w:t xml:space="preserve">At 150–160 °F source, beech</w:t>
      </w:r>
      <w:r>
        <w:t xml:space="preserve"> </w:t>
      </w:r>
      <w:r>
        <w:t xml:space="preserve">has 556 hours under 40% circulation and 53 steady. The hot returns in</w:t>
      </w:r>
      <w:r>
        <w:t xml:space="preserve"> </w:t>
      </w:r>
      <w:r>
        <w:t xml:space="preserve">the right-hand column are the cold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Maple is the house where the concern bites.</w:t>
      </w:r>
      <w:r>
        <w:t xml:space="preserve"> </w:t>
      </w:r>
      <w:r>
        <w:t xml:space="preserve">Its steady return is</w:t>
      </w:r>
      <w:r>
        <w:t xml:space="preserve"> </w:t>
      </w:r>
      <w:r>
        <w:t xml:space="preserve">143 °F at 150–160 °F source, 153 °F at 160–170 °F and 158 °F at</w:t>
      </w:r>
      <w:r>
        <w:t xml:space="preserve"> </w:t>
      </w:r>
      <w:r>
        <w:t xml:space="preserve">170–180 °F, it has the most steady hours, and even at 40–60%</w:t>
      </w:r>
      <w:r>
        <w:t xml:space="preserve"> </w:t>
      </w:r>
      <w:r>
        <w:t xml:space="preserve">circulation it returns 143 °F from 160–170 °F source. Beech, elm, fir</w:t>
      </w:r>
      <w:r>
        <w:t xml:space="preserve"> </w:t>
      </w:r>
      <w:r>
        <w:t xml:space="preserve">and oak return 116–138 °F in steady circulation from 130 °F source up.</w:t>
      </w:r>
    </w:p>
    <w:p>
      <w:pPr>
        <w:pStyle w:val="FirstParagraph"/>
      </w:pPr>
      <w:r>
        <w:t xml:space="preserve">What this does not yet show is the temperature of the water entering the</w:t>
      </w:r>
      <w:r>
        <w:t xml:space="preserve"> </w:t>
      </w:r>
      <w:r>
        <w:t xml:space="preserve">heat pump.</w:t>
      </w:r>
      <w:r>
        <w:t xml:space="preserve"> </w:t>
      </w:r>
      <w:r>
        <w:rPr>
          <w:rStyle w:val="VerbatimChar"/>
        </w:rPr>
        <w:t xml:space="preserve">dist-rwt</w:t>
      </w:r>
      <w:r>
        <w:t xml:space="preserve"> </w:t>
      </w:r>
      <w:r>
        <w:t xml:space="preserve">is the water leaving distribution; what the heat</w:t>
      </w:r>
      <w:r>
        <w:t xml:space="preserve"> </w:t>
      </w:r>
      <w:r>
        <w:t xml:space="preserve">pump sees depends on where that water goes next and what it mixes with</w:t>
      </w:r>
      <w:r>
        <w:t xml:space="preserve"> </w:t>
      </w:r>
      <w:r>
        <w:t xml:space="preserve">at the bottom of the buffer. The direct measurement is the heat pump’s</w:t>
      </w:r>
      <w:r>
        <w:t xml:space="preserve"> </w:t>
      </w:r>
      <w:r>
        <w:t xml:space="preserve">entering water temperature in the hours it ran with a hot buffer top,</w:t>
      </w:r>
      <w:r>
        <w:t xml:space="preserve"> </w:t>
      </w:r>
      <w:r>
        <w:t xml:space="preserve">set against the highest entering temperature each heat pump model</w:t>
      </w:r>
      <w:r>
        <w:t xml:space="preserve"> </w:t>
      </w:r>
      <w:r>
        <w:t xml:space="preserve">accepts. That is the next pull.</w:t>
      </w:r>
    </w:p>
    <w:p>
      <w:pPr>
        <w:pStyle w:val="BodyText"/>
      </w:pPr>
      <w:r>
        <w:t xml:space="preserve">A mixing valve changes this picture only by moving a house up its own</w:t>
      </w:r>
      <w:r>
        <w:t xml:space="preserve"> </w:t>
      </w:r>
      <w:r>
        <w:t xml:space="preserve">grid: a source held at 130–140 °F returns 116–126 °F in steady</w:t>
      </w:r>
      <w:r>
        <w:t xml:space="preserve"> </w:t>
      </w:r>
      <w:r>
        <w:t xml:space="preserve">circulation at every house, maple included.</w:t>
      </w:r>
    </w:p>
    <w:bookmarkEnd w:id="10"/>
    <w:bookmarkStart w:id="15" w:name="_849bc608fd28afdaab75b0a755708289a609b87"/>
    <w:p>
      <w:pPr>
        <w:pStyle w:val="Heading2"/>
      </w:pPr>
      <w:r>
        <w:t xml:space="preserve">Discharge: mix or not</w:t>
      </w:r>
    </w:p>
    <w:bookmarkStart w:id="11" w:name="_ea18a5a19ffbdff955578593fb12b1857b40b97"/>
    <w:p>
      <w:pPr>
        <w:pStyle w:val="Heading3"/>
      </w:pPr>
      <w:r>
        <w:t xml:space="preserve">Arguments for not mixing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Colder return water means a colder tank when the store is</w:t>
      </w:r>
      <w:r>
        <w:t xml:space="preserve"> </w:t>
      </w:r>
      <w:r>
        <w:t xml:space="preserve">spent, so more usable energy per tank.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 water should not be spent warming return water.</w:t>
      </w:r>
      <w:r>
        <w:t xml:space="preserve"> </w:t>
      </w:r>
      <w:r>
        <w:t xml:space="preserve">The hottest water</w:t>
      </w:r>
      <w:r>
        <w:t xml:space="preserve"> </w:t>
      </w:r>
      <w:r>
        <w:t xml:space="preserve">in the store was the least efficient to make. A mixing valve uses it to warm</w:t>
      </w:r>
      <w:r>
        <w:t xml:space="preserve"> </w:t>
      </w:r>
      <w:r>
        <w:t xml:space="preserve">return water that the heat pump could reheat efficiently later. Letting the</w:t>
      </w:r>
      <w:r>
        <w:t xml:space="preserve"> </w:t>
      </w:r>
      <w:r>
        <w:t xml:space="preserve">heat go into the building and the return come back cold avoids that.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Capacity.</w:t>
      </w:r>
      <w:r>
        <w:t xml:space="preserve"> </w:t>
      </w:r>
      <w:r>
        <w:t xml:space="preserve">A heat pump with a ceiling on leaving water temperature cannot</w:t>
      </w:r>
      <w:r>
        <w:t xml:space="preserve"> </w:t>
      </w:r>
      <w:r>
        <w:t xml:space="preserve">deliver its full lift when return water comes back near that ceiling.</w:t>
      </w:r>
      <w:r>
        <w:t xml:space="preserve"> </w:t>
      </w:r>
      <w:r>
        <w:t xml:space="preserve">Colder return water lets it deliver more heat at the same COP.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and control complexity.</w:t>
      </w:r>
      <w:r>
        <w:t xml:space="preserve"> </w:t>
      </w:r>
      <w:r>
        <w:t xml:space="preserve">Remotely controllable mixing valves cost</w:t>
      </w:r>
      <w:r>
        <w:t xml:space="preserve"> </w:t>
      </w:r>
      <w:r>
        <w:t xml:space="preserve">$500–800. A home-built three-way valve needs PID control, and injection</w:t>
      </w:r>
      <w:r>
        <w:t xml:space="preserve"> </w:t>
      </w:r>
      <w:r>
        <w:t xml:space="preserve">mixing means balancing two pumps. Not mixing keeps the scada simple.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single target.</w:t>
      </w:r>
      <w:r>
        <w:t xml:space="preserve"> </w:t>
      </w:r>
      <w:r>
        <w:t xml:space="preserve">RSWT is per zone, so steady state across zones needs</w:t>
      </w:r>
      <w:r>
        <w:t xml:space="preserve"> </w:t>
      </w:r>
      <w:r>
        <w:t xml:space="preserve">per-zone hardware.</w:t>
      </w:r>
    </w:p>
    <w:bookmarkEnd w:id="11"/>
    <w:bookmarkStart w:id="12" w:name="_446a32afb0fb8878503e63ba97072818d138888"/>
    <w:p>
      <w:pPr>
        <w:pStyle w:val="Heading3"/>
      </w:pPr>
      <w:r>
        <w:t xml:space="preserve">Arguments that mixing is better, or at least not worse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 does not depend on entering water temperature.</w:t>
      </w:r>
      <w:r>
        <w:t xml:space="preserve"> </w:t>
      </w:r>
      <w:r>
        <w:t xml:space="preserve">COP follows lift</w:t>
      </w:r>
      <w:r>
        <w:t xml:space="preserve"> </w:t>
      </w:r>
      <w:r>
        <w:t xml:space="preserve">(leaving water temperature minus outside air temperature). The belief that</w:t>
      </w:r>
      <w:r>
        <w:t xml:space="preserve"> </w:t>
      </w:r>
      <w:r>
        <w:t xml:space="preserve">cold return water improves COP does not survive the data seen so far.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BTU in the store is a BTU.</w:t>
      </w:r>
      <w:r>
        <w:t xml:space="preserve"> </w:t>
      </w:r>
      <w:r>
        <w:t xml:space="preserve">Once the store is charged, no COP attaches</w:t>
      </w:r>
      <w:r>
        <w:t xml:space="preserve"> </w:t>
      </w:r>
      <w:r>
        <w:t xml:space="preserve">to discharge. The only thing that can differ between the two modes is how</w:t>
      </w:r>
      <w:r>
        <w:t xml:space="preserve"> </w:t>
      </w:r>
      <w:r>
        <w:t xml:space="preserve">much heat comes out of the water.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Heat below RSWT arrives either way.</w:t>
      </w:r>
      <w:r>
        <w:t xml:space="preserve"> </w:t>
      </w:r>
      <w:r>
        <w:t xml:space="preserve">Water sitting in the emitters keeps</w:t>
      </w:r>
      <w:r>
        <w:t xml:space="preserve"> </w:t>
      </w:r>
      <w:r>
        <w:t xml:space="preserve">giving heat below RSWT in both modes. That heat should be counted, for</w:t>
      </w:r>
      <w:r>
        <w:t xml:space="preserve"> </w:t>
      </w:r>
      <w:r>
        <w:t xml:space="preserve">example by modeling one more pass at the same ΔT (120 → 105 → 95 °F), not</w:t>
      </w:r>
      <w:r>
        <w:t xml:space="preserve"> </w:t>
      </w:r>
      <w:r>
        <w:t xml:space="preserve">by treating water just under RSWT as worthless.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 temperature without mixing is hard to predict.</w:t>
      </w:r>
      <w:r>
        <w:t xml:space="preserve"> </w:t>
      </w:r>
      <w:r>
        <w:t xml:space="preserve">It can be 80, 100</w:t>
      </w:r>
      <w:r>
        <w:t xml:space="preserve"> </w:t>
      </w:r>
      <w:r>
        <w:t xml:space="preserve">or 120 °F depending on how long the water sat, and multiple zones make it</w:t>
      </w:r>
      <w:r>
        <w:t xml:space="preserve"> </w:t>
      </w:r>
      <w:r>
        <w:t xml:space="preserve">worse. Mixing gives a consistent return and a slow, steady flow into the</w:t>
      </w:r>
      <w:r>
        <w:t xml:space="preserve"> </w:t>
      </w:r>
      <w:r>
        <w:t xml:space="preserve">store that speeds up as the store cools.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Stratification.</w:t>
      </w:r>
      <w:r>
        <w:t xml:space="preserve"> </w:t>
      </w:r>
      <w:r>
        <w:t xml:space="preserve">Zone circulators at 4 gpm in fast bursts could</w:t>
      </w:r>
      <w:r>
        <w:t xml:space="preserve"> </w:t>
      </w:r>
      <w:r>
        <w:t xml:space="preserve">de-stratify the store where a slow steady return would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Predictability for the FLO.</w:t>
      </w:r>
      <w:r>
        <w:t xml:space="preserve"> </w:t>
      </w:r>
      <w:r>
        <w:t xml:space="preserve">Predicting the return temperature needs the</w:t>
      </w:r>
      <w:r>
        <w:t xml:space="preserve"> </w:t>
      </w:r>
      <w:r>
        <w:t xml:space="preserve">heat-call fraction, which itself depends on the source temperature. A</w:t>
      </w:r>
      <w:r>
        <w:t xml:space="preserve"> </w:t>
      </w:r>
      <w:r>
        <w:t xml:space="preserve">regulated source breaks that circle.</w:t>
      </w:r>
    </w:p>
    <w:bookmarkEnd w:id="12"/>
    <w:bookmarkStart w:id="13" w:name="_5049e07c3ad5052dc01a3bc63252a0425b6c735"/>
    <w:p>
      <w:pPr>
        <w:pStyle w:val="Heading3"/>
      </w:pPr>
      <w:r>
        <w:t xml:space="preserve">A third option: alternate the source end of a series loop</w:t>
      </w:r>
    </w:p>
    <w:p>
      <w:pPr>
        <w:pStyle w:val="FirstParagraph"/>
      </w:pPr>
      <w:r>
        <w:t xml:space="preserve">John Siegenthaler notes that where a zone has many emitters in series, the</w:t>
      </w:r>
      <w:r>
        <w:t xml:space="preserve"> </w:t>
      </w:r>
      <w:r>
        <w:t xml:space="preserve">end of the loop that receives the hot water can be alternated to improve</w:t>
      </w:r>
      <w:r>
        <w:t xml:space="preserve"> </w:t>
      </w:r>
      <w:r>
        <w:t xml:space="preserve">comfort. This addresses the uneven comfort of hot water reaching one end of a</w:t>
      </w:r>
      <w:r>
        <w:t xml:space="preserve"> </w:t>
      </w:r>
      <w:r>
        <w:t xml:space="preserve">loop first, without regulating the source temperature.</w:t>
      </w:r>
    </w:p>
    <w:bookmarkEnd w:id="13"/>
    <w:bookmarkStart w:id="14" w:name="_874dac4208ec82613740dc7792401cb573764da"/>
    <w:p>
      <w:pPr>
        <w:pStyle w:val="Heading3"/>
      </w:pPr>
      <w:r>
        <w:t xml:space="preserve">What the discussion settled and what it left open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Mixing is once-through.</w:t>
      </w:r>
      <w:r>
        <w:t xml:space="preserve"> </w:t>
      </w:r>
      <w:r>
        <w:t xml:space="preserve">Mixed water goes out at RSWT and returns one</w:t>
      </w:r>
      <w:r>
        <w:t xml:space="preserve"> </w:t>
      </w:r>
      <w:r>
        <w:t xml:space="preserve">ΔT lower, a single pass through the store at a slow rate. Unmixed water in</w:t>
      </w:r>
      <w:r>
        <w:t xml:space="preserve"> </w:t>
      </w:r>
      <w:r>
        <w:t xml:space="preserve">near-constant heat call is the multi-pass case: it returns still hot and is</w:t>
      </w:r>
      <w:r>
        <w:t xml:space="preserve"> </w:t>
      </w:r>
      <w:r>
        <w:t xml:space="preserve">used again.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deciding quantity</w:t>
      </w:r>
      <w:r>
        <w:t xml:space="preserve"> </w:t>
      </w:r>
      <w:r>
        <w:t xml:space="preserve">is the tank temperature when the store can no</w:t>
      </w:r>
      <w:r>
        <w:t xml:space="preserve"> </w:t>
      </w:r>
      <w:r>
        <w:t xml:space="preserve">longer heat the house, times the gallons. The question is which mode ends</w:t>
      </w:r>
      <w:r>
        <w:t xml:space="preserve"> </w:t>
      </w:r>
      <w:r>
        <w:t xml:space="preserve">with colder water in the tank.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thought experiment.</w:t>
      </w:r>
      <w:r>
        <w:t xml:space="preserve"> </w:t>
      </w:r>
      <w:r>
        <w:t xml:space="preserve">One full tank at 170 °F, heat pump off, two</w:t>
      </w:r>
      <w:r>
        <w:t xml:space="preserve"> </w:t>
      </w:r>
      <w:r>
        <w:t xml:space="preserve">modes. Measure the time until a zone is two degrees below setpoint.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floor used for</w:t>
      </w:r>
      <w:r>
        <w:rPr>
          <w:b/>
          <w:bCs/>
        </w:rPr>
        <w:t xml:space="preserve"> </w:t>
      </w:r>
      <w:r>
        <w:rPr>
          <w:b/>
          <w:bCs/>
        </w:rPr>
        <w:t xml:space="preserve">“usable”</w:t>
      </w:r>
      <w:r>
        <w:rPr>
          <w:b/>
          <w:bCs/>
        </w:rPr>
        <w:t xml:space="preserve"> </w:t>
      </w:r>
      <w:r>
        <w:rPr>
          <w:b/>
          <w:bCs/>
        </w:rPr>
        <w:t xml:space="preserve">moves the answer.</w:t>
      </w:r>
      <w:r>
        <w:t xml:space="preserve"> </w:t>
      </w:r>
      <w:r>
        <w:t xml:space="preserve">A store’s stated capacity,</w:t>
      </w:r>
      <w:r>
        <w:t xml:space="preserve"> </w:t>
      </w:r>
      <w:r>
        <w:t xml:space="preserve">and its cost per kWh, can shift by a factor of two with the choice of floor</w:t>
      </w:r>
      <w:r>
        <w:t xml:space="preserve"> </w:t>
      </w:r>
      <w:r>
        <w:t xml:space="preserve">temperature. The paper states its floor and why.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Working consensus before the data:</w:t>
      </w:r>
      <w:r>
        <w:t xml:space="preserve"> </w:t>
      </w:r>
      <w:r>
        <w:t xml:space="preserve">not mixing is probably not a large</w:t>
      </w:r>
      <w:r>
        <w:t xml:space="preserve"> </w:t>
      </w:r>
      <w:r>
        <w:t xml:space="preserve">storage win and probably not a loss.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Data, not simulation, is what will persuade.</w:t>
      </w:r>
      <w:r>
        <w:t xml:space="preserve"> </w:t>
      </w:r>
      <w:r>
        <w:t xml:space="preserve">A week with a valve</w:t>
      </w:r>
      <w:r>
        <w:t xml:space="preserve"> </w:t>
      </w:r>
      <w:r>
        <w:t xml:space="preserve">against a week without is confounded by weather and occupancy. The first</w:t>
      </w:r>
      <w:r>
        <w:t xml:space="preserve"> </w:t>
      </w:r>
      <w:r>
        <w:t xml:space="preserve">route is the natural experiment in existing data: periods of intermittent</w:t>
      </w:r>
      <w:r>
        <w:t xml:space="preserve"> </w:t>
      </w:r>
      <w:r>
        <w:t xml:space="preserve">heat call against periods of constant heat call.</w:t>
      </w:r>
    </w:p>
    <w:bookmarkEnd w:id="14"/>
    <w:bookmarkEnd w:id="15"/>
    <w:bookmarkStart w:id="20" w:name="_d3f7ee6a1257b10f1bb03a3efe4fb3a88f09670"/>
    <w:p>
      <w:pPr>
        <w:pStyle w:val="Heading2"/>
      </w:pPr>
      <w:r>
        <w:t xml:space="preserve">Charge: how hot is hot enough</w:t>
      </w:r>
    </w:p>
    <w:p>
      <w:pPr>
        <w:pStyle w:val="FirstParagraph"/>
      </w:pPr>
      <w:r>
        <w:t xml:space="preserve">If sending hot water upstairs brings no real storage win, the cost of the</w:t>
      </w:r>
      <w:r>
        <w:t xml:space="preserve"> </w:t>
      </w:r>
      <w:r>
        <w:t xml:space="preserve">practice sits on the charge side. Every extra degree in the store was made at</w:t>
      </w:r>
      <w:r>
        <w:t xml:space="preserve"> </w:t>
      </w:r>
      <w:r>
        <w:t xml:space="preserve">a worse COP, and in the shoulder season the on-peak load is small.</w:t>
      </w:r>
    </w:p>
    <w:p>
      <w:pPr>
        <w:pStyle w:val="BodyText"/>
      </w:pPr>
      <w:r>
        <w:t xml:space="preserve">For each shoulder day at a house the analysis takes:</w:t>
      </w:r>
    </w:p>
    <w:p>
      <w:pPr>
        <w:pStyle w:val="Compact"/>
        <w:numPr>
          <w:ilvl w:val="0"/>
          <w:numId w:val="1005"/>
        </w:numPr>
      </w:pPr>
      <w:r>
        <w:t xml:space="preserve">how hot the store was charged, and the lift it took;</w:t>
      </w:r>
    </w:p>
    <w:p>
      <w:pPr>
        <w:pStyle w:val="Compact"/>
        <w:numPr>
          <w:ilvl w:val="0"/>
          <w:numId w:val="1005"/>
        </w:numPr>
      </w:pPr>
      <w:r>
        <w:t xml:space="preserve">how much of that energy the on-peak period drew;</w:t>
      </w:r>
    </w:p>
    <w:p>
      <w:pPr>
        <w:pStyle w:val="Compact"/>
        <w:numPr>
          <w:ilvl w:val="0"/>
          <w:numId w:val="1005"/>
        </w:numPr>
      </w:pPr>
      <w:r>
        <w:t xml:space="preserve">what was left above RSWT when the heat pump came back on;</w:t>
      </w:r>
    </w:p>
    <w:p>
      <w:pPr>
        <w:pStyle w:val="Compact"/>
        <w:numPr>
          <w:ilvl w:val="0"/>
          <w:numId w:val="1005"/>
        </w:numPr>
      </w:pPr>
      <w:r>
        <w:t xml:space="preserve">the electricity the surplus cost, from the COP-versus-lift relation.</w:t>
      </w:r>
    </w:p>
    <w:p>
      <w:pPr>
        <w:pStyle w:val="FirstParagraph"/>
      </w:pPr>
      <w:r>
        <w:t xml:space="preserve">Surplus stored heat is not lost apart from standing losses, so the analysis</w:t>
      </w:r>
      <w:r>
        <w:t xml:space="preserve"> </w:t>
      </w:r>
      <w:r>
        <w:t xml:space="preserve">separates carry-over to the next day from true waste. If the store was</w:t>
      </w:r>
      <w:r>
        <w:t xml:space="preserve"> </w:t>
      </w:r>
      <w:r>
        <w:t xml:space="preserve">overheated, the remedy is a charging rule or better parameters, not a valve.</w:t>
      </w:r>
    </w:p>
    <w:bookmarkStart w:id="16" w:name="_a467d8483134d3dc5c9921f86b46a38308197b3"/>
    <w:p>
      <w:pPr>
        <w:pStyle w:val="Heading3"/>
      </w:pPr>
      <w:r>
        <w:t xml:space="preserve">The parameters that decide the charge</w:t>
      </w:r>
    </w:p>
    <w:p>
      <w:pPr>
        <w:pStyle w:val="FirstParagraph"/>
      </w:pPr>
      <w:r>
        <w:t xml:space="preserve">How hot the store is charged follows from four groups of house parameters.</w:t>
      </w:r>
      <w:r>
        <w:t xml:space="preserve"> </w:t>
      </w:r>
      <w:r>
        <w:t xml:space="preserve">The values below are what each house ran on in the 2025–26 season, read from</w:t>
      </w:r>
      <w:r>
        <w:t xml:space="preserve"> </w:t>
      </w:r>
      <w:r>
        <w:t xml:space="preserve">the journal DB (fields as stored;</w:t>
      </w:r>
      <w:r>
        <w:t xml:space="preserve"> </w:t>
      </w:r>
      <w:r>
        <w:rPr>
          <w:rStyle w:val="VerbatimChar"/>
        </w:rPr>
        <w:t xml:space="preserve">AlphaTimes10</w:t>
      </w:r>
      <w:r>
        <w:t xml:space="preserve"> </w:t>
      </w:r>
      <w:r>
        <w:t xml:space="preserve">98 is alpha 9.8).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What it sets</w:t>
            </w:r>
          </w:p>
        </w:tc>
        <w:tc>
          <w:tcPr/>
          <w:p>
            <w:pPr>
              <w:pStyle w:val="Compact"/>
            </w:pPr>
            <w:r>
              <w:t xml:space="preserve">What the season’s record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AlphaTimes10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BetaTimes100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GammaEx6</w:t>
            </w:r>
          </w:p>
        </w:tc>
        <w:tc>
          <w:tcPr/>
          <w:p>
            <w:pPr>
              <w:pStyle w:val="Compact"/>
            </w:pPr>
            <w:r>
              <w:t xml:space="preserve">Forecast heating load</w:t>
            </w:r>
          </w:p>
        </w:tc>
        <w:tc>
          <w:tcPr/>
          <w:p>
            <w:pPr>
              <w:pStyle w:val="Compact"/>
            </w:pPr>
            <w:r>
              <w:t xml:space="preserve">Set by hand and revised downward mid-season in four of five houses: beech 98 → 90 → 86, fir 140 → 75, maple 95 → 120 → 97 → 63, oak 93 → 76. Elm stayed at 70.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DdPowerKw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DdRswtF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IntermediatePowerKw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IntermediateRswtF</w:t>
            </w:r>
          </w:p>
        </w:tc>
        <w:tc>
          <w:tcPr/>
          <w:p>
            <w:pPr>
              <w:pStyle w:val="Compact"/>
            </w:pPr>
            <w:r>
              <w:t xml:space="preserve">Required source water temperature as a function of load</w:t>
            </w:r>
          </w:p>
        </w:tc>
        <w:tc>
          <w:tcPr/>
          <w:p>
            <w:pPr>
              <w:pStyle w:val="Compact"/>
            </w:pPr>
            <w:r>
              <w:t xml:space="preserve">Design-day power cut in every house (beech 9.8 → 8.6, elm 10 → 7, fir 14 → 7.5, maple 12 → 6.3, oak 10.75 → 7.6). Design-day RSWT moved repeatedly: beech 160 → 150 → 170 → 140 → 155, maple 180 → 200 → 170 → 160 → 145, oak 160 → 140, fir 160 → 150. The intermediate point is 1.5 kW in every house except beech from late January (3.6 kW).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DdDeltaTF</w:t>
            </w:r>
          </w:p>
        </w:tc>
        <w:tc>
          <w:tcPr/>
          <w:p>
            <w:pPr>
              <w:pStyle w:val="Compact"/>
            </w:pPr>
            <w:r>
              <w:t xml:space="preserve">Temperature drop across the emitters</w:t>
            </w:r>
          </w:p>
        </w:tc>
        <w:tc>
          <w:tcPr/>
          <w:p>
            <w:pPr>
              <w:pStyle w:val="Compact"/>
            </w:pPr>
            <w:r>
              <w:t xml:space="preserve">20 °F in every house, all season, never 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CopIntercept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CopOatCoeff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CopLwtCoeff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CopMinOatF</w:t>
            </w:r>
          </w:p>
        </w:tc>
        <w:tc>
          <w:tcPr/>
          <w:p>
            <w:pPr>
              <w:pStyle w:val="Compact"/>
            </w:pPr>
            <w:r>
              <w:t xml:space="preserve">Heat pump COP</w:t>
            </w:r>
          </w:p>
        </w:tc>
        <w:tc>
          <w:tcPr/>
          <w:p>
            <w:pPr>
              <w:pStyle w:val="Compact"/>
            </w:pPr>
            <w:r>
              <w:t xml:space="preserve">Carried in every</w:t>
            </w:r>
            <w:r>
              <w:t xml:space="preserve"> </w:t>
            </w:r>
            <w:r>
              <w:rPr>
                <w:rStyle w:val="VerbatimChar"/>
              </w:rPr>
              <w:t xml:space="preserve">flo.params.house0</w:t>
            </w:r>
            <w:r>
              <w:t xml:space="preserve">; not yet examined.</w:t>
            </w:r>
          </w:p>
        </w:tc>
      </w:tr>
    </w:tbl>
    <w:p>
      <w:pPr>
        <w:pStyle w:val="FirstParagraph"/>
      </w:pPr>
      <w:r>
        <w:t xml:space="preserve">The downward revisions fall between early December and late January. The</w:t>
      </w:r>
      <w:r>
        <w:t xml:space="preserve"> </w:t>
      </w:r>
      <w:r>
        <w:t xml:space="preserve">fall shoulder ran on the first, higher values in every house, with forecast</w:t>
      </w:r>
      <w:r>
        <w:t xml:space="preserve"> </w:t>
      </w:r>
      <w:r>
        <w:t xml:space="preserve">load up to twice what the later values give (fir). That is the period to</w:t>
      </w:r>
      <w:r>
        <w:t xml:space="preserve"> </w:t>
      </w:r>
      <w:r>
        <w:t xml:space="preserve">test first for an overheated store.</w:t>
      </w:r>
    </w:p>
    <w:p>
      <w:pPr>
        <w:pStyle w:val="BodyText"/>
      </w:pPr>
      <w:r>
        <w:t xml:space="preserve">Spruce’s set from January is identical to beech’s.</w:t>
      </w:r>
    </w:p>
    <w:bookmarkEnd w:id="16"/>
    <w:bookmarkStart w:id="17" w:name="_61522366d3c4c28efd28950d6ee084db87d6157"/>
    <w:p>
      <w:pPr>
        <w:pStyle w:val="Heading3"/>
      </w:pPr>
      <w:r>
        <w:t xml:space="preserve">How RSWT is calculated</w:t>
      </w:r>
    </w:p>
    <w:p>
      <w:pPr>
        <w:pStyle w:val="FirstParagraph"/>
      </w:pPr>
      <w:r>
        <w:t xml:space="preserve">From a code read of the scada (</w:t>
      </w:r>
      <w:r>
        <w:rPr>
          <w:rStyle w:val="VerbatimChar"/>
        </w:rPr>
        <w:t xml:space="preserve">gridworks-scada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jm/spruce-unlimbo</w:t>
      </w:r>
      <w:r>
        <w:t xml:space="preserve">)</w:t>
      </w:r>
      <w:r>
        <w:t xml:space="preserve"> </w:t>
      </w:r>
      <w:r>
        <w:t xml:space="preserve">and the FLO (</w:t>
      </w:r>
      <w:r>
        <w:rPr>
          <w:rStyle w:val="VerbatimChar"/>
        </w:rPr>
        <w:t xml:space="preserve">gridworks-innovations/gridworks-flo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 Last season’s</w:t>
      </w:r>
      <w:r>
        <w:t xml:space="preserve"> </w:t>
      </w:r>
      <w:r>
        <w:t xml:space="preserve">houses ran earlier code, so each point needs checking against the commit a</w:t>
      </w:r>
      <w:r>
        <w:t xml:space="preserve"> </w:t>
      </w:r>
      <w:r>
        <w:t xml:space="preserve">house ran; the FLO’s is recorded in</w:t>
      </w:r>
      <w:r>
        <w:t xml:space="preserve"> </w:t>
      </w:r>
      <w:r>
        <w:rPr>
          <w:rStyle w:val="VerbatimChar"/>
        </w:rPr>
        <w:t xml:space="preserve">FloGitCommit</w:t>
      </w:r>
      <w:r>
        <w:t xml:space="preserve">. Paths:</w:t>
      </w:r>
      <w:r>
        <w:t xml:space="preserve"> </w:t>
      </w:r>
      <w:r>
        <w:rPr>
          <w:rStyle w:val="VerbatimChar"/>
        </w:rPr>
        <w:t xml:space="preserve">DG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gw_spaceheat/actors/derived_generator.py</w:t>
      </w:r>
      <w:r>
        <w:t xml:space="preserve">;</w:t>
      </w:r>
      <w:r>
        <w:t xml:space="preserve"> </w:t>
      </w:r>
      <w:r>
        <w:rPr>
          <w:rStyle w:val="VerbatimChar"/>
        </w:rPr>
        <w:t xml:space="preserve">FPH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src/gridflo/asl/types/flo_params_house0.py</w:t>
      </w:r>
      <w:r>
        <w:t xml:space="preserve">.</w:t>
      </w:r>
    </w:p>
    <w:p>
      <w:pPr>
        <w:pStyle w:val="BodyText"/>
      </w:pPr>
      <w:r>
        <w:t xml:space="preserve">Both modes share one construction: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Load.</w:t>
      </w:r>
      <w:r>
        <w:t xml:space="preserve"> </w:t>
      </w:r>
      <w:r>
        <w:rPr>
          <w:rStyle w:val="VerbatimChar"/>
        </w:rPr>
        <w:t xml:space="preserve">alpha + beta × OAT + gamma × windspeed × (65 − OAT)</w:t>
      </w:r>
      <w:r>
        <w:t xml:space="preserve">, floored at</w:t>
      </w:r>
      <w:r>
        <w:t xml:space="preserve"> </w:t>
      </w:r>
      <w:r>
        <w:t xml:space="preserve">zero (</w:t>
      </w:r>
      <w:r>
        <w:rPr>
          <w:rStyle w:val="VerbatimChar"/>
        </w:rPr>
        <w:t xml:space="preserve">FPH:150-152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RSWT from load.</w:t>
      </w:r>
      <w:r>
        <w:t xml:space="preserve"> </w:t>
      </w:r>
      <w:r>
        <w:t xml:space="preserve">A quadratic of delivered power against source</w:t>
      </w:r>
      <w:r>
        <w:t xml:space="preserve"> </w:t>
      </w:r>
      <w:r>
        <w:t xml:space="preserve">temperature is fitted through three points: zero power at</w:t>
      </w:r>
      <w:r>
        <w:t xml:space="preserve"> </w:t>
      </w:r>
      <w:r>
        <w:rPr>
          <w:rStyle w:val="VerbatimChar"/>
        </w:rPr>
        <w:t xml:space="preserve">−alpha/beta</w:t>
      </w:r>
      <w:r>
        <w:t xml:space="preserve">,</w:t>
      </w:r>
      <w:r>
        <w:t xml:space="preserve"> </w:t>
      </w:r>
      <w:r>
        <w:t xml:space="preserve">the intermediate point, and the design-day point (</w:t>
      </w:r>
      <w:r>
        <w:rPr>
          <w:rStyle w:val="VerbatimChar"/>
        </w:rPr>
        <w:t xml:space="preserve">DG:714-738</w:t>
      </w:r>
      <w:r>
        <w:t xml:space="preserve">,</w:t>
      </w:r>
      <w:r>
        <w:t xml:space="preserve"> </w:t>
      </w:r>
      <w:r>
        <w:rPr>
          <w:rStyle w:val="VerbatimChar"/>
        </w:rPr>
        <w:t xml:space="preserve">FPH:102-111</w:t>
      </w:r>
      <w:r>
        <w:t xml:space="preserve">). RSWT is that curve inverted at the forecast 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DG:1057-1060</w:t>
      </w:r>
      <w:r>
        <w:t xml:space="preserve">,</w:t>
      </w:r>
      <w:r>
        <w:t xml:space="preserve"> </w:t>
      </w:r>
      <w:r>
        <w:rPr>
          <w:rStyle w:val="VerbatimChar"/>
        </w:rPr>
        <w:t xml:space="preserve">FPH:144-148</w:t>
      </w:r>
      <w:r>
        <w:t xml:space="preserve">). At beech in January (alpha 9.0, beta</w:t>
      </w:r>
      <w:r>
        <w:t xml:space="preserve"> </w:t>
      </w:r>
      <w:r>
        <w:t xml:space="preserve">−0.15) the zero-power point is 60 °F.</w:t>
      </w:r>
    </w:p>
    <w:p>
      <w:pPr>
        <w:pStyle w:val="FirstParagraph"/>
      </w:pPr>
      <w:r>
        <w:t xml:space="preserve">So RSWT is not measured anywhere. It is the forecast load read through a</w:t>
      </w:r>
      <w:r>
        <w:t xml:space="preserve"> </w:t>
      </w:r>
      <w:r>
        <w:t xml:space="preserve">curve drawn from two hand-set points and the load coefficients. A load</w:t>
      </w:r>
      <w:r>
        <w:t xml:space="preserve"> </w:t>
      </w:r>
      <w:r>
        <w:t xml:space="preserve">forecast that runs high gives an RSWT that runs high, by construction.</w:t>
      </w:r>
    </w:p>
    <w:p>
      <w:pPr>
        <w:pStyle w:val="BodyText"/>
      </w:pPr>
      <w:r>
        <w:t xml:space="preserve">The two modes then diverge: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control (scada)</w:t>
            </w:r>
          </w:p>
        </w:tc>
        <w:tc>
          <w:tcPr/>
          <w:p>
            <w:pPr>
              <w:pStyle w:val="Compact"/>
            </w:pPr>
            <w:r>
              <w:t xml:space="preserve">FLO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used for RSWT</w:t>
            </w:r>
          </w:p>
        </w:tc>
        <w:tc>
          <w:tcPr/>
          <w:p>
            <w:pPr>
              <w:pStyle w:val="Compact"/>
            </w:pPr>
            <w:r>
              <w:t xml:space="preserve">Inflated by</w:t>
            </w:r>
            <w:r>
              <w:t xml:space="preserve"> </w:t>
            </w:r>
            <w:r>
              <w:rPr>
                <w:rStyle w:val="VerbatimChar"/>
              </w:rPr>
              <w:t xml:space="preserve">LoadOverestimationPercent</w:t>
            </w:r>
            <w:r>
              <w:t xml:space="preserve"> </w:t>
            </w:r>
            <w:r>
              <w:t xml:space="preserve">first (</w:t>
            </w:r>
            <w:r>
              <w:rPr>
                <w:rStyle w:val="VerbatimChar"/>
              </w:rPr>
              <w:t xml:space="preserve">DG:1054</w:t>
            </w:r>
            <w:r>
              <w:t xml:space="preserve">); 0 all last season</w:t>
            </w:r>
          </w:p>
        </w:tc>
        <w:tc>
          <w:tcPr/>
          <w:p>
            <w:pPr>
              <w:pStyle w:val="Compact"/>
            </w:pPr>
            <w:r>
              <w:t xml:space="preserve">Raw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Emitter ΔT</w:t>
            </w:r>
          </w:p>
        </w:tc>
        <w:tc>
          <w:tcPr/>
          <w:p>
            <w:pPr>
              <w:pStyle w:val="Compact"/>
            </w:pPr>
            <w:r>
              <w:t xml:space="preserve">Scales with load:</w:t>
            </w:r>
            <w:r>
              <w:t xml:space="preserve"> </w:t>
            </w:r>
            <w:r>
              <w:rPr>
                <w:rStyle w:val="VerbatimChar"/>
              </w:rPr>
              <w:t xml:space="preserve">DdDeltaTF / DdPowerKw × power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DG:1040-1046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ConstantDeltaT</w:t>
            </w:r>
            <w:r>
              <w:t xml:space="preserve">, default 20 °F (</w:t>
            </w:r>
            <w:r>
              <w:rPr>
                <w:rStyle w:val="VerbatimChar"/>
              </w:rPr>
              <w:t xml:space="preserve">FPH:78, 127-128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DdDeltaTF</w:t>
            </w:r>
            <w:r>
              <w:t xml:space="preserve"> </w:t>
            </w:r>
            <w:r>
              <w:t xml:space="preserve">has no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None on RSWT</w:t>
            </w:r>
          </w:p>
        </w:tc>
        <w:tc>
          <w:tcPr/>
          <w:p>
            <w:pPr>
              <w:pStyle w:val="Compact"/>
            </w:pPr>
            <w:r>
              <w:t xml:space="preserve">RSWT capped at 160 °F (</w:t>
            </w:r>
            <w:r>
              <w:rPr>
                <w:rStyle w:val="VerbatimChar"/>
              </w:rPr>
              <w:t xml:space="preserve">FPH:226-246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RSWT acts</w:t>
            </w:r>
          </w:p>
        </w:tc>
        <w:tc>
          <w:tcPr/>
          <w:p>
            <w:pPr>
              <w:pStyle w:val="Compact"/>
            </w:pPr>
            <w:r>
              <w:t xml:space="preserve">As tank thresholds: buffer</w:t>
            </w:r>
            <w:r>
              <w:t xml:space="preserve"> </w:t>
            </w:r>
            <w:r>
              <w:t xml:space="preserve">“full”</w:t>
            </w:r>
            <w:r>
              <w:t xml:space="preserve"> </w:t>
            </w:r>
            <w:r>
              <w:t xml:space="preserve">is the highest RSWT of the next three hours, limited by</w:t>
            </w:r>
            <w:r>
              <w:t xml:space="preserve"> </w:t>
            </w:r>
            <w:r>
              <w:rPr>
                <w:rStyle w:val="VerbatimChar"/>
              </w:rPr>
              <w:t xml:space="preserve">MaxEwtF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hydronic/house0.py:597-601</w:t>
            </w:r>
            <w:r>
              <w:t xml:space="preserve">); buffer</w:t>
            </w:r>
            <w:r>
              <w:t xml:space="preserve"> </w:t>
            </w:r>
            <w:r>
              <w:t xml:space="preserve">“empty”</w:t>
            </w:r>
            <w:r>
              <w:t xml:space="preserve"> </w:t>
            </w:r>
            <w:r>
              <w:t xml:space="preserve">is the same figure, or that minus ΔT in one mode, limited by</w:t>
            </w:r>
            <w:r>
              <w:t xml:space="preserve"> </w:t>
            </w:r>
            <w:r>
              <w:rPr>
                <w:rStyle w:val="VerbatimChar"/>
              </w:rPr>
              <w:t xml:space="preserve">MaxEwtF − 10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hydronic/shared.py:233-241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 a soft cost only, when discharging with the store’s top layer below RSWT (</w:t>
            </w:r>
            <w:r>
              <w:rPr>
                <w:rStyle w:val="VerbatimChar"/>
              </w:rPr>
              <w:t xml:space="preserve">flo.py:297</w:t>
            </w:r>
            <w:r>
              <w:t xml:space="preserve">); exponential in the shortfall (</w:t>
            </w:r>
            <w:r>
              <w:rPr>
                <w:rStyle w:val="VerbatimChar"/>
              </w:rPr>
              <w:t xml:space="preserve">flo.py:373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Next three hours for the buffer; the highest RSWT over the coming on-peak hours for usable energy</w:t>
            </w:r>
          </w:p>
        </w:tc>
        <w:tc>
          <w:tcPr/>
          <w:p>
            <w:pPr>
              <w:pStyle w:val="Compact"/>
            </w:pPr>
            <w:r>
              <w:t xml:space="preserve">Hour by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Usable-energy floor</w:t>
            </w:r>
          </w:p>
        </w:tc>
        <w:tc>
          <w:tcPr/>
          <w:p>
            <w:pPr>
              <w:pStyle w:val="Compact"/>
            </w:pPr>
            <w:r>
              <w:t xml:space="preserve">Return temperature derived from RSWT, with a 10 °F ramp below it (</w:t>
            </w:r>
            <w:r>
              <w:rPr>
                <w:rStyle w:val="VerbatimChar"/>
              </w:rPr>
              <w:t xml:space="preserve">DG:1203-1255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On-peak hours</w:t>
            </w:r>
          </w:p>
        </w:tc>
        <w:tc>
          <w:tcPr/>
          <w:p>
            <w:pPr>
              <w:pStyle w:val="Compact"/>
            </w:pPr>
            <w:r>
              <w:t xml:space="preserve">Hardcoded 7–11, 12–15, 16–19 for required energy (</w:t>
            </w:r>
            <w:r>
              <w:rPr>
                <w:rStyle w:val="VerbatimChar"/>
              </w:rPr>
              <w:t xml:space="preserve">DG:950-1038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From the price forecast</w:t>
            </w:r>
          </w:p>
        </w:tc>
      </w:tr>
    </w:tbl>
    <w:p>
      <w:pPr>
        <w:pStyle w:val="FirstParagraph"/>
      </w:pPr>
      <w:r>
        <w:t xml:space="preserve">The stored data agrees with the scada’s ΔT rule: on 2026-01-05 beech’s</w:t>
      </w:r>
      <w:r>
        <w:t xml:space="preserve"> </w:t>
      </w:r>
      <w:r>
        <w:rPr>
          <w:rStyle w:val="VerbatimChar"/>
        </w:rPr>
        <w:t xml:space="preserve">heating.forecast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RswtDeltaTF</w:t>
      </w:r>
      <w:r>
        <w:t xml:space="preserve"> </w:t>
      </w:r>
      <w:r>
        <w:t xml:space="preserve">23.0 at</w:t>
      </w:r>
      <w:r>
        <w:t xml:space="preserve"> </w:t>
      </w:r>
      <w:r>
        <w:rPr>
          <w:rStyle w:val="VerbatimChar"/>
        </w:rPr>
        <w:t xml:space="preserve">AvgPowerKw</w:t>
      </w:r>
      <w:r>
        <w:t xml:space="preserve"> </w:t>
      </w:r>
      <w:r>
        <w:t xml:space="preserve">10.35, which is</w:t>
      </w:r>
      <w:r>
        <w:t xml:space="preserve"> </w:t>
      </w:r>
      <w:r>
        <w:t xml:space="preserve">20 / 9.0 × 10.35.</w:t>
      </w:r>
    </w:p>
    <w:p>
      <w:pPr>
        <w:pStyle w:val="BodyText"/>
      </w:pPr>
      <w:r>
        <w:t xml:space="preserve">Three consequences for the charge question:</w:t>
      </w:r>
    </w:p>
    <w:p>
      <w:pPr>
        <w:pStyle w:val="Compact"/>
        <w:numPr>
          <w:ilvl w:val="0"/>
          <w:numId w:val="1007"/>
        </w:numPr>
      </w:pPr>
      <w:r>
        <w:t xml:space="preserve">In local control, RSWT is a tank-temperature target, so an RSWT that runs</w:t>
      </w:r>
      <w:r>
        <w:t xml:space="preserve"> </w:t>
      </w:r>
      <w:r>
        <w:t xml:space="preserve">high charges the buffer hotter directly.</w:t>
      </w:r>
    </w:p>
    <w:p>
      <w:pPr>
        <w:pStyle w:val="Compact"/>
        <w:numPr>
          <w:ilvl w:val="0"/>
          <w:numId w:val="1007"/>
        </w:numPr>
      </w:pPr>
      <w:r>
        <w:t xml:space="preserve">The emitter ΔT is 20 °F by parameter in both modes, at design-day power in</w:t>
      </w:r>
      <w:r>
        <w:t xml:space="preserve"> </w:t>
      </w:r>
      <w:r>
        <w:t xml:space="preserve">the scada and always in the FLO. Claim 2 tests that number.</w:t>
      </w:r>
    </w:p>
    <w:p>
      <w:pPr>
        <w:pStyle w:val="Compact"/>
        <w:numPr>
          <w:ilvl w:val="0"/>
          <w:numId w:val="1007"/>
        </w:numPr>
      </w:pPr>
      <w:r>
        <w:t xml:space="preserve">The same word means different things in the two modes: a source</w:t>
      </w:r>
      <w:r>
        <w:t xml:space="preserve"> </w:t>
      </w:r>
      <w:r>
        <w:t xml:space="preserve">temperature the house needs, a buffer charge target, and a penalty</w:t>
      </w:r>
      <w:r>
        <w:t xml:space="preserve"> </w:t>
      </w:r>
      <w:r>
        <w:t xml:space="preserve">threshold on the top of the store.</w:t>
      </w:r>
    </w:p>
    <w:bookmarkEnd w:id="17"/>
    <w:bookmarkStart w:id="18" w:name="_652e012f1dce56bb081eb34729e395b5853da3f"/>
    <w:p>
      <w:pPr>
        <w:pStyle w:val="Heading3"/>
      </w:pPr>
      <w:r>
        <w:t xml:space="preserve">Where the record is</w:t>
      </w:r>
    </w:p>
    <w:p>
      <w:pPr>
        <w:pStyle w:val="FirstParagraph"/>
      </w:pPr>
      <w:r>
        <w:t xml:space="preserve">All of the following are in the journal DB (</w:t>
      </w:r>
      <w:r>
        <w:rPr>
          <w:rStyle w:val="VerbatimChar"/>
        </w:rPr>
        <w:t xml:space="preserve">gridworks.messages</w:t>
      </w:r>
      <w:r>
        <w:t xml:space="preserve">), 2025-10-01</w:t>
      </w:r>
      <w:r>
        <w:t xml:space="preserve"> </w:t>
      </w:r>
      <w:r>
        <w:t xml:space="preserve">to 2026-04-30 checked. The S3 eventstore was not examined.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What it carries for this analysis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flo.params.house0</w:t>
            </w:r>
          </w:p>
        </w:tc>
        <w:tc>
          <w:tcPr/>
          <w:p>
            <w:pPr>
              <w:pStyle w:val="Compact"/>
            </w:pPr>
            <w:r>
              <w:t xml:space="preserve">LTN</w:t>
            </w:r>
          </w:p>
        </w:tc>
        <w:tc>
          <w:tcPr/>
          <w:p>
            <w:pPr>
              <w:pStyle w:val="Compact"/>
            </w:pPr>
            <w:r>
              <w:t xml:space="preserve">The whole parameter set for each FLO run: the four groups above, the outside-temperature, wind and price forecasts used, the initial store temperatures and thermoclines,</w:t>
            </w:r>
            <w:r>
              <w:t xml:space="preserve"> </w:t>
            </w:r>
            <w:r>
              <w:rPr>
                <w:rStyle w:val="VerbatimChar"/>
              </w:rPr>
              <w:t xml:space="preserve">ConstantDeltaT</w:t>
            </w:r>
            <w:r>
              <w:t xml:space="preserve">, the RSWT penalty settings,</w:t>
            </w:r>
            <w:r>
              <w:t xml:space="preserve"> </w:t>
            </w:r>
            <w:r>
              <w:rPr>
                <w:rStyle w:val="VerbatimChar"/>
              </w:rPr>
              <w:t xml:space="preserve">FloGitCommit</w:t>
            </w:r>
          </w:p>
        </w:tc>
        <w:tc>
          <w:tcPr/>
          <w:p>
            <w:pPr>
              <w:pStyle w:val="Compact"/>
            </w:pPr>
            <w:r>
              <w:t xml:space="preserve">14,868 messages. Present only while the FLO ran: fall to about December 8, then from March (oak from December 23). No FLO parameters exist for mid-December to early March in beech, elm, fir or maple.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layout.lite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Ha1Params</w:t>
            </w:r>
          </w:p>
        </w:tc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The scada’s own copy of the load and RSWT groups (</w:t>
            </w:r>
            <w:r>
              <w:rPr>
                <w:rStyle w:val="VerbatimChar"/>
              </w:rPr>
              <w:t xml:space="preserve">ha1.params</w:t>
            </w:r>
            <w:r>
              <w:t xml:space="preserve">), plus</w:t>
            </w:r>
            <w:r>
              <w:t xml:space="preserve"> </w:t>
            </w:r>
            <w:r>
              <w:rPr>
                <w:rStyle w:val="VerbatimChar"/>
              </w:rPr>
              <w:t xml:space="preserve">MaxEwtF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HpMaxKwTh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LoadOverestimationPercent</w:t>
            </w:r>
            <w:r>
              <w:t xml:space="preserve"> </w:t>
            </w:r>
            <w:r>
              <w:t xml:space="preserve">(0 throughout)</w:t>
            </w:r>
          </w:p>
        </w:tc>
        <w:tc>
          <w:tcPr/>
          <w:p>
            <w:pPr>
              <w:pStyle w:val="Compact"/>
            </w:pPr>
            <w:r>
              <w:t xml:space="preserve">All season, every house. This is the only parameter record for the winter months the FLO did not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heating.forecast</w:t>
            </w:r>
          </w:p>
        </w:tc>
        <w:tc>
          <w:tcPr/>
          <w:p>
            <w:pPr>
              <w:pStyle w:val="Compact"/>
            </w:pPr>
            <w:r>
              <w:t xml:space="preserve">Scada, hourly</w:t>
            </w:r>
          </w:p>
        </w:tc>
        <w:tc>
          <w:tcPr/>
          <w:p>
            <w:pPr>
              <w:pStyle w:val="Compact"/>
            </w:pPr>
            <w:r>
              <w:t xml:space="preserve">24-hour arrays the scada computed from its parameters:</w:t>
            </w:r>
            <w:r>
              <w:t xml:space="preserve"> </w:t>
            </w:r>
            <w:r>
              <w:rPr>
                <w:rStyle w:val="VerbatimChar"/>
              </w:rPr>
              <w:t xml:space="preserve">AvgPowerKw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RswtF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RswtDeltaTF</w:t>
            </w:r>
            <w:r>
              <w:t xml:space="preserve">, with the</w:t>
            </w:r>
            <w:r>
              <w:t xml:space="preserve"> </w:t>
            </w:r>
            <w:r>
              <w:rPr>
                <w:rStyle w:val="VerbatimChar"/>
              </w:rPr>
              <w:t xml:space="preserve">WeatherUid</w:t>
            </w:r>
            <w:r>
              <w:t xml:space="preserve"> </w:t>
            </w:r>
            <w:r>
              <w:t xml:space="preserve">of the forecast used</w:t>
            </w:r>
          </w:p>
        </w:tc>
        <w:tc>
          <w:tcPr/>
          <w:p>
            <w:pPr>
              <w:pStyle w:val="Compact"/>
            </w:pPr>
            <w:r>
              <w:t xml:space="preserve">26,979 messages, every house (spruce from January 23).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weather.forecast</w:t>
            </w:r>
          </w:p>
        </w:tc>
        <w:tc>
          <w:tcPr/>
          <w:p>
            <w:pPr>
              <w:pStyle w:val="Compact"/>
            </w:pPr>
            <w:r>
              <w:t xml:space="preserve">Scada, hourly</w:t>
            </w:r>
          </w:p>
        </w:tc>
        <w:tc>
          <w:tcPr/>
          <w:p>
            <w:pPr>
              <w:pStyle w:val="Compact"/>
            </w:pPr>
            <w:r>
              <w:t xml:space="preserve">The weather forecast behind each</w:t>
            </w:r>
            <w:r>
              <w:t xml:space="preserve"> </w:t>
            </w:r>
            <w:r>
              <w:rPr>
                <w:rStyle w:val="VerbatimChar"/>
              </w:rPr>
              <w:t xml:space="preserve">heating.forecast</w:t>
            </w:r>
          </w:p>
        </w:tc>
        <w:tc>
          <w:tcPr/>
          <w:p>
            <w:pPr>
              <w:pStyle w:val="Compact"/>
            </w:pPr>
            <w:r>
              <w:t xml:space="preserve">Same count, paired by</w:t>
            </w:r>
            <w:r>
              <w:t xml:space="preserve"> </w:t>
            </w:r>
            <w:r>
              <w:rPr>
                <w:rStyle w:val="VerbatimChar"/>
              </w:rPr>
              <w:t xml:space="preserve">WeatherUid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report.event</w:t>
            </w:r>
          </w:p>
        </w:tc>
        <w:tc>
          <w:tcPr/>
          <w:p>
            <w:pPr>
              <w:pStyle w:val="Compact"/>
            </w:pPr>
            <w:r>
              <w:t xml:space="preserve">Scada</w:t>
            </w:r>
          </w:p>
        </w:tc>
        <w:tc>
          <w:tcPr/>
          <w:p>
            <w:pPr>
              <w:pStyle w:val="Compact"/>
            </w:pPr>
            <w:r>
              <w:t xml:space="preserve">Measured source, return and flow, tank and buffer temperatures, zone temperature, setpoint and heat call, and the scada’s own</w:t>
            </w:r>
            <w:r>
              <w:t xml:space="preserve"> </w:t>
            </w:r>
            <w:r>
              <w:rPr>
                <w:rStyle w:val="VerbatimChar"/>
              </w:rPr>
              <w:t xml:space="preserve">required-energy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usable-energy</w:t>
            </w:r>
            <w:r>
              <w:t xml:space="preserve"> </w:t>
            </w: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All season.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scada.params</w:t>
            </w:r>
          </w:p>
        </w:tc>
        <w:tc>
          <w:tcPr/>
          <w:p>
            <w:pPr>
              <w:pStyle w:val="Compact"/>
            </w:pPr>
            <w:r>
              <w:t xml:space="preserve">LTN and scada</w:t>
            </w:r>
          </w:p>
        </w:tc>
        <w:tc>
          <w:tcPr/>
          <w:p>
            <w:pPr>
              <w:pStyle w:val="Compact"/>
            </w:pPr>
            <w:r>
              <w:t xml:space="preserve">Changes to scada thresholds such as</w:t>
            </w:r>
            <w:r>
              <w:t xml:space="preserve"> </w:t>
            </w:r>
            <w:r>
              <w:rPr>
                <w:rStyle w:val="VerbatimChar"/>
              </w:rPr>
              <w:t xml:space="preserve">BufferEmpty</w:t>
            </w:r>
          </w:p>
        </w:tc>
        <w:tc>
          <w:tcPr/>
          <w:p>
            <w:pPr>
              <w:pStyle w:val="Compact"/>
            </w:pPr>
            <w:r>
              <w:t xml:space="preserve">8 messages, March 3–5 2026 only.</w:t>
            </w:r>
          </w:p>
        </w:tc>
      </w:tr>
    </w:tbl>
    <w:p>
      <w:pPr>
        <w:pStyle w:val="FirstParagraph"/>
      </w:pPr>
      <w:r>
        <w:t xml:space="preserve">No FLO output (plans or bids) appears in the journal under a parameter,</w:t>
      </w:r>
      <w:r>
        <w:t xml:space="preserve"> </w:t>
      </w:r>
      <w:r>
        <w:t xml:space="preserve">forecast, bid or contract type name.</w:t>
      </w:r>
    </w:p>
    <w:p>
      <w:pPr>
        <w:pStyle w:val="BodyText"/>
      </w:pPr>
      <w:r>
        <w:t xml:space="preserve">The LTN and the scada each hold their own copy of the parameters and the</w:t>
      </w:r>
      <w:r>
        <w:t xml:space="preserve"> </w:t>
      </w:r>
      <w:r>
        <w:t xml:space="preserve">copies were edited separately: on 2025-12-31 the LTN at beech sent</w:t>
      </w:r>
      <w:r>
        <w:t xml:space="preserve"> </w:t>
      </w:r>
      <w:r>
        <w:rPr>
          <w:rStyle w:val="VerbatimChar"/>
        </w:rPr>
        <w:t xml:space="preserve">DdRswtF</w:t>
      </w:r>
      <w:r>
        <w:t xml:space="preserve"> </w:t>
      </w:r>
      <w:r>
        <w:t xml:space="preserve">150 while the scada’s layout held 170.</w:t>
      </w:r>
    </w:p>
    <w:bookmarkEnd w:id="18"/>
    <w:bookmarkStart w:id="19" w:name="_e4808e98c1a6efd4f7c6692975ae7bc251d596b"/>
    <w:p>
      <w:pPr>
        <w:pStyle w:val="Heading3"/>
      </w:pPr>
      <w:r>
        <w:t xml:space="preserve">A first comparison: beech, 2026-01-05</w:t>
      </w:r>
    </w:p>
    <w:p>
      <w:pPr>
        <w:pStyle w:val="FirstParagraph"/>
      </w:pPr>
      <w:r>
        <w:t xml:space="preserve">The scada’s</w:t>
      </w:r>
      <w:r>
        <w:t xml:space="preserve"> </w:t>
      </w:r>
      <w:r>
        <w:rPr>
          <w:rStyle w:val="VerbatimChar"/>
        </w:rPr>
        <w:t xml:space="preserve">heating.forecast</w:t>
      </w:r>
      <w:r>
        <w:t xml:space="preserve"> </w:t>
      </w:r>
      <w:r>
        <w:t xml:space="preserve">for the afternoon of that day gave</w:t>
      </w:r>
      <w:r>
        <w:t xml:space="preserve"> </w:t>
      </w:r>
      <w:r>
        <w:rPr>
          <w:rStyle w:val="VerbatimChar"/>
        </w:rPr>
        <w:t xml:space="preserve">RswtF</w:t>
      </w:r>
      <w:r>
        <w:t xml:space="preserve"> </w:t>
      </w:r>
      <w:r>
        <w:t xml:space="preserve">162–177 °F,</w:t>
      </w:r>
      <w:r>
        <w:t xml:space="preserve"> </w:t>
      </w:r>
      <w:r>
        <w:rPr>
          <w:rStyle w:val="VerbatimChar"/>
        </w:rPr>
        <w:t xml:space="preserve">AvgPowerKw</w:t>
      </w:r>
      <w:r>
        <w:t xml:space="preserve"> </w:t>
      </w:r>
      <w:r>
        <w:t xml:space="preserve">7.7–10.4 and</w:t>
      </w:r>
      <w:r>
        <w:t xml:space="preserve"> </w:t>
      </w:r>
      <w:r>
        <w:rPr>
          <w:rStyle w:val="VerbatimChar"/>
        </w:rPr>
        <w:t xml:space="preserve">RswtDeltaTF</w:t>
      </w:r>
      <w:r>
        <w:t xml:space="preserve"> </w:t>
      </w:r>
      <w:r>
        <w:t xml:space="preserve">17–23 °F. The measured</w:t>
      </w:r>
      <w:r>
        <w:t xml:space="preserve"> </w:t>
      </w:r>
      <w:r>
        <w:t xml:space="preserve">day (first look below) had the main zone at its 68 °F setpoint all day, in</w:t>
      </w:r>
      <w:r>
        <w:t xml:space="preserve"> </w:t>
      </w:r>
      <w:r>
        <w:t xml:space="preserve">constant heat call for 14 hours on source water of 130–156 °F, delivering</w:t>
      </w:r>
      <w:r>
        <w:t xml:space="preserve"> </w:t>
      </w:r>
      <w:r>
        <w:t xml:space="preserve">3.9–7.0 kWh per hour to distribution. On this one day the scada’s RSWT sat</w:t>
      </w:r>
      <w:r>
        <w:t xml:space="preserve"> </w:t>
      </w:r>
      <w:r>
        <w:t xml:space="preserve">20–40 °F above a source temperature at which the house held setpoint, and</w:t>
      </w:r>
      <w:r>
        <w:t xml:space="preserve"> </w:t>
      </w:r>
      <w:r>
        <w:t xml:space="preserve">its forecast load ran above measured distribution energy. This is a lead</w:t>
      </w:r>
      <w:r>
        <w:t xml:space="preserve"> </w:t>
      </w:r>
      <w:r>
        <w:t xml:space="preserve">with the same unit caveats as the first look, not a result.</w:t>
      </w:r>
    </w:p>
    <w:bookmarkEnd w:id="19"/>
    <w:bookmarkEnd w:id="20"/>
    <w:bookmarkStart w:id="21" w:name="_d86003f1a5f48bfe3d4f078577f56338d4d409c"/>
    <w:p>
      <w:pPr>
        <w:pStyle w:val="Heading2"/>
      </w:pPr>
      <w:r>
        <w:t xml:space="preserve">Claims register</w:t>
      </w:r>
    </w:p>
    <w:p>
      <w:pPr>
        <w:pStyle w:val="FirstParagraph"/>
      </w:pPr>
      <w:r>
        <w:t xml:space="preserve">Every declaration the paper makes is tested against data from all houses</w:t>
      </w:r>
      <w:r>
        <w:t xml:space="preserve"> </w:t>
      </w:r>
      <w:r>
        <w:t xml:space="preserve">before it stands.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Claim from the meeting</w:t>
            </w:r>
          </w:p>
        </w:tc>
        <w:tc>
          <w:tcPr/>
          <w:p>
            <w:pPr>
              <w:pStyle w:val="Compact"/>
            </w:pPr>
            <w:r>
              <w:t xml:space="preserve">Test against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COP depends on lift, not on entering water temperature</w:t>
            </w:r>
          </w:p>
        </w:tc>
        <w:tc>
          <w:tcPr/>
          <w:p>
            <w:pPr>
              <w:pStyle w:val="Compact"/>
            </w:pPr>
            <w:r>
              <w:t xml:space="preserve">Repeat George’s plot per house and per heat pump model</w:t>
            </w:r>
          </w:p>
        </w:tc>
        <w:tc>
          <w:tcPr/>
          <w:p>
            <w:pPr>
              <w:pStyle w:val="Compact"/>
            </w:pPr>
            <w:r>
              <w:t xml:space="preserve">George’s plot only; I have not seen which 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Steady-state ΔT across distribution is about 20 °F</w:t>
            </w:r>
          </w:p>
        </w:tc>
        <w:tc>
          <w:tcPr/>
          <w:p>
            <w:pPr>
              <w:pStyle w:val="Compact"/>
            </w:pPr>
            <w:r>
              <w:t xml:space="preserve">Flow-weighted ΔT in constant-call hours, by source temperature, every house</w:t>
            </w:r>
          </w:p>
        </w:tc>
        <w:tc>
          <w:tcPr/>
          <w:p>
            <w:pPr>
              <w:pStyle w:val="Compact"/>
            </w:pPr>
            <w:r>
              <w:t xml:space="preserve">Tested: not a constant. See</w:t>
            </w:r>
            <w:r>
              <w:t xml:space="preserve"> </w:t>
            </w:r>
            <w:r>
              <w:t xml:space="preserve">“Emitter temperature drop across the fleet”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Shorter heat calls return colder water</w:t>
            </w:r>
          </w:p>
        </w:tc>
        <w:tc>
          <w:tcPr/>
          <w:p>
            <w:pPr>
              <w:pStyle w:val="Compact"/>
            </w:pPr>
            <w:r>
              <w:t xml:space="preserve">Return temperature against heat-call fraction at fixed source temperature</w:t>
            </w:r>
          </w:p>
        </w:tc>
        <w:tc>
          <w:tcPr/>
          <w:p>
            <w:pPr>
              <w:pStyle w:val="Compact"/>
            </w:pPr>
            <w:r>
              <w:t xml:space="preserve">Tested: holds at every house. See</w:t>
            </w:r>
            <w:r>
              <w:t xml:space="preserve"> </w:t>
            </w:r>
            <w:r>
              <w:t xml:space="preserve">“How hot the water comes back”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Burst return temperature is close to random (80–120 °F)</w:t>
            </w:r>
          </w:p>
        </w:tc>
        <w:tc>
          <w:tcPr/>
          <w:p>
            <w:pPr>
              <w:pStyle w:val="Compact"/>
            </w:pPr>
            <w:r>
              <w:t xml:space="preserve">Spread of return temperature by heat-call fraction; Thomas’s scatter, per house</w:t>
            </w:r>
          </w:p>
        </w:tc>
        <w:tc>
          <w:tcPr/>
          <w:p>
            <w:pPr>
              <w:pStyle w:val="Compact"/>
            </w:pPr>
            <w:r>
              <w:t xml:space="preserve">Thomas’s scatter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Bursts do not overheat the house</w:t>
            </w:r>
          </w:p>
        </w:tc>
        <w:tc>
          <w:tcPr/>
          <w:p>
            <w:pPr>
              <w:pStyle w:val="Compact"/>
            </w:pPr>
            <w:r>
              <w:t xml:space="preserve">Room temperature overshoot above setpoint against source temperature</w:t>
            </w:r>
          </w:p>
        </w:tc>
        <w:tc>
          <w:tcPr/>
          <w:p>
            <w:pPr>
              <w:pStyle w:val="Compact"/>
            </w:pPr>
            <w:r>
              <w:t xml:space="preserve">Joe’s table and George’s plot, beech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LGs lose capacity when return water is 150–155 °F</w:t>
            </w:r>
          </w:p>
        </w:tc>
        <w:tc>
          <w:tcPr/>
          <w:p>
            <w:pPr>
              <w:pStyle w:val="Compact"/>
            </w:pPr>
            <w:r>
              <w:t xml:space="preserve">Heat output against entering water temperature when leaving water is at its cap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 100 °F return instead of 120 °F raises usable store by about 30%</w:t>
            </w:r>
          </w:p>
        </w:tc>
        <w:tc>
          <w:tcPr/>
          <w:p>
            <w:pPr>
              <w:pStyle w:val="Compact"/>
            </w:pPr>
            <w:r>
              <w:t xml:space="preserve">Arithmetic on actual charged tank temperatures</w:t>
            </w:r>
          </w:p>
        </w:tc>
        <w:tc>
          <w:tcPr/>
          <w:p>
            <w:pPr>
              <w:pStyle w:val="Compact"/>
            </w:pPr>
            <w:r>
              <w:t xml:space="preserve">Depends on top temperature: 33% at 180 °F, 40% at 170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Water below RSWT still delivers useful heat</w:t>
            </w:r>
          </w:p>
        </w:tc>
        <w:tc>
          <w:tcPr/>
          <w:p>
            <w:pPr>
              <w:pStyle w:val="Compact"/>
            </w:pPr>
            <w:r>
              <w:t xml:space="preserve">kWh delivered and room temperature trend in hours with source below RSWT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Fast burst flow de-stratifies the store</w:t>
            </w:r>
          </w:p>
        </w:tc>
        <w:tc>
          <w:tcPr/>
          <w:p>
            <w:pPr>
              <w:pStyle w:val="Compact"/>
            </w:pPr>
            <w:r>
              <w:t xml:space="preserve">Tank depth temperatures during bursts against steady draw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11 AM drop in heat calls at beech is solar gain</w:t>
            </w:r>
          </w:p>
        </w:tc>
        <w:tc>
          <w:tcPr/>
          <w:p>
            <w:pPr>
              <w:pStyle w:val="Compact"/>
            </w:pPr>
            <w:r>
              <w:t xml:space="preserve">Compare sunny and overcast days at the same outside temperature</w:t>
            </w:r>
          </w:p>
        </w:tc>
        <w:tc>
          <w:tcPr/>
          <w:p>
            <w:pPr>
              <w:pStyle w:val="Compact"/>
            </w:pPr>
            <w:r>
              <w:t xml:space="preserve">Untested; Thomas offered a cooler store as the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We charged the store hotter than on-peak needed in the shoulder</w:t>
            </w:r>
          </w:p>
        </w:tc>
        <w:tc>
          <w:tcPr/>
          <w:p>
            <w:pPr>
              <w:pStyle w:val="Compact"/>
            </w:pPr>
            <w:r>
              <w:t xml:space="preserve">Per shoulder day: charge temperature, on-peak draw, surplus above RSWT, COP cost</w:t>
            </w:r>
          </w:p>
        </w:tc>
        <w:tc>
          <w:tcPr/>
          <w:p>
            <w:pPr>
              <w:pStyle w:val="Compact"/>
            </w:pPr>
            <w:r>
              <w:t xml:space="preserve">Untested; this is the charge half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Alternating the source end of a series-emitter zone improves comfort (Siegenthaler)</w:t>
            </w:r>
          </w:p>
        </w:tc>
        <w:tc>
          <w:tcPr/>
          <w:p>
            <w:pPr>
              <w:pStyle w:val="Compact"/>
            </w:pPr>
            <w:r>
              <w:t xml:space="preserve">Needs per-emitter or per-room temperatures along a series loop</w:t>
            </w:r>
          </w:p>
        </w:tc>
        <w:tc>
          <w:tcPr/>
          <w:p>
            <w:pPr>
              <w:pStyle w:val="Compact"/>
            </w:pPr>
            <w:r>
              <w:t xml:space="preserve">Probably no data in the fleet</w:t>
            </w:r>
          </w:p>
        </w:tc>
      </w:tr>
    </w:tbl>
    <w:bookmarkEnd w:id="21"/>
    <w:bookmarkStart w:id="22" w:name="_e18be758363251ea17beb0363127edc85a83ed4"/>
    <w:p>
      <w:pPr>
        <w:pStyle w:val="Heading2"/>
      </w:pPr>
      <w:r>
        <w:t xml:space="preserve">First look: beech, 2026-01-05</w:t>
      </w:r>
    </w:p>
    <w:p>
      <w:pPr>
        <w:pStyle w:val="FirstParagraph"/>
      </w:pPr>
      <w:r>
        <w:t xml:space="preserve">A throwaway look at one day, pulled from the journal DB (</w:t>
      </w:r>
      <w:r>
        <w:rPr>
          <w:rStyle w:val="VerbatimChar"/>
        </w:rPr>
        <w:t xml:space="preserve">report.event</w:t>
      </w:r>
      <w:r>
        <w:t xml:space="preserve">,</w:t>
      </w:r>
      <w:r>
        <w:t xml:space="preserve"> </w:t>
      </w:r>
      <w:r>
        <w:t xml:space="preserve">midnight to midnight ET). It is a lead, not a result: units were inferred</w:t>
      </w:r>
      <w:r>
        <w:t xml:space="preserve"> </w:t>
      </w:r>
      <w:r>
        <w:t xml:space="preserve">from value ranges (temperatures °C×1000, flow gpm×100), not decoded through</w:t>
      </w:r>
      <w:r>
        <w:t xml:space="preserve"> </w:t>
      </w:r>
      <w:r>
        <w:t xml:space="preserve">sema, and a zone counts as calling when its whitewire power is above 20 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Flow-weighted source</w:t>
            </w:r>
          </w:p>
        </w:tc>
        <w:tc>
          <w:tcPr/>
          <w:p>
            <w:pPr>
              <w:pStyle w:val="Compact"/>
            </w:pPr>
            <w:r>
              <w:t xml:space="preserve">Flow-weighted return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1 calling ≥95% of the hour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145 °F</w:t>
            </w:r>
          </w:p>
        </w:tc>
        <w:tc>
          <w:tcPr/>
          <w:p>
            <w:pPr>
              <w:pStyle w:val="Compact"/>
            </w:pPr>
            <w:r>
              <w:t xml:space="preserve">125 °F</w:t>
            </w:r>
          </w:p>
        </w:tc>
        <w:tc>
          <w:tcPr/>
          <w:p>
            <w:pPr>
              <w:pStyle w:val="Compact"/>
            </w:pPr>
            <w:r>
              <w:t xml:space="preserve">20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1 calling 60–95%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164 °F</w:t>
            </w:r>
          </w:p>
        </w:tc>
        <w:tc>
          <w:tcPr/>
          <w:p>
            <w:pPr>
              <w:pStyle w:val="Compact"/>
            </w:pPr>
            <w:r>
              <w:t xml:space="preserve">136 °F</w:t>
            </w:r>
          </w:p>
        </w:tc>
        <w:tc>
          <w:tcPr/>
          <w:p>
            <w:pPr>
              <w:pStyle w:val="Compact"/>
            </w:pPr>
            <w:r>
              <w:t xml:space="preserve">27.5 °F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day has no hours of infrequent heat call.</w:t>
      </w:r>
      <w:r>
        <w:t xml:space="preserve"> </w:t>
      </w:r>
      <w:r>
        <w:t xml:space="preserve">The lowest hourly</w:t>
      </w:r>
      <w:r>
        <w:t xml:space="preserve"> </w:t>
      </w:r>
      <w:r>
        <w:t xml:space="preserve">heat-call fraction is 61%, so the water never sits upstairs long enough to</w:t>
      </w:r>
      <w:r>
        <w:t xml:space="preserve"> </w:t>
      </w:r>
      <w:r>
        <w:t xml:space="preserve">come back cold.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Return follows source.</w:t>
      </w:r>
      <w:r>
        <w:t xml:space="preserve"> </w:t>
      </w:r>
      <w:r>
        <w:t xml:space="preserve">In the intermittent hours the return is warmer</w:t>
      </w:r>
      <w:r>
        <w:t xml:space="preserve"> </w:t>
      </w:r>
      <w:r>
        <w:t xml:space="preserve">(136 °F), not colder, because the source was hotter.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heat pump ran in eight of the ten intermittent hours</w:t>
      </w:r>
      <w:r>
        <w:t xml:space="preserve">, so that</w:t>
      </w:r>
      <w:r>
        <w:t xml:space="preserve"> </w:t>
      </w:r>
      <w:r>
        <w:t xml:space="preserve">return water was not going to the store.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Steady-state ΔT is not a flat 20 °F.</w:t>
      </w:r>
      <w:r>
        <w:t xml:space="preserve"> </w:t>
      </w:r>
      <w:r>
        <w:t xml:space="preserve">Within the constant-call hours it</w:t>
      </w:r>
      <w:r>
        <w:t xml:space="preserve"> </w:t>
      </w:r>
      <w:r>
        <w:t xml:space="preserve">rose with source temperature: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temperature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130–138 °F</w:t>
            </w:r>
          </w:p>
        </w:tc>
        <w:tc>
          <w:tcPr/>
          <w:p>
            <w:pPr>
              <w:pStyle w:val="Compact"/>
            </w:pPr>
            <w:r>
              <w:t xml:space="preserve">15.5–17.5 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144–156 °F</w:t>
            </w:r>
          </w:p>
        </w:tc>
        <w:tc>
          <w:tcPr/>
          <w:p>
            <w:pPr>
              <w:pStyle w:val="Compact"/>
            </w:pPr>
            <w:r>
              <w:t xml:space="preserve">17.8–23.7 °F</w:t>
            </w:r>
          </w:p>
        </w:tc>
      </w:tr>
    </w:tbl>
    <w:p>
      <w:pPr>
        <w:pStyle w:val="FirstParagraph"/>
      </w:pPr>
      <w:r>
        <w:t xml:space="preserve">Near RSWT, where a mixing valve would hold the source, beech shows about</w:t>
      </w:r>
      <w:r>
        <w:t xml:space="preserve"> </w:t>
      </w:r>
      <w:r>
        <w:t xml:space="preserve">16–17 °F. The storage argument for not mixing needs days this one does not</w:t>
      </w:r>
      <w:r>
        <w:t xml:space="preserve"> </w:t>
      </w:r>
      <w:r>
        <w:t xml:space="preserve">provide: a hot store in milder weather with infrequent heat calls.</w:t>
      </w:r>
    </w:p>
    <w:bookmarkEnd w:id="22"/>
    <w:bookmarkStart w:id="23" w:name="_2dbf90d915c6465df24a50b980ecc0ec8070b7c"/>
    <w:p>
      <w:pPr>
        <w:pStyle w:val="Heading2"/>
      </w:pPr>
      <w:r>
        <w:t xml:space="preserve">Emitter temperature drop across the fleet</w:t>
      </w:r>
    </w:p>
    <w:p>
      <w:pPr>
        <w:pStyle w:val="FirstParagraph"/>
      </w:pPr>
      <w:r>
        <w:t xml:space="preserve">Claim 2 tested on the five houses without a mixing valve over the</w:t>
      </w:r>
      <w:r>
        <w:t xml:space="preserve"> </w:t>
      </w:r>
      <w:r>
        <w:t xml:space="preserve">2025–26 season (2025-10-01 to 2026-05-01), from the journal DB with</w:t>
      </w:r>
      <w:r>
        <w:t xml:space="preserve"> </w:t>
      </w:r>
      <w:r>
        <w:t xml:space="preserve">every value decoded through its channel word. An hour counts as steady when</w:t>
      </w:r>
      <w:r>
        <w:t xml:space="preserve"> </w:t>
      </w:r>
      <w:r>
        <w:t xml:space="preserve">the distribution loop circulated for at least 95% of it. The drop by</w:t>
      </w:r>
      <w:r>
        <w:t xml:space="preserve"> </w:t>
      </w:r>
      <w:r>
        <w:t xml:space="preserve">source temperature is the last table in</w:t>
      </w:r>
      <w:r>
        <w:t xml:space="preserve"> </w:t>
      </w:r>
      <w:r>
        <w:t xml:space="preserve">“How hot the water comes back”</w:t>
      </w:r>
      <w:r>
        <w:t xml:space="preserve">;</w:t>
      </w:r>
      <w:r>
        <w:t xml:space="preserve"> </w:t>
      </w:r>
      <w:r>
        <w:t xml:space="preserve">quartiles are in</w:t>
      </w:r>
      <w:r>
        <w:t xml:space="preserve"> </w:t>
      </w:r>
      <w:r>
        <w:rPr>
          <w:rStyle w:val="VerbatimChar"/>
        </w:rPr>
        <w:t xml:space="preserve">experiments/dist-loop-experiments/steady-drop.txt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drop is not a constant.</w:t>
      </w:r>
      <w:r>
        <w:t xml:space="preserve"> </w:t>
      </w:r>
      <w:r>
        <w:t xml:space="preserve">At every house it rises with source</w:t>
      </w:r>
      <w:r>
        <w:t xml:space="preserve"> </w:t>
      </w:r>
      <w:r>
        <w:t xml:space="preserve">temperature, close to linearly. A fixed 20 °F is right at one source</w:t>
      </w:r>
      <w:r>
        <w:t xml:space="preserve"> </w:t>
      </w:r>
      <w:r>
        <w:t xml:space="preserve">temperature per house: about 140–145 °F at beech and elm and about</w:t>
      </w:r>
      <w:r>
        <w:t xml:space="preserve"> </w:t>
      </w:r>
      <w:r>
        <w:t xml:space="preserve">155 °F at fir.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Houses differ by a factor of two at the same source temperature.</w:t>
      </w:r>
      <w:r>
        <w:t xml:space="preserve"> </w:t>
      </w:r>
      <w:r>
        <w:t xml:space="preserve">At 140–150 °F maple drops 10.7 °F where elm drops 22.0 °F. Maple does</w:t>
      </w:r>
      <w:r>
        <w:t xml:space="preserve"> </w:t>
      </w:r>
      <w:r>
        <w:t xml:space="preserve">not reach 20 °F at any source temperature it saw, up to 180 °F.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accounts for part of the difference.</w:t>
      </w:r>
      <w:r>
        <w:t xml:space="preserve"> </w:t>
      </w:r>
      <w:r>
        <w:t xml:space="preserve">Steady flow is about</w:t>
      </w:r>
      <w:r>
        <w:t xml:space="preserve"> </w:t>
      </w:r>
      <w:r>
        <w:t xml:space="preserve">2.1 gpm at beech and elm and 2.5–3.4 gpm at maple, but maple also</w:t>
      </w:r>
      <w:r>
        <w:t xml:space="preserve"> </w:t>
      </w:r>
      <w:r>
        <w:t xml:space="preserve">delivers less heat per steady hour (4.5–5.5 kWh across 130–180 °F</w:t>
      </w:r>
      <w:r>
        <w:t xml:space="preserve"> </w:t>
      </w:r>
      <w:r>
        <w:t xml:space="preserve">source against 6–8 kWh at elm across 130–160 °F), so its emitters</w:t>
      </w:r>
      <w:r>
        <w:t xml:space="preserve"> </w:t>
      </w:r>
      <w:r>
        <w:t xml:space="preserve">give up less heat at the same water temperature.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Steady circulation is 4–11% of the season’s hours.</w:t>
      </w:r>
      <w:r>
        <w:t xml:space="preserve"> </w:t>
      </w:r>
      <w:r>
        <w:t xml:space="preserve">The steady</w:t>
      </w:r>
      <w:r>
        <w:t xml:space="preserve"> </w:t>
      </w:r>
      <w:r>
        <w:t xml:space="preserve">drop describes the coldest hours; most hours are intermittent, which</w:t>
      </w:r>
      <w:r>
        <w:t xml:space="preserve"> </w:t>
      </w:r>
      <w:r>
        <w:t xml:space="preserve">is the ground claims 3 and 4 cover.</w:t>
      </w:r>
    </w:p>
    <w:p>
      <w:pPr>
        <w:pStyle w:val="FirstParagraph"/>
      </w:pPr>
      <w:r>
        <w:t xml:space="preserve">For the discharge question this means the return temperature under a</w:t>
      </w:r>
      <w:r>
        <w:t xml:space="preserve"> </w:t>
      </w:r>
      <w:r>
        <w:t xml:space="preserve">mixed source held at RSWT is a per-house quantity that depends on RSWT</w:t>
      </w:r>
      <w:r>
        <w:t xml:space="preserve"> </w:t>
      </w:r>
      <w:r>
        <w:t xml:space="preserve">itself: a house with a low RSWT returns water only a few degrees colder</w:t>
      </w:r>
      <w:r>
        <w:t xml:space="preserve"> </w:t>
      </w:r>
      <w:r>
        <w:t xml:space="preserve">than it was sent. For the charge question it bears on</w:t>
      </w:r>
      <w:r>
        <w:t xml:space="preserve"> </w:t>
      </w:r>
      <w:r>
        <w:rPr>
          <w:rStyle w:val="VerbatimChar"/>
        </w:rPr>
        <w:t xml:space="preserve">DdDeltaTF</w:t>
      </w:r>
      <w:r>
        <w:t xml:space="preserve">: a</w:t>
      </w:r>
      <w:r>
        <w:t xml:space="preserve"> </w:t>
      </w:r>
      <w:r>
        <w:t xml:space="preserve">single design drop per house overstates the drop at low source</w:t>
      </w:r>
      <w:r>
        <w:t xml:space="preserve"> </w:t>
      </w:r>
      <w:r>
        <w:t xml:space="preserve">temperature and understates it at high.</w:t>
      </w:r>
    </w:p>
    <w:bookmarkEnd w:id="23"/>
    <w:bookmarkStart w:id="24" w:name="_open"/>
    <w:p>
      <w:pPr>
        <w:pStyle w:val="Heading2"/>
      </w:pPr>
      <w:r>
        <w:t xml:space="preserve">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 of the data.</w:t>
      </w:r>
      <w:r>
        <w:t xml:space="preserve"> </w:t>
      </w:r>
      <w:r>
        <w:t xml:space="preserve">Proposed: the 2025–26 heating season, every house</w:t>
      </w:r>
      <w:r>
        <w:t xml:space="preserve"> </w:t>
      </w:r>
      <w:r>
        <w:t xml:space="preserve">with distribution source, return and flow channels.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Series emitters.</w:t>
      </w:r>
      <w:r>
        <w:t xml:space="preserve"> </w:t>
      </w:r>
      <w:r>
        <w:t xml:space="preserve">Does any zone in the fleet have emitters in series</w:t>
      </w:r>
      <w:r>
        <w:t xml:space="preserve"> </w:t>
      </w:r>
      <w:r>
        <w:t xml:space="preserve">with a temperature sensor at more than one of them? Claim 12 has no test</w:t>
      </w:r>
      <w:r>
        <w:t xml:space="preserve"> </w:t>
      </w:r>
      <w:r>
        <w:t xml:space="preserve">without one.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2026-10-07T21:57:06Z</dcterms:created>
  <dcterms:modified xsi:type="dcterms:W3CDTF">2026-10-07T21:57:06Z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