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500" w:type="dxa"/>
              <w:bottom w:w="500" w:type="dxa"/>
              <w:left w:w="500" w:type="dxa"/>
              <w:right w:w="500" w:type="dxa"/>
            </w:tcMar>
          </w:tcPr>
          <w:p>
            <w:pPr>
              <w:jc w:val="center"/>
              <w:spacing w:before="0" w:after="120"/>
            </w:pPr>
            <w:r>
              <w:rPr>
                <w:rFonts w:ascii="Arial" w:hAnsi="Arial"/>
                <w:b/>
                <w:color w:val="FFFFFF"/>
                <w:sz w:val="72"/>
              </w:rPr>
              <w:t>TGP</w:t>
            </w:r>
          </w:p>
          <w:p>
            <w:pPr>
              <w:jc w:val="center"/>
              <w:spacing w:before="0" w:after="60"/>
            </w:pPr>
            <w:r>
              <w:rPr>
                <w:rFonts w:ascii="Arial" w:hAnsi="Arial"/>
                <w:b/>
                <w:color w:val="FFFFFF"/>
                <w:sz w:val="48"/>
              </w:rPr>
              <w:t>MANUAL DE ONBOARDING</w:t>
            </w:r>
          </w:p>
          <w:p>
            <w:pPr>
              <w:jc w:val="center"/>
              <w:spacing w:before="0" w:after="120"/>
            </w:pPr>
            <w:r>
              <w:rPr>
                <w:rFonts w:ascii="Arial" w:hAnsi="Arial"/>
                <w:b w:val="0"/>
                <w:color w:val="D0E4F7"/>
                <w:sz w:val="36"/>
              </w:rPr>
              <w:t>SDR Junior</w:t>
            </w:r>
          </w:p>
          <w:p>
            <w:pPr>
              <w:jc w:val="center"/>
              <w:spacing w:before="0" w:after="0"/>
            </w:pPr>
            <w:r>
              <w:rPr>
                <w:rFonts w:ascii="Arial" w:hAnsi="Arial"/>
                <w:color w:val="A0C4E0"/>
                <w:sz w:val="24"/>
              </w:rPr>
              <w:t>Sales Development Representative</w:t>
            </w:r>
          </w:p>
        </w:tc>
      </w:tr>
    </w:tbl>
    <w:p>
      <w:pPr>
        <w:spacing w:before="0" w:after="240"/>
      </w:pPr>
    </w:p>
    <w:p>
      <w:pPr>
        <w:jc w:val="center"/>
        <w:spacing w:before="0" w:after="240"/>
      </w:pPr>
      <w:r>
        <w:rPr>
          <w:rFonts w:ascii="Arial" w:hAnsi="Arial"/>
          <w:i/>
          <w:color w:val="595959"/>
          <w:sz w:val="24"/>
        </w:rPr>
        <w:t>¡Bienvenido/a al equipo! Este manual es tu guía completa para el proceso de onboarding.</w:t>
        <w:br/>
        <w:t>Contiene todo lo que necesitás saber para arrancar con fuerza desde el primer día.</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  ÍNDICE DE CONTENIDOS</w:t>
            </w:r>
          </w:p>
          <w:p>
            <w:pPr>
              <w:spacing w:before="0" w:after="0"/>
            </w:pPr>
            <w:r>
              <w:rPr>
                <w:rFonts w:ascii="Arial" w:hAnsi="Arial"/>
                <w:i/>
                <w:color w:val="D0E4F7"/>
                <w:sz w:val="22"/>
              </w:rPr>
              <w:t>Navegación rápida por el manual</w:t>
            </w:r>
          </w:p>
        </w:tc>
      </w:tr>
    </w:tbl>
    <w:p/>
    <w:p>
      <w:pPr>
        <w:spacing w:before="0" w:after="60"/>
      </w:pPr>
      <w:r>
        <w:rPr>
          <w:rFonts w:ascii="Arial" w:hAnsi="Arial"/>
          <w:b/>
          <w:color w:val="2E75B6"/>
          <w:sz w:val="22"/>
        </w:rPr>
        <w:t xml:space="preserve">1.  </w:t>
      </w:r>
      <w:r>
        <w:rPr>
          <w:rFonts w:ascii="Arial" w:hAnsi="Arial"/>
          <w:color w:val="404040"/>
          <w:sz w:val="22"/>
        </w:rPr>
        <w:t>Bienvenida a TGP</w:t>
      </w:r>
    </w:p>
    <w:p>
      <w:pPr>
        <w:spacing w:before="0" w:after="60"/>
      </w:pPr>
      <w:r>
        <w:rPr>
          <w:rFonts w:ascii="Arial" w:hAnsi="Arial"/>
          <w:b/>
          <w:color w:val="2E75B6"/>
          <w:sz w:val="22"/>
        </w:rPr>
        <w:t xml:space="preserve">2.  </w:t>
      </w:r>
      <w:r>
        <w:rPr>
          <w:rFonts w:ascii="Arial" w:hAnsi="Arial"/>
          <w:color w:val="404040"/>
          <w:sz w:val="22"/>
        </w:rPr>
        <w:t>Kit del Colaborador — Información Administrativa</w:t>
      </w:r>
    </w:p>
    <w:p>
      <w:pPr>
        <w:spacing w:before="0" w:after="60"/>
      </w:pPr>
      <w:r>
        <w:rPr>
          <w:rFonts w:ascii="Arial" w:hAnsi="Arial"/>
          <w:b/>
          <w:color w:val="2E75B6"/>
          <w:sz w:val="22"/>
        </w:rPr>
        <w:t xml:space="preserve">3.  </w:t>
      </w:r>
      <w:r>
        <w:rPr>
          <w:rFonts w:ascii="Arial" w:hAnsi="Arial"/>
          <w:color w:val="404040"/>
          <w:sz w:val="22"/>
        </w:rPr>
        <w:t>Día 1 — Configuración Inicial</w:t>
      </w:r>
    </w:p>
    <w:p>
      <w:pPr>
        <w:spacing w:before="0" w:after="60"/>
      </w:pPr>
      <w:r>
        <w:rPr>
          <w:rFonts w:ascii="Arial" w:hAnsi="Arial"/>
          <w:b/>
          <w:color w:val="2E75B6"/>
          <w:sz w:val="22"/>
        </w:rPr>
        <w:t xml:space="preserve">4.  </w:t>
      </w:r>
      <w:r>
        <w:rPr>
          <w:rFonts w:ascii="Arial" w:hAnsi="Arial"/>
          <w:color w:val="404040"/>
          <w:sz w:val="22"/>
        </w:rPr>
        <w:t>Tu Rol como SDR Junior</w:t>
      </w:r>
    </w:p>
    <w:p>
      <w:pPr>
        <w:spacing w:before="0" w:after="60"/>
      </w:pPr>
      <w:r>
        <w:rPr>
          <w:rFonts w:ascii="Arial" w:hAnsi="Arial"/>
          <w:b/>
          <w:color w:val="2E75B6"/>
          <w:sz w:val="22"/>
        </w:rPr>
        <w:t xml:space="preserve">5.  </w:t>
      </w:r>
      <w:r>
        <w:rPr>
          <w:rFonts w:ascii="Arial" w:hAnsi="Arial"/>
          <w:color w:val="404040"/>
          <w:sz w:val="22"/>
        </w:rPr>
        <w:t>Conceptos Clave — Glosario</w:t>
      </w:r>
    </w:p>
    <w:p>
      <w:pPr>
        <w:spacing w:before="0" w:after="60"/>
      </w:pPr>
      <w:r>
        <w:rPr>
          <w:rFonts w:ascii="Arial" w:hAnsi="Arial"/>
          <w:b/>
          <w:color w:val="2E75B6"/>
          <w:sz w:val="22"/>
        </w:rPr>
        <w:t xml:space="preserve">6.  </w:t>
      </w:r>
      <w:r>
        <w:rPr>
          <w:rFonts w:ascii="Arial" w:hAnsi="Arial"/>
          <w:color w:val="404040"/>
          <w:sz w:val="22"/>
        </w:rPr>
        <w:t>Día 2 — Capacitación Técnica</w:t>
      </w:r>
    </w:p>
    <w:p>
      <w:pPr>
        <w:spacing w:before="0" w:after="60"/>
      </w:pPr>
      <w:r>
        <w:rPr>
          <w:rFonts w:ascii="Arial" w:hAnsi="Arial"/>
          <w:b/>
          <w:color w:val="2E75B6"/>
          <w:sz w:val="22"/>
        </w:rPr>
        <w:t xml:space="preserve">7.  </w:t>
      </w:r>
      <w:r>
        <w:rPr>
          <w:rFonts w:ascii="Arial" w:hAnsi="Arial"/>
          <w:color w:val="404040"/>
          <w:sz w:val="22"/>
        </w:rPr>
        <w:t>Manejo de Bandejas de Correo</w:t>
      </w:r>
    </w:p>
    <w:p>
      <w:pPr>
        <w:spacing w:before="0" w:after="60"/>
      </w:pPr>
      <w:r>
        <w:rPr>
          <w:rFonts w:ascii="Arial" w:hAnsi="Arial"/>
          <w:b/>
          <w:color w:val="2E75B6"/>
          <w:sz w:val="22"/>
        </w:rPr>
        <w:t xml:space="preserve">8.  </w:t>
      </w:r>
      <w:r>
        <w:rPr>
          <w:rFonts w:ascii="Arial" w:hAnsi="Arial"/>
          <w:color w:val="404040"/>
          <w:sz w:val="22"/>
        </w:rPr>
        <w:t>Manejo de Objeciones</w:t>
      </w:r>
    </w:p>
    <w:p>
      <w:pPr>
        <w:spacing w:before="0" w:after="60"/>
      </w:pPr>
      <w:r>
        <w:rPr>
          <w:rFonts w:ascii="Arial" w:hAnsi="Arial"/>
          <w:b/>
          <w:color w:val="2E75B6"/>
          <w:sz w:val="22"/>
        </w:rPr>
        <w:t xml:space="preserve">9.  </w:t>
      </w:r>
      <w:r>
        <w:rPr>
          <w:rFonts w:ascii="Arial" w:hAnsi="Arial"/>
          <w:color w:val="404040"/>
          <w:sz w:val="22"/>
        </w:rPr>
        <w:t>Push y Llamado en Tibio</w:t>
      </w:r>
    </w:p>
    <w:p>
      <w:pPr>
        <w:spacing w:before="0" w:after="60"/>
      </w:pPr>
      <w:r>
        <w:rPr>
          <w:rFonts w:ascii="Arial" w:hAnsi="Arial"/>
          <w:b/>
          <w:color w:val="2E75B6"/>
          <w:sz w:val="22"/>
        </w:rPr>
        <w:t xml:space="preserve">10.  </w:t>
      </w:r>
      <w:r>
        <w:rPr>
          <w:rFonts w:ascii="Arial" w:hAnsi="Arial"/>
          <w:color w:val="404040"/>
          <w:sz w:val="22"/>
        </w:rPr>
        <w:t>Proceso de Agendamiento</w:t>
      </w:r>
    </w:p>
    <w:p>
      <w:pPr>
        <w:spacing w:before="0" w:after="60"/>
      </w:pPr>
      <w:r>
        <w:rPr>
          <w:rFonts w:ascii="Arial" w:hAnsi="Arial"/>
          <w:b/>
          <w:color w:val="2E75B6"/>
          <w:sz w:val="22"/>
        </w:rPr>
        <w:t xml:space="preserve">11.  </w:t>
      </w:r>
      <w:r>
        <w:rPr>
          <w:rFonts w:ascii="Arial" w:hAnsi="Arial"/>
          <w:color w:val="404040"/>
          <w:sz w:val="22"/>
        </w:rPr>
        <w:t>Recordatorios y Seguimiento de Reuniones</w:t>
      </w:r>
    </w:p>
    <w:p>
      <w:pPr>
        <w:spacing w:before="0" w:after="60"/>
      </w:pPr>
      <w:r>
        <w:rPr>
          <w:rFonts w:ascii="Arial" w:hAnsi="Arial"/>
          <w:b/>
          <w:color w:val="2E75B6"/>
          <w:sz w:val="22"/>
        </w:rPr>
        <w:t xml:space="preserve">12.  </w:t>
      </w:r>
      <w:r>
        <w:rPr>
          <w:rFonts w:ascii="Arial" w:hAnsi="Arial"/>
          <w:color w:val="404040"/>
          <w:sz w:val="22"/>
        </w:rPr>
        <w:t>Herramientas Adicionales</w:t>
      </w:r>
    </w:p>
    <w:p>
      <w:pPr>
        <w:spacing w:before="0" w:after="60"/>
      </w:pPr>
      <w:r>
        <w:rPr>
          <w:rFonts w:ascii="Arial" w:hAnsi="Arial"/>
          <w:b/>
          <w:color w:val="2E75B6"/>
          <w:sz w:val="22"/>
        </w:rPr>
        <w:t xml:space="preserve">13.  </w:t>
      </w:r>
      <w:r>
        <w:rPr>
          <w:rFonts w:ascii="Arial" w:hAnsi="Arial"/>
          <w:color w:val="404040"/>
          <w:sz w:val="22"/>
        </w:rPr>
        <w:t>Tareas del Onboarding</w:t>
      </w:r>
    </w:p>
    <w:p>
      <w:pPr>
        <w:spacing w:before="0" w:after="60"/>
      </w:pPr>
      <w:r>
        <w:rPr>
          <w:rFonts w:ascii="Arial" w:hAnsi="Arial"/>
          <w:b/>
          <w:color w:val="2E75B6"/>
          <w:sz w:val="22"/>
        </w:rPr>
        <w:t xml:space="preserve">14.  </w:t>
      </w:r>
      <w:r>
        <w:rPr>
          <w:rFonts w:ascii="Arial" w:hAnsi="Arial"/>
          <w:color w:val="404040"/>
          <w:sz w:val="22"/>
        </w:rPr>
        <w:t>Documentos y Recursos</w:t>
      </w:r>
    </w:p>
    <w:p>
      <w:pPr>
        <w:spacing w:before="0" w:after="60"/>
      </w:pPr>
      <w:r>
        <w:rPr>
          <w:rFonts w:ascii="Arial" w:hAnsi="Arial"/>
          <w:b/>
          <w:color w:val="2E75B6"/>
          <w:sz w:val="22"/>
        </w:rPr>
        <w:t xml:space="preserve">15.  </w:t>
      </w:r>
      <w:r>
        <w:rPr>
          <w:rFonts w:ascii="Arial" w:hAnsi="Arial"/>
          <w:color w:val="404040"/>
          <w:sz w:val="22"/>
        </w:rPr>
        <w:t>Sistema de Advertencias</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  BIENVENIDA A TGP</w:t>
            </w:r>
          </w:p>
          <w:p>
            <w:pPr>
              <w:spacing w:before="0" w:after="0"/>
            </w:pPr>
            <w:r>
              <w:rPr>
                <w:rFonts w:ascii="Arial" w:hAnsi="Arial"/>
                <w:i/>
                <w:color w:val="D0E4F7"/>
                <w:sz w:val="22"/>
              </w:rPr>
              <w:t>Bienvenido/a al equipo</w:t>
            </w:r>
          </w:p>
        </w:tc>
      </w:tr>
    </w:tbl>
    <w:p/>
    <w:p>
      <w:pPr>
        <w:spacing w:before="0" w:after="60"/>
      </w:pPr>
      <w:r>
        <w:rPr>
          <w:rFonts w:ascii="Arial" w:hAnsi="Arial"/>
          <w:color w:val="404040"/>
          <w:sz w:val="22"/>
        </w:rPr>
        <w:t>Este bot es tu guía para los primeros dos días. Te llevará por los pasos de configuración inicial y te presentará tu rol, de lo más general a lo más específico.</w:t>
      </w:r>
    </w:p>
    <w:p>
      <w:pPr>
        <w:spacing w:before="0" w:after="60"/>
      </w:pPr>
      <w:r>
        <w:rPr>
          <w:rFonts w:ascii="Arial" w:hAnsi="Arial"/>
          <w:color w:val="404040"/>
          <w:sz w:val="22"/>
        </w:rPr>
        <w:t>Es corto y directo. Tómate tu tiempo con cada paso, y anota lo que necesites.</w:t>
      </w:r>
    </w:p>
    <w:p>
      <w:pPr>
        <w:spacing w:before="0" w:after="60"/>
      </w:pPr>
      <w:r>
        <w:rPr>
          <w:rFonts w:ascii="Arial" w:hAnsi="Arial"/>
          <w:color w:val="404040"/>
          <w:sz w:val="22"/>
        </w:rPr>
        <w:t>Al final del primer día tendrás una reunión de repaso donde podrás profundizar en el proceso y resolver todas tus dudas.</w:t>
      </w:r>
    </w:p>
    <w:p>
      <w:pPr>
        <w:spacing w:before="0" w:after="60"/>
      </w:pP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Como SDR Junior, tu misión principal es generar oportunidades de venta para los clientes de TGP: agendar reuniones comerciales calificadas. Esta semana estamos todos los días en la oficina. ¡Tu equipo te espera!</w:t>
            </w:r>
          </w:p>
        </w:tc>
      </w:tr>
    </w:tbl>
    <w:p>
      <w:pPr>
        <w:spacing w:before="0" w:after="120"/>
      </w:pPr>
    </w:p>
    <w:p>
      <w:pPr>
        <w:spacing w:before="0" w:after="60"/>
      </w:pPr>
    </w:p>
    <w:p>
      <w:pPr>
        <w:spacing w:before="120" w:after="40"/>
      </w:pPr>
      <w:r>
        <w:rPr>
          <w:rFonts w:ascii="Arial" w:hAnsi="Arial"/>
          <w:b/>
          <w:color w:val="2E75B6"/>
          <w:sz w:val="24"/>
        </w:rPr>
        <w:t>Estructura del Onboarding</w:t>
      </w:r>
    </w:p>
    <w:p>
      <w:pPr>
        <w:pStyle w:val="ListNumber"/>
        <w:ind w:left="360" w:hanging="180"/>
        <w:spacing w:before="0" w:after="40"/>
      </w:pPr>
      <w:r>
        <w:rPr>
          <w:rFonts w:ascii="Arial" w:hAnsi="Arial"/>
          <w:color w:val="404040"/>
          <w:sz w:val="22"/>
        </w:rPr>
        <w:t>DÍA 1 — Configuración inicial + conocer tu rol + reunión de repaso con RRHH + Tarea 1.</w:t>
      </w:r>
    </w:p>
    <w:p>
      <w:pPr>
        <w:pStyle w:val="ListNumber"/>
        <w:ind w:left="360" w:hanging="180"/>
        <w:spacing w:before="0" w:after="40"/>
      </w:pPr>
      <w:r>
        <w:rPr>
          <w:rFonts w:ascii="Arial" w:hAnsi="Arial"/>
          <w:color w:val="404040"/>
          <w:sz w:val="22"/>
        </w:rPr>
        <w:t>DÍA 2 — Reuniones con Senior y Manager + bot técnico (bandejas, objeciones, agendamiento) + Tarea 2 + Tarea 3.</w:t>
      </w:r>
    </w:p>
    <w:p>
      <w:pPr>
        <w:pStyle w:val="ListNumber"/>
        <w:ind w:left="360" w:hanging="180"/>
        <w:spacing w:before="0" w:after="40"/>
      </w:pPr>
      <w:r>
        <w:rPr>
          <w:rFonts w:ascii="Arial" w:hAnsi="Arial"/>
          <w:color w:val="404040"/>
          <w:sz w:val="22"/>
        </w:rPr>
        <w:t>Días siguientes — Coachings con tu Senior y capacitaciones con RRHH para acompañarte en el proceso.</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2.  KIT DEL COLABORADOR</w:t>
            </w:r>
          </w:p>
          <w:p>
            <w:pPr>
              <w:spacing w:before="0" w:after="0"/>
            </w:pPr>
            <w:r>
              <w:rPr>
                <w:rFonts w:ascii="Arial" w:hAnsi="Arial"/>
                <w:i/>
                <w:color w:val="D0E4F7"/>
                <w:sz w:val="22"/>
              </w:rPr>
              <w:t>Información administrativa y beneficios</w:t>
            </w:r>
          </w:p>
        </w:tc>
      </w:tr>
    </w:tbl>
    <w:p/>
    <w:p>
      <w:pPr>
        <w:spacing w:before="0" w:after="60"/>
      </w:pPr>
      <w:r>
        <w:rPr>
          <w:rFonts w:ascii="Arial" w:hAnsi="Arial"/>
          <w:color w:val="404040"/>
          <w:sz w:val="22"/>
        </w:rPr>
        <w:t>Esta sección contiene toda la información administrativa y de beneficios que necesitás conocer como colaborador de TGP. Revisá cada punto y guardá los links importantes.</w:t>
      </w:r>
    </w:p>
    <w:p>
      <w:pPr>
        <w:spacing w:before="180" w:after="60"/>
        <w:pBdr>
          <w:bottom w:val="single" w:sz="6" w:space="1" w:color="2E75B6"/>
        </w:pBdr>
      </w:pPr>
      <w:r>
        <w:rPr>
          <w:rFonts w:ascii="Arial" w:hAnsi="Arial"/>
          <w:b/>
          <w:color w:val="1E4B8F"/>
          <w:sz w:val="28"/>
        </w:rPr>
        <w:t>2.1  Datos Personales</w:t>
      </w:r>
    </w:p>
    <w:p>
      <w:pPr>
        <w:spacing w:before="0" w:after="60"/>
      </w:pPr>
      <w:r>
        <w:rPr>
          <w:rFonts w:ascii="Arial" w:hAnsi="Arial"/>
          <w:color w:val="404040"/>
          <w:sz w:val="22"/>
        </w:rPr>
        <w:t>Antes de comenzar, debés completar el formulario de datos personales. Es necesario para generar tus accesos y tener tus datos en caso de emergencias.</w:t>
      </w:r>
    </w:p>
    <w:p>
      <w:pPr>
        <w:spacing w:before="0" w:after="60"/>
      </w:pPr>
      <w:r>
        <w:rPr>
          <w:rFonts w:ascii="Arial" w:hAnsi="Arial"/>
          <w:color w:val="404040"/>
          <w:sz w:val="22"/>
        </w:rPr>
        <w:t xml:space="preserve">📋  </w:t>
      </w:r>
      <w:hyperlink r:id="rId9">
        <w:r>
          <w:rPr>
            <w:rStyle w:val="Hyperlink"/>
            <w:sz w:val="22"/>
            <w:szCs w:val="22"/>
          </w:rPr>
          <w:t>Formulario de datos personales</w:t>
        </w:r>
      </w:hyperlink>
    </w:p>
    <w:p>
      <w:pPr>
        <w:spacing w:before="0" w:after="60"/>
      </w:pPr>
    </w:p>
    <w:p>
      <w:pPr>
        <w:spacing w:before="180" w:after="60"/>
        <w:pBdr>
          <w:bottom w:val="single" w:sz="6" w:space="1" w:color="2E75B6"/>
        </w:pBdr>
      </w:pPr>
      <w:r>
        <w:rPr>
          <w:rFonts w:ascii="Arial" w:hAnsi="Arial"/>
          <w:b/>
          <w:color w:val="1E4B8F"/>
          <w:sz w:val="28"/>
        </w:rPr>
        <w:t>2.2  Herramientas de Trabajo TGP</w:t>
      </w:r>
    </w:p>
    <w:p>
      <w:pPr>
        <w:spacing w:before="0" w:after="60"/>
      </w:pPr>
      <w:r>
        <w:rPr>
          <w:rFonts w:ascii="Arial" w:hAnsi="Arial"/>
          <w:color w:val="404040"/>
          <w:sz w:val="22"/>
        </w:rPr>
        <w:t>Al incorporarte recibirás acceso a las herramientas de trabajo de TGP. Es importante configurarlas correctamente desde el primer día.</w:t>
      </w:r>
    </w:p>
    <w:p>
      <w:pPr>
        <w:spacing w:before="100" w:after="30"/>
      </w:pPr>
      <w:r>
        <w:rPr>
          <w:rFonts w:ascii="Arial" w:hAnsi="Arial"/>
          <w:b/>
          <w:color w:val="1E4B8F"/>
          <w:sz w:val="22"/>
        </w:rPr>
        <w:t>Correo electrónico TGP</w:t>
      </w:r>
    </w:p>
    <w:p>
      <w:pPr>
        <w:spacing w:before="0" w:after="60"/>
      </w:pPr>
      <w:r>
        <w:rPr>
          <w:rFonts w:ascii="Arial" w:hAnsi="Arial"/>
          <w:color w:val="404040"/>
          <w:sz w:val="22"/>
        </w:rPr>
        <w:t>Tu correo TGP es la herramienta base para acceder a todas las plataformas. Iniciá sesión en Google con tu cuenta TGP en todos los dispositivos que uses para trabajar.</w:t>
      </w:r>
    </w:p>
    <w:p>
      <w:pPr>
        <w:spacing w:before="100" w:after="30"/>
      </w:pPr>
      <w:r>
        <w:rPr>
          <w:rFonts w:ascii="Arial" w:hAnsi="Arial"/>
          <w:b/>
          <w:color w:val="1E4B8F"/>
          <w:sz w:val="22"/>
        </w:rPr>
        <w:t>Slack — Comunicación del equipo</w:t>
      </w:r>
    </w:p>
    <w:p>
      <w:pPr>
        <w:spacing w:before="0" w:after="60"/>
      </w:pPr>
      <w:r>
        <w:rPr>
          <w:rFonts w:ascii="Arial" w:hAnsi="Arial"/>
          <w:color w:val="404040"/>
          <w:sz w:val="22"/>
        </w:rPr>
        <w:t xml:space="preserve">Slack es nuestra herramienta principal de comunicación, </w:t>
      </w:r>
      <w:r>
        <w:rPr>
          <w:rFonts w:ascii="Arial" w:hAnsi="Arial"/>
          <w:b/>
          <w:color w:val="404040"/>
          <w:sz w:val="22"/>
        </w:rPr>
        <w:t>nuestra segunda oficina.</w:t>
      </w:r>
    </w:p>
    <w:tbl>
      <w:tblPr>
        <w:tblW w:type="auto" w:w="0"/>
        <w:tblLook w:firstColumn="1" w:firstRow="1" w:lastColumn="0" w:lastRow="0" w:noHBand="0" w:noVBand="1" w:val="04A0"/>
        <w:tblW w:w="9360" w:type="dxa"/>
      </w:tblPr>
      <w:tblGrid>
        <w:gridCol w:w="9360"/>
      </w:tblGrid>
      <w:tr>
        <w:tc>
          <w:tcPr>
            <w:tcW w:type="dxa" w:w="9360"/>
            <w:tcW w:w="9360" w:type="dxa"/>
            <w:shd w:val="clear" w:color="auto" w:fill="FFF8E1"/>
            <w:tcBorders>
              <w:top w:val="single" w:sz="8" w:space="0" w:color="E65100"/>
              <w:left w:val="single" w:sz="8" w:space="0" w:color="E65100"/>
              <w:bottom w:val="single" w:sz="8" w:space="0" w:color="E65100"/>
              <w:right w:val="single" w:sz="8" w:space="0" w:color="E65100"/>
            </w:tcBorders>
            <w:tcMar>
              <w:top w:w="120" w:type="dxa"/>
              <w:bottom w:w="120" w:type="dxa"/>
              <w:left w:w="200" w:type="dxa"/>
              <w:right w:w="200" w:type="dxa"/>
            </w:tcMar>
          </w:tcPr>
          <w:p>
            <w:pPr>
              <w:spacing w:before="0" w:after="60"/>
            </w:pPr>
            <w:r>
              <w:rPr>
                <w:rFonts w:ascii="Arial" w:hAnsi="Arial"/>
                <w:b/>
                <w:color w:val="E65100"/>
                <w:sz w:val="22"/>
              </w:rPr>
              <w:t>⚠️  Regla de oro de Slack:</w:t>
            </w:r>
          </w:p>
          <w:p>
            <w:pPr>
              <w:spacing w:before="0" w:after="0"/>
            </w:pPr>
            <w:r>
              <w:rPr>
                <w:rFonts w:ascii="Arial" w:hAnsi="Arial"/>
                <w:color w:val="404040"/>
                <w:sz w:val="22"/>
              </w:rPr>
              <w:t>Está prohibido mantener notificaciones, canales y chats sin abrir. Todo lo que se recibe es importante y se responde.</w:t>
            </w:r>
          </w:p>
        </w:tc>
      </w:tr>
    </w:tbl>
    <w:p>
      <w:pPr>
        <w:spacing w:before="0" w:after="120"/>
      </w:pPr>
    </w:p>
    <w:p>
      <w:pPr>
        <w:pStyle w:val="ListBullet"/>
        <w:ind w:left="360" w:hanging="180"/>
        <w:spacing w:before="0" w:after="40"/>
      </w:pPr>
      <w:r>
        <w:rPr>
          <w:rFonts w:ascii="Arial" w:hAnsi="Arial"/>
          <w:color w:val="404040"/>
          <w:sz w:val="22"/>
        </w:rPr>
        <w:t xml:space="preserve">📄  </w:t>
      </w:r>
      <w:hyperlink r:id="rId10">
        <w:r>
          <w:rPr>
            <w:rStyle w:val="Hyperlink"/>
            <w:sz w:val="22"/>
            <w:szCs w:val="22"/>
          </w:rPr>
          <w:t>Guía de uso de Slack</w:t>
        </w:r>
      </w:hyperlink>
    </w:p>
    <w:p>
      <w:pPr>
        <w:pStyle w:val="ListBullet"/>
        <w:ind w:left="360" w:hanging="180"/>
        <w:spacing w:before="0" w:after="40"/>
      </w:pPr>
      <w:r>
        <w:rPr>
          <w:rFonts w:ascii="Arial" w:hAnsi="Arial"/>
          <w:color w:val="404040"/>
          <w:sz w:val="22"/>
        </w:rPr>
        <w:t xml:space="preserve">🎥  </w:t>
      </w:r>
      <w:hyperlink r:id="rId11">
        <w:r>
          <w:rPr>
            <w:rStyle w:val="Hyperlink"/>
            <w:sz w:val="22"/>
            <w:szCs w:val="22"/>
          </w:rPr>
          <w:t>Video: tour por Slack</w:t>
        </w:r>
      </w:hyperlink>
    </w:p>
    <w:p>
      <w:pPr>
        <w:spacing w:before="0" w:after="60"/>
      </w:pPr>
    </w:p>
    <w:p>
      <w:pPr>
        <w:spacing w:before="0" w:after="60"/>
      </w:pPr>
      <w:r>
        <w:rPr>
          <w:rFonts w:ascii="Arial" w:hAnsi="Arial"/>
          <w:color w:val="404040"/>
          <w:sz w:val="22"/>
        </w:rPr>
        <w:t>Configuración obligatoria de Slack:</w:t>
      </w:r>
    </w:p>
    <w:p>
      <w:pPr>
        <w:pStyle w:val="ListBullet"/>
        <w:ind w:left="360" w:hanging="180"/>
        <w:spacing w:before="0" w:after="40"/>
      </w:pPr>
      <w:r>
        <w:rPr>
          <w:rFonts w:ascii="Arial" w:hAnsi="Arial"/>
          <w:color w:val="404040"/>
          <w:sz w:val="22"/>
        </w:rPr>
        <w:t>Descargá la app de Slack en tu celular e iniciá sesión con tu cuenta TGP. Así recibirás notificaciones a tiempo.</w:t>
      </w:r>
    </w:p>
    <w:p>
      <w:pPr>
        <w:pStyle w:val="ListBullet"/>
        <w:ind w:left="360" w:hanging="180"/>
        <w:spacing w:before="0" w:after="40"/>
      </w:pPr>
      <w:r>
        <w:rPr>
          <w:rFonts w:ascii="Arial" w:hAnsi="Arial"/>
          <w:color w:val="404040"/>
          <w:sz w:val="22"/>
        </w:rPr>
        <w:t>Poné una foto de perfil profesional. Slack es nuestra oficina y está bueno poder vernos las caras.</w:t>
      </w:r>
    </w:p>
    <w:p>
      <w:pPr>
        <w:spacing w:before="100" w:after="30"/>
      </w:pPr>
      <w:r>
        <w:rPr>
          <w:rFonts w:ascii="Arial" w:hAnsi="Arial"/>
          <w:b/>
          <w:color w:val="1E4B8F"/>
          <w:sz w:val="22"/>
        </w:rPr>
        <w:t>Google Calendar</w:t>
      </w:r>
    </w:p>
    <w:p>
      <w:pPr>
        <w:spacing w:before="0" w:after="60"/>
      </w:pPr>
      <w:r>
        <w:rPr>
          <w:rFonts w:ascii="Arial" w:hAnsi="Arial"/>
          <w:color w:val="404040"/>
          <w:sz w:val="22"/>
        </w:rPr>
        <w:t>Nuestro calendario dirige el día a día de todo el equipo.</w:t>
      </w:r>
    </w:p>
    <w:p>
      <w:pPr>
        <w:pStyle w:val="ListBullet"/>
        <w:ind w:left="360" w:hanging="180"/>
        <w:spacing w:before="0" w:after="40"/>
      </w:pPr>
      <w:r>
        <w:rPr>
          <w:rFonts w:ascii="Arial" w:hAnsi="Arial"/>
          <w:color w:val="404040"/>
          <w:sz w:val="22"/>
        </w:rPr>
        <w:t>Tenés que tenerlo siempre actualizado con todas tus actividades: universidad, deporte, compromisos, etc.</w:t>
      </w:r>
    </w:p>
    <w:p>
      <w:pPr>
        <w:pStyle w:val="ListBullet"/>
        <w:ind w:left="360" w:hanging="180"/>
        <w:spacing w:before="0" w:after="40"/>
      </w:pPr>
      <w:r>
        <w:rPr>
          <w:rFonts w:ascii="Arial" w:hAnsi="Arial"/>
          <w:color w:val="404040"/>
          <w:sz w:val="22"/>
        </w:rPr>
        <w:t>Cualquiera puede ver tu disponibilidad para agendar reuniones, que son de asistencia obligatoria.</w:t>
      </w:r>
    </w:p>
    <w:p>
      <w:pPr>
        <w:pStyle w:val="ListBullet"/>
        <w:ind w:left="360" w:hanging="180"/>
        <w:spacing w:before="0" w:after="40"/>
      </w:pPr>
      <w:r>
        <w:rPr>
          <w:rFonts w:ascii="Arial" w:hAnsi="Arial"/>
          <w:color w:val="404040"/>
          <w:sz w:val="22"/>
        </w:rPr>
        <w:t>Descargá la app de Google Calendar en tu celular e iniciá sesión con tu mail TGP.</w:t>
      </w:r>
    </w:p>
    <w:p>
      <w:pPr>
        <w:pStyle w:val="ListBullet"/>
        <w:ind w:left="360" w:hanging="180"/>
        <w:spacing w:before="0" w:after="40"/>
      </w:pPr>
      <w:r>
        <w:rPr>
          <w:rFonts w:ascii="Arial" w:hAnsi="Arial"/>
          <w:color w:val="404040"/>
          <w:sz w:val="22"/>
        </w:rPr>
        <w:t xml:space="preserve">🎥  </w:t>
      </w:r>
      <w:hyperlink r:id="rId12">
        <w:r>
          <w:rPr>
            <w:rStyle w:val="Hyperlink"/>
            <w:sz w:val="22"/>
            <w:szCs w:val="22"/>
          </w:rPr>
          <w:t>Video: Uso de Google Calendar</w:t>
        </w:r>
      </w:hyperlink>
    </w:p>
    <w:p>
      <w:pPr>
        <w:spacing w:before="100" w:after="30"/>
      </w:pPr>
      <w:r>
        <w:rPr>
          <w:rFonts w:ascii="Arial" w:hAnsi="Arial"/>
          <w:b/>
          <w:color w:val="1E4B8F"/>
          <w:sz w:val="22"/>
        </w:rPr>
        <w:t>Google Meet — Fondo virtual</w:t>
      </w:r>
    </w:p>
    <w:p>
      <w:pPr>
        <w:spacing w:before="0" w:after="60"/>
      </w:pPr>
      <w:r>
        <w:rPr>
          <w:rFonts w:ascii="Arial" w:hAnsi="Arial"/>
          <w:color w:val="404040"/>
          <w:sz w:val="22"/>
        </w:rPr>
        <w:t>Para las reuniones en Google Meet todos usamos el mismo fondo institucional de TGP. Pasos para configurarlo:</w:t>
      </w:r>
    </w:p>
    <w:p>
      <w:pPr>
        <w:pStyle w:val="ListNumber"/>
        <w:ind w:left="360" w:hanging="180"/>
        <w:spacing w:before="0" w:after="40"/>
      </w:pPr>
      <w:r>
        <w:rPr>
          <w:rFonts w:ascii="Arial" w:hAnsi="Arial"/>
          <w:color w:val="404040"/>
          <w:sz w:val="22"/>
        </w:rPr>
        <w:t>Descargá el fondo virtual desde el link oficial de TGP.</w:t>
      </w:r>
    </w:p>
    <w:p>
      <w:pPr>
        <w:pStyle w:val="ListNumber"/>
        <w:ind w:left="360" w:hanging="180"/>
        <w:spacing w:before="0" w:after="40"/>
      </w:pPr>
      <w:r>
        <w:rPr>
          <w:rFonts w:ascii="Arial" w:hAnsi="Arial"/>
          <w:color w:val="404040"/>
          <w:sz w:val="22"/>
        </w:rPr>
        <w:t>Abrí Google Meet desde las aplicaciones de tu correo TGP.</w:t>
      </w:r>
    </w:p>
    <w:p>
      <w:pPr>
        <w:pStyle w:val="ListNumber"/>
        <w:ind w:left="360" w:hanging="180"/>
        <w:spacing w:before="0" w:after="40"/>
      </w:pPr>
      <w:r>
        <w:rPr>
          <w:rFonts w:ascii="Arial" w:hAnsi="Arial"/>
          <w:color w:val="404040"/>
          <w:sz w:val="22"/>
        </w:rPr>
        <w:t>Hacé clic en "nueva reunión" → "iniciar una reunión instantánea".</w:t>
      </w:r>
    </w:p>
    <w:p>
      <w:pPr>
        <w:pStyle w:val="ListNumber"/>
        <w:ind w:left="360" w:hanging="180"/>
        <w:spacing w:before="0" w:after="40"/>
      </w:pPr>
      <w:r>
        <w:rPr>
          <w:rFonts w:ascii="Arial" w:hAnsi="Arial"/>
          <w:color w:val="404040"/>
          <w:sz w:val="22"/>
        </w:rPr>
        <w:t>Hacé clic en los tres puntos verticales (opciones) en la esquina inferior derecha.</w:t>
      </w:r>
    </w:p>
    <w:p>
      <w:pPr>
        <w:pStyle w:val="ListNumber"/>
        <w:ind w:left="360" w:hanging="180"/>
        <w:spacing w:before="0" w:after="40"/>
      </w:pPr>
      <w:r>
        <w:rPr>
          <w:rFonts w:ascii="Arial" w:hAnsi="Arial"/>
          <w:color w:val="404040"/>
          <w:sz w:val="22"/>
        </w:rPr>
        <w:t>Seleccioná "Aplicar efectos visuales" o "efectos y fondos".</w:t>
      </w:r>
    </w:p>
    <w:p>
      <w:pPr>
        <w:pStyle w:val="ListNumber"/>
        <w:ind w:left="360" w:hanging="180"/>
        <w:spacing w:before="0" w:after="40"/>
      </w:pPr>
      <w:r>
        <w:rPr>
          <w:rFonts w:ascii="Arial" w:hAnsi="Arial"/>
          <w:color w:val="404040"/>
          <w:sz w:val="22"/>
        </w:rPr>
        <w:t>En la ventana de fondos, hacé clic en el ícono "+" para agregar una nueva imagen.</w:t>
      </w:r>
    </w:p>
    <w:p>
      <w:pPr>
        <w:pStyle w:val="ListNumber"/>
        <w:ind w:left="360" w:hanging="180"/>
        <w:spacing w:before="0" w:after="40"/>
      </w:pPr>
      <w:r>
        <w:rPr>
          <w:rFonts w:ascii="Arial" w:hAnsi="Arial"/>
          <w:color w:val="404040"/>
          <w:sz w:val="22"/>
        </w:rPr>
        <w:t>Seleccioná el archivo del fondo virtual de TGP que descargaste.</w:t>
      </w:r>
    </w:p>
    <w:p>
      <w:pPr>
        <w:spacing w:before="0" w:after="60"/>
      </w:pPr>
      <w:r>
        <w:rPr>
          <w:rFonts w:ascii="Arial" w:hAnsi="Arial"/>
          <w:color w:val="404040"/>
          <w:sz w:val="22"/>
        </w:rPr>
        <w:t xml:space="preserve">📥  Descargar fondo virtual: </w:t>
      </w:r>
      <w:hyperlink r:id="rId13">
        <w:r>
          <w:rPr>
            <w:rStyle w:val="Hyperlink"/>
            <w:sz w:val="22"/>
            <w:szCs w:val="22"/>
          </w:rPr>
          <w:t>Drive — Fondos oficiales TGP</w:t>
        </w:r>
      </w:hyperlink>
    </w:p>
    <w:p>
      <w:pPr>
        <w:spacing w:before="0" w:after="60"/>
      </w:pPr>
    </w:p>
    <w:p>
      <w:pPr>
        <w:spacing w:before="180" w:after="60"/>
        <w:pBdr>
          <w:bottom w:val="single" w:sz="6" w:space="1" w:color="2E75B6"/>
        </w:pBdr>
      </w:pPr>
      <w:r>
        <w:rPr>
          <w:rFonts w:ascii="Arial" w:hAnsi="Arial"/>
          <w:b/>
          <w:color w:val="1E4B8F"/>
          <w:sz w:val="28"/>
        </w:rPr>
        <w:t>2.3  LinkedIn Profesional</w:t>
      </w:r>
    </w:p>
    <w:p>
      <w:pPr>
        <w:spacing w:before="0" w:after="60"/>
      </w:pPr>
      <w:r>
        <w:rPr>
          <w:rFonts w:ascii="Arial" w:hAnsi="Arial"/>
          <w:color w:val="404040"/>
          <w:sz w:val="22"/>
        </w:rPr>
        <w:t>Tu LinkedIn tiene que reflejar que ahora estás trabajando en TGP. Seguí estos pasos para actualizar tu perfil:</w:t>
      </w:r>
    </w:p>
    <w:p>
      <w:pPr>
        <w:pStyle w:val="ListNumber"/>
        <w:ind w:left="360" w:hanging="180"/>
        <w:spacing w:before="0" w:after="40"/>
      </w:pPr>
      <w:r>
        <w:rPr>
          <w:rFonts w:ascii="Arial" w:hAnsi="Arial"/>
          <w:color w:val="404040"/>
          <w:sz w:val="22"/>
        </w:rPr>
        <w:t>Ingresá a tu cuenta de LinkedIn.</w:t>
      </w:r>
    </w:p>
    <w:p>
      <w:pPr>
        <w:pStyle w:val="ListNumber"/>
        <w:ind w:left="360" w:hanging="180"/>
        <w:spacing w:before="0" w:after="40"/>
      </w:pPr>
      <w:r>
        <w:rPr>
          <w:rFonts w:ascii="Arial" w:hAnsi="Arial"/>
          <w:color w:val="404040"/>
          <w:sz w:val="22"/>
        </w:rPr>
        <w:t>Editá la presentación del perfil: eliminá la palabra "estudiante".</w:t>
      </w:r>
    </w:p>
    <w:p>
      <w:pPr>
        <w:pStyle w:val="ListNumber"/>
        <w:ind w:left="360" w:hanging="180"/>
        <w:spacing w:before="0" w:after="40"/>
      </w:pPr>
      <w:r>
        <w:rPr>
          <w:rFonts w:ascii="Arial" w:hAnsi="Arial"/>
          <w:color w:val="404040"/>
          <w:sz w:val="22"/>
        </w:rPr>
        <w:t>Cambiá el titular: "[Nombre del cargo] en TGP" (Ejemplo: SDR Junior en TGP).</w:t>
      </w:r>
    </w:p>
    <w:p>
      <w:pPr>
        <w:pStyle w:val="ListNumber"/>
        <w:ind w:left="360" w:hanging="180"/>
        <w:spacing w:before="0" w:after="40"/>
      </w:pPr>
      <w:r>
        <w:rPr>
          <w:rFonts w:ascii="Arial" w:hAnsi="Arial"/>
          <w:color w:val="404040"/>
          <w:sz w:val="22"/>
        </w:rPr>
        <w:t>Descargá y subí la portada oficial de TGP.</w:t>
      </w:r>
    </w:p>
    <w:p>
      <w:pPr>
        <w:pStyle w:val="ListNumber"/>
        <w:ind w:left="360" w:hanging="180"/>
        <w:spacing w:before="0" w:after="40"/>
      </w:pPr>
      <w:r>
        <w:rPr>
          <w:rFonts w:ascii="Arial" w:hAnsi="Arial"/>
          <w:color w:val="404040"/>
          <w:sz w:val="22"/>
        </w:rPr>
        <w:t>En la sección "Experiencia" agregá tu puesto actual en TGP:</w:t>
      </w:r>
    </w:p>
    <w:p>
      <w:pPr>
        <w:pStyle w:val="ListBullet"/>
        <w:ind w:left="720" w:hanging="180"/>
        <w:spacing w:before="0" w:after="40"/>
      </w:pPr>
      <w:r>
        <w:rPr>
          <w:rFonts w:ascii="Arial" w:hAnsi="Arial"/>
          <w:color w:val="404040"/>
          <w:sz w:val="22"/>
        </w:rPr>
        <w:t>Cargo: SDR Junior (Sales Development Representative Junior)</w:t>
      </w:r>
    </w:p>
    <w:p>
      <w:pPr>
        <w:pStyle w:val="ListBullet"/>
        <w:ind w:left="720" w:hanging="180"/>
        <w:spacing w:before="0" w:after="40"/>
      </w:pPr>
      <w:r>
        <w:rPr>
          <w:rFonts w:ascii="Arial" w:hAnsi="Arial"/>
          <w:color w:val="404040"/>
          <w:sz w:val="22"/>
        </w:rPr>
        <w:t>Empresa: TGP</w:t>
      </w:r>
    </w:p>
    <w:p>
      <w:pPr>
        <w:pStyle w:val="ListBullet"/>
        <w:ind w:left="720" w:hanging="180"/>
        <w:spacing w:before="0" w:after="40"/>
      </w:pPr>
      <w:r>
        <w:rPr>
          <w:rFonts w:ascii="Arial" w:hAnsi="Arial"/>
          <w:color w:val="404040"/>
          <w:sz w:val="22"/>
        </w:rPr>
        <w:t>Fecha de inicio: hoy.</w:t>
      </w:r>
    </w:p>
    <w:p>
      <w:pPr>
        <w:pStyle w:val="ListBullet"/>
        <w:ind w:left="720" w:hanging="180"/>
        <w:spacing w:before="0" w:after="40"/>
      </w:pPr>
      <w:r>
        <w:rPr>
          <w:rFonts w:ascii="Arial" w:hAnsi="Arial"/>
          <w:color w:val="404040"/>
          <w:sz w:val="22"/>
        </w:rPr>
        <w:t>Ubicación: Las Condes, Santiago de Chile.</w:t>
      </w:r>
    </w:p>
    <w:p>
      <w:pPr>
        <w:pStyle w:val="ListBullet"/>
        <w:ind w:left="720" w:hanging="180"/>
        <w:spacing w:before="0" w:after="40"/>
      </w:pPr>
      <w:r>
        <w:rPr>
          <w:rFonts w:ascii="Arial" w:hAnsi="Arial"/>
          <w:color w:val="404040"/>
          <w:sz w:val="22"/>
        </w:rPr>
        <w:t>Descripción: Sales Development Representative. Agendamiento de reuniones comerciales calificadas para grandes empresas de diferentes industrias, ayudándolos a conectar con todo su mercado potencial alcanzable.</w:t>
      </w:r>
    </w:p>
    <w:p>
      <w:pPr>
        <w:pStyle w:val="ListNumber"/>
        <w:ind w:left="360" w:hanging="180"/>
        <w:spacing w:before="0" w:after="40"/>
      </w:pPr>
      <w:r>
        <w:rPr>
          <w:rFonts w:ascii="Arial" w:hAnsi="Arial"/>
          <w:color w:val="404040"/>
          <w:sz w:val="22"/>
        </w:rPr>
        <w:t>Hacé clic en "Guardar" para actualizar tu perfil.</w:t>
      </w:r>
    </w:p>
    <w:p>
      <w:pPr>
        <w:spacing w:before="0" w:after="60"/>
      </w:pPr>
      <w:r>
        <w:rPr>
          <w:rFonts w:ascii="Arial" w:hAnsi="Arial"/>
          <w:color w:val="404040"/>
          <w:sz w:val="22"/>
        </w:rPr>
        <w:t xml:space="preserve">📥  Descargar portada oficial TGP: </w:t>
      </w:r>
      <w:hyperlink r:id="rId14">
        <w:r>
          <w:rPr>
            <w:rStyle w:val="Hyperlink"/>
            <w:sz w:val="22"/>
            <w:szCs w:val="22"/>
          </w:rPr>
          <w:t>Portada LinkedIn TGP</w:t>
        </w:r>
      </w:hyperlink>
    </w:p>
    <w:p>
      <w:pPr>
        <w:spacing w:before="0" w:after="60"/>
      </w:pPr>
    </w:p>
    <w:p>
      <w:pPr>
        <w:spacing w:before="180" w:after="60"/>
        <w:pBdr>
          <w:bottom w:val="single" w:sz="6" w:space="1" w:color="2E75B6"/>
        </w:pBdr>
      </w:pPr>
      <w:r>
        <w:rPr>
          <w:rFonts w:ascii="Arial" w:hAnsi="Arial"/>
          <w:b/>
          <w:color w:val="1E4B8F"/>
          <w:sz w:val="28"/>
        </w:rPr>
        <w:t>2.4  Servicio de Almuerzo</w:t>
      </w:r>
    </w:p>
    <w:p>
      <w:pPr>
        <w:spacing w:before="0" w:after="60"/>
      </w:pPr>
      <w:r>
        <w:rPr>
          <w:rFonts w:ascii="Arial" w:hAnsi="Arial"/>
          <w:color w:val="404040"/>
          <w:sz w:val="22"/>
        </w:rPr>
        <w:t>En TGP tenemos almuerzo incluido en la oficina. Funciona en base a créditos mensuales según la modalidad del cargo.</w:t>
      </w:r>
    </w:p>
    <w:tbl>
      <w:tblPr>
        <w:tblW w:type="auto" w:w="0"/>
        <w:tblLook w:firstColumn="1" w:firstRow="1" w:lastColumn="0" w:lastRow="0" w:noHBand="0" w:noVBand="1" w:val="04A0"/>
        <w:tblW w:w="9360" w:type="dxa"/>
      </w:tblPr>
      <w:tblGrid>
        <w:gridCol w:w="4680"/>
        <w:gridCol w:w="4680"/>
      </w:tblGrid>
      <w:tr>
        <w:tc>
          <w:tcPr>
            <w:tcW w:type="dxa" w:w="4680"/>
            <w:tcW w:w="250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Modalidad</w:t>
            </w:r>
          </w:p>
        </w:tc>
        <w:tc>
          <w:tcPr>
            <w:tcW w:type="dxa" w:w="4680"/>
            <w:tcW w:w="686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Créditos</w:t>
            </w:r>
          </w:p>
        </w:tc>
      </w:tr>
      <w:tr>
        <w:tc>
          <w:tcPr>
            <w:tcW w:type="dxa" w:w="4680"/>
            <w:tcW w:w="2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Part-time</w:t>
            </w:r>
          </w:p>
        </w:tc>
        <w:tc>
          <w:tcPr>
            <w:tcW w:type="dxa" w:w="4680"/>
            <w:tcW w:w="6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4 créditos mensuales (1 crédito = 1 almuerzo)</w:t>
            </w:r>
          </w:p>
        </w:tc>
      </w:tr>
      <w:tr>
        <w:tc>
          <w:tcPr>
            <w:tcW w:type="dxa" w:w="4680"/>
            <w:tcW w:w="2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Full-time</w:t>
            </w:r>
          </w:p>
        </w:tc>
        <w:tc>
          <w:tcPr>
            <w:tcW w:type="dxa" w:w="4680"/>
            <w:tcW w:w="6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8 créditos mensuales (1 crédito = 1 almuerzo)</w:t>
            </w:r>
          </w:p>
        </w:tc>
      </w:tr>
    </w:tbl>
    <w:p>
      <w:pPr>
        <w:spacing w:before="0" w:after="120"/>
      </w:pPr>
    </w:p>
    <w:tbl>
      <w:tblPr>
        <w:tblW w:type="auto" w:w="0"/>
        <w:tblLook w:firstColumn="1" w:firstRow="1" w:lastColumn="0" w:lastRow="0" w:noHBand="0" w:noVBand="1" w:val="04A0"/>
        <w:tblW w:w="9360" w:type="dxa"/>
      </w:tblPr>
      <w:tblGrid>
        <w:gridCol w:w="9360"/>
      </w:tblGrid>
      <w:tr>
        <w:tc>
          <w:tcPr>
            <w:tcW w:type="dxa" w:w="9360"/>
            <w:tcW w:w="9360" w:type="dxa"/>
            <w:shd w:val="clear" w:color="auto" w:fill="E8F5E9"/>
            <w:tcBorders>
              <w:top w:val="single" w:sz="6" w:space="0" w:color="2E7D32"/>
              <w:left w:val="single" w:sz="6" w:space="0" w:color="2E7D32"/>
              <w:bottom w:val="single" w:sz="6" w:space="0" w:color="2E7D32"/>
              <w:right w:val="single" w:sz="6" w:space="0" w:color="2E7D32"/>
            </w:tcBorders>
            <w:tcMar>
              <w:top w:w="100" w:type="dxa"/>
              <w:bottom w:w="100" w:type="dxa"/>
              <w:left w:w="180" w:type="dxa"/>
              <w:right w:w="180" w:type="dxa"/>
            </w:tcMar>
          </w:tcPr>
          <w:p>
            <w:pPr>
              <w:spacing w:before="0" w:after="0"/>
            </w:pPr>
            <w:r>
              <w:rPr>
                <w:rFonts w:ascii="Arial" w:hAnsi="Arial"/>
                <w:color w:val="404040"/>
                <w:sz w:val="22"/>
              </w:rPr>
              <w:t>Los créditos no son acumulativos ni transferibles. Si no los usás, el siguiente mes tendrás los mismos. ¡Te conviene aprovecharlos!</w:t>
            </w:r>
          </w:p>
        </w:tc>
      </w:tr>
    </w:tbl>
    <w:p>
      <w:pPr>
        <w:spacing w:before="0" w:after="120"/>
      </w:pPr>
    </w:p>
    <w:p>
      <w:pPr>
        <w:spacing w:before="0" w:after="60"/>
      </w:pPr>
      <w:r>
        <w:rPr>
          <w:rFonts w:ascii="Arial" w:hAnsi="Arial"/>
          <w:color w:val="404040"/>
          <w:sz w:val="22"/>
        </w:rPr>
        <w:t>Platos estrella según el equipo:</w:t>
      </w:r>
    </w:p>
    <w:p>
      <w:pPr>
        <w:pStyle w:val="ListBullet"/>
        <w:ind w:left="360" w:hanging="180"/>
        <w:spacing w:before="0" w:after="40"/>
      </w:pPr>
      <w:r>
        <w:rPr>
          <w:rFonts w:ascii="Arial" w:hAnsi="Arial"/>
          <w:color w:val="404040"/>
          <w:sz w:val="22"/>
        </w:rPr>
        <w:t>Plateada de cerdo de cocción lenta con puré picante</w:t>
      </w:r>
    </w:p>
    <w:p>
      <w:pPr>
        <w:pStyle w:val="ListBullet"/>
        <w:ind w:left="360" w:hanging="180"/>
        <w:spacing w:before="0" w:after="40"/>
      </w:pPr>
      <w:r>
        <w:rPr>
          <w:rFonts w:ascii="Arial" w:hAnsi="Arial"/>
          <w:color w:val="404040"/>
          <w:sz w:val="22"/>
        </w:rPr>
        <w:t>Milanesa de carne con milhoja de papas</w:t>
      </w:r>
    </w:p>
    <w:p>
      <w:pPr>
        <w:pStyle w:val="ListBullet"/>
        <w:ind w:left="360" w:hanging="180"/>
        <w:spacing w:before="0" w:after="40"/>
      </w:pPr>
      <w:r>
        <w:rPr>
          <w:rFonts w:ascii="Arial" w:hAnsi="Arial"/>
          <w:color w:val="404040"/>
          <w:sz w:val="22"/>
        </w:rPr>
        <w:t>Ensalada de pollo o Timbal de atún</w:t>
      </w:r>
    </w:p>
    <w:p>
      <w:pPr>
        <w:spacing w:before="0" w:after="60"/>
      </w:pPr>
      <w:r>
        <w:rPr>
          <w:rFonts w:ascii="Arial" w:hAnsi="Arial"/>
          <w:color w:val="404040"/>
          <w:sz w:val="22"/>
        </w:rPr>
        <w:t xml:space="preserve">📋  Formulario de almuerzos (completar antes de las 14:00 hrs): </w:t>
      </w:r>
      <w:hyperlink r:id="rId15">
        <w:r>
          <w:rPr>
            <w:rStyle w:val="Hyperlink"/>
            <w:sz w:val="22"/>
            <w:szCs w:val="22"/>
          </w:rPr>
          <w:t>Formulario de almuerzos</w:t>
        </w:r>
      </w:hyperlink>
    </w:p>
    <w:p>
      <w:pPr>
        <w:spacing w:before="0" w:after="60"/>
      </w:pPr>
      <w:r>
        <w:rPr>
          <w:rFonts w:ascii="Arial" w:hAnsi="Arial"/>
          <w:color w:val="404040"/>
          <w:sz w:val="22"/>
        </w:rPr>
        <w:t>En el canal de Slack "almuerzos" podés ver la lista diaria de pedidos, créditos restantes y recordatorios con link para no olvidarte de pedir.</w:t>
      </w:r>
    </w:p>
    <w:p>
      <w:pPr>
        <w:spacing w:before="0" w:after="60"/>
      </w:pPr>
    </w:p>
    <w:p>
      <w:pPr>
        <w:spacing w:before="180" w:after="60"/>
        <w:pBdr>
          <w:bottom w:val="single" w:sz="6" w:space="1" w:color="2E75B6"/>
        </w:pBdr>
      </w:pPr>
      <w:r>
        <w:rPr>
          <w:rFonts w:ascii="Arial" w:hAnsi="Arial"/>
          <w:b/>
          <w:color w:val="1E4B8F"/>
          <w:sz w:val="28"/>
        </w:rPr>
        <w:t>2.5  Salas de Reuniones</w:t>
      </w:r>
    </w:p>
    <w:p>
      <w:pPr>
        <w:spacing w:before="0" w:after="60"/>
      </w:pPr>
      <w:r>
        <w:rPr>
          <w:rFonts w:ascii="Arial" w:hAnsi="Arial"/>
          <w:color w:val="404040"/>
          <w:sz w:val="22"/>
        </w:rPr>
        <w:t>En la oficina tenemos varias salas privadas de uso comunitario para reuniones, llamados o lo que necesites. Para usar una sala, debés reservarla en el calendario.</w:t>
      </w:r>
    </w:p>
    <w:p>
      <w:pPr>
        <w:pStyle w:val="ListBullet"/>
        <w:ind w:left="360" w:hanging="180"/>
        <w:spacing w:before="0" w:after="40"/>
      </w:pPr>
      <w:r>
        <w:rPr>
          <w:rFonts w:ascii="Arial" w:hAnsi="Arial"/>
          <w:color w:val="404040"/>
          <w:sz w:val="22"/>
        </w:rPr>
        <w:t xml:space="preserve">🎥  </w:t>
      </w:r>
      <w:hyperlink r:id="rId16">
        <w:r>
          <w:rPr>
            <w:rStyle w:val="Hyperlink"/>
            <w:sz w:val="22"/>
            <w:szCs w:val="22"/>
          </w:rPr>
          <w:t>Video: cómo reservar una sala de reuniones</w:t>
        </w:r>
      </w:hyperlink>
    </w:p>
    <w:p>
      <w:pPr>
        <w:spacing w:before="0" w:after="60"/>
      </w:pPr>
    </w:p>
    <w:p>
      <w:pPr>
        <w:spacing w:before="180" w:after="60"/>
        <w:pBdr>
          <w:bottom w:val="single" w:sz="6" w:space="1" w:color="2E75B6"/>
        </w:pBdr>
      </w:pPr>
      <w:r>
        <w:rPr>
          <w:rFonts w:ascii="Arial" w:hAnsi="Arial"/>
          <w:b/>
          <w:color w:val="1E4B8F"/>
          <w:sz w:val="28"/>
        </w:rPr>
        <w:t>2.6  Boleta de Honorarios</w:t>
      </w:r>
    </w:p>
    <w:p>
      <w:pPr>
        <w:spacing w:before="0" w:after="60"/>
      </w:pPr>
      <w:r>
        <w:rPr>
          <w:rFonts w:ascii="Arial" w:hAnsi="Arial"/>
          <w:color w:val="404040"/>
          <w:sz w:val="22"/>
        </w:rPr>
        <w:t>Como colaborador de TGP, debés emitir boleta de honorarios mensualmente. El SII (Servicio de Impuestos Internos) dispone de un portal en línea para emitir boletas electrónicas de forma gratuita.</w:t>
      </w:r>
    </w:p>
    <w:p>
      <w:pPr>
        <w:pStyle w:val="ListBullet"/>
        <w:ind w:left="360" w:hanging="180"/>
        <w:spacing w:before="0" w:after="40"/>
      </w:pPr>
      <w:r>
        <w:rPr>
          <w:rFonts w:ascii="Arial" w:hAnsi="Arial"/>
          <w:color w:val="404040"/>
          <w:sz w:val="22"/>
        </w:rPr>
        <w:t xml:space="preserve">📄  </w:t>
      </w:r>
      <w:hyperlink r:id="rId17">
        <w:r>
          <w:rPr>
            <w:rStyle w:val="Hyperlink"/>
            <w:sz w:val="22"/>
            <w:szCs w:val="22"/>
          </w:rPr>
          <w:t>Cómo emitir boleta electrónica — Portal SII</w:t>
        </w:r>
      </w:hyperlink>
    </w:p>
    <w:p>
      <w:pPr>
        <w:spacing w:before="0" w:after="60"/>
      </w:pPr>
      <w:r>
        <w:rPr>
          <w:rFonts w:ascii="Arial" w:hAnsi="Arial"/>
          <w:color w:val="404040"/>
          <w:sz w:val="22"/>
        </w:rPr>
        <w:t>Consultá a RRHH si tenés dudas sobre el proceso de emisión o el monto a emitir.</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3.  DÍA 1 — CONFIGURACIÓN INICIAL</w:t>
            </w:r>
          </w:p>
          <w:p>
            <w:pPr>
              <w:spacing w:before="0" w:after="0"/>
            </w:pPr>
            <w:r>
              <w:rPr>
                <w:rFonts w:ascii="Arial" w:hAnsi="Arial"/>
                <w:i/>
                <w:color w:val="D0E4F7"/>
                <w:sz w:val="22"/>
              </w:rPr>
              <w:t>Configuración de herramientas y accesos</w:t>
            </w:r>
          </w:p>
        </w:tc>
      </w:tr>
    </w:tbl>
    <w:p/>
    <w:p>
      <w:pPr>
        <w:spacing w:before="0" w:after="60"/>
      </w:pPr>
      <w:r>
        <w:rPr>
          <w:rFonts w:ascii="Arial" w:hAnsi="Arial"/>
          <w:color w:val="404040"/>
          <w:sz w:val="22"/>
        </w:rPr>
        <w:t>En el primer día vas a configurar todas tus herramientas de trabajo y conocer tu rol. Al final del día tendrás una reunión de repaso con RRHH.</w:t>
      </w:r>
    </w:p>
    <w:p>
      <w:pPr>
        <w:spacing w:before="180" w:after="60"/>
        <w:pBdr>
          <w:bottom w:val="single" w:sz="6" w:space="1" w:color="2E75B6"/>
        </w:pBdr>
      </w:pPr>
      <w:r>
        <w:rPr>
          <w:rFonts w:ascii="Arial" w:hAnsi="Arial"/>
          <w:b/>
          <w:color w:val="1E4B8F"/>
          <w:sz w:val="28"/>
        </w:rPr>
        <w:t>3.1  Checklist del Día 1</w:t>
      </w:r>
    </w:p>
    <w:p>
      <w:pPr>
        <w:spacing w:before="0" w:after="40"/>
        <w:ind w:left="180"/>
      </w:pPr>
      <w:r>
        <w:rPr>
          <w:rFonts w:ascii="Arial" w:hAnsi="Arial"/>
          <w:color w:val="404040"/>
          <w:sz w:val="22"/>
        </w:rPr>
        <w:t>☐  Completar formulario de datos personales</w:t>
      </w:r>
    </w:p>
    <w:p>
      <w:pPr>
        <w:spacing w:before="0" w:after="40"/>
        <w:ind w:left="180"/>
      </w:pPr>
      <w:r>
        <w:rPr>
          <w:rFonts w:ascii="Arial" w:hAnsi="Arial"/>
          <w:color w:val="404040"/>
          <w:sz w:val="22"/>
        </w:rPr>
        <w:t>☐  Configurar Slack (foto de perfil + app celular)</w:t>
      </w:r>
    </w:p>
    <w:p>
      <w:pPr>
        <w:spacing w:before="0" w:after="40"/>
        <w:ind w:left="180"/>
      </w:pPr>
      <w:r>
        <w:rPr>
          <w:rFonts w:ascii="Arial" w:hAnsi="Arial"/>
          <w:color w:val="404040"/>
          <w:sz w:val="22"/>
        </w:rPr>
        <w:t>☐  Configurar Google Calendar (app celular)</w:t>
      </w:r>
    </w:p>
    <w:p>
      <w:pPr>
        <w:spacing w:before="0" w:after="40"/>
        <w:ind w:left="180"/>
      </w:pPr>
      <w:r>
        <w:rPr>
          <w:rFonts w:ascii="Arial" w:hAnsi="Arial"/>
          <w:color w:val="404040"/>
          <w:sz w:val="22"/>
        </w:rPr>
        <w:t>☐  Configurar fondo virtual Google Meet</w:t>
      </w:r>
    </w:p>
    <w:p>
      <w:pPr>
        <w:spacing w:before="0" w:after="40"/>
        <w:ind w:left="180"/>
      </w:pPr>
      <w:r>
        <w:rPr>
          <w:rFonts w:ascii="Arial" w:hAnsi="Arial"/>
          <w:color w:val="404040"/>
          <w:sz w:val="22"/>
        </w:rPr>
        <w:t>☐  Actualizar perfil de LinkedIn</w:t>
      </w:r>
    </w:p>
    <w:p>
      <w:pPr>
        <w:spacing w:before="0" w:after="40"/>
        <w:ind w:left="180"/>
      </w:pPr>
      <w:r>
        <w:rPr>
          <w:rFonts w:ascii="Arial" w:hAnsi="Arial"/>
          <w:color w:val="404040"/>
          <w:sz w:val="22"/>
        </w:rPr>
        <w:t>☐  Inscribirse en el servicio de almuerzo</w:t>
      </w:r>
    </w:p>
    <w:p>
      <w:pPr>
        <w:spacing w:before="0" w:after="40"/>
        <w:ind w:left="180"/>
      </w:pPr>
      <w:r>
        <w:rPr>
          <w:rFonts w:ascii="Arial" w:hAnsi="Arial"/>
          <w:color w:val="404040"/>
          <w:sz w:val="22"/>
        </w:rPr>
        <w:t>☐  Guardar documentos clave en Chrome (Favoritos)</w:t>
      </w:r>
    </w:p>
    <w:p>
      <w:pPr>
        <w:spacing w:before="0" w:after="40"/>
        <w:ind w:left="180"/>
      </w:pPr>
      <w:r>
        <w:rPr>
          <w:rFonts w:ascii="Arial" w:hAnsi="Arial"/>
          <w:color w:val="404040"/>
          <w:sz w:val="22"/>
        </w:rPr>
        <w:t>☐  Estudiar el Glosario TGP</w:t>
      </w:r>
    </w:p>
    <w:p>
      <w:pPr>
        <w:spacing w:before="0" w:after="40"/>
        <w:ind w:left="180"/>
      </w:pPr>
      <w:r>
        <w:rPr>
          <w:rFonts w:ascii="Arial" w:hAnsi="Arial"/>
          <w:color w:val="404040"/>
          <w:sz w:val="22"/>
        </w:rPr>
        <w:t>☐  Asistir a la reunión de repaso con RRHH</w:t>
      </w:r>
    </w:p>
    <w:p>
      <w:pPr>
        <w:spacing w:before="0" w:after="40"/>
        <w:ind w:left="180"/>
      </w:pPr>
      <w:r>
        <w:rPr>
          <w:rFonts w:ascii="Arial" w:hAnsi="Arial"/>
          <w:color w:val="404040"/>
          <w:sz w:val="22"/>
        </w:rPr>
        <w:t>☐  Completar Tarea 1: estudiar clientes asignados</w:t>
      </w:r>
    </w:p>
    <w:p>
      <w:pPr>
        <w:spacing w:before="0" w:after="60"/>
      </w:pPr>
    </w:p>
    <w:p>
      <w:pPr>
        <w:spacing w:before="180" w:after="60"/>
        <w:pBdr>
          <w:bottom w:val="single" w:sz="6" w:space="1" w:color="2E75B6"/>
        </w:pBdr>
      </w:pPr>
      <w:r>
        <w:rPr>
          <w:rFonts w:ascii="Arial" w:hAnsi="Arial"/>
          <w:b/>
          <w:color w:val="1E4B8F"/>
          <w:sz w:val="28"/>
        </w:rPr>
        <w:t>3.2  Configuración de Chrome — Favoritos</w:t>
      </w:r>
    </w:p>
    <w:p>
      <w:pPr>
        <w:spacing w:before="0" w:after="60"/>
      </w:pPr>
      <w:r>
        <w:rPr>
          <w:rFonts w:ascii="Arial" w:hAnsi="Arial"/>
          <w:color w:val="404040"/>
          <w:sz w:val="22"/>
        </w:rPr>
        <w:t>Es importante configurar tu navegador con todos los links que usarás diariamente. Repetí el siguiente procedimiento con cada link de la lista:</w:t>
      </w:r>
    </w:p>
    <w:p>
      <w:pPr>
        <w:pStyle w:val="ListNumber"/>
        <w:ind w:left="360" w:hanging="180"/>
        <w:spacing w:before="0" w:after="40"/>
      </w:pPr>
      <w:r>
        <w:rPr>
          <w:rFonts w:ascii="Arial" w:hAnsi="Arial"/>
          <w:color w:val="404040"/>
          <w:sz w:val="22"/>
        </w:rPr>
        <w:t>Hacé clic en el link para abrirlo en Google Chrome.</w:t>
      </w:r>
    </w:p>
    <w:p>
      <w:pPr>
        <w:pStyle w:val="ListNumber"/>
        <w:ind w:left="360" w:hanging="180"/>
        <w:spacing w:before="0" w:after="40"/>
      </w:pPr>
      <w:r>
        <w:rPr>
          <w:rFonts w:ascii="Arial" w:hAnsi="Arial"/>
          <w:color w:val="404040"/>
          <w:sz w:val="22"/>
        </w:rPr>
        <w:t>Hacé clic en la ★ (estrella) en el lado derecho de la barra de dirección.</w:t>
      </w:r>
    </w:p>
    <w:p>
      <w:pPr>
        <w:pStyle w:val="ListNumber"/>
        <w:ind w:left="360" w:hanging="180"/>
        <w:spacing w:before="0" w:after="40"/>
      </w:pPr>
      <w:r>
        <w:rPr>
          <w:rFonts w:ascii="Arial" w:hAnsi="Arial"/>
          <w:color w:val="404040"/>
          <w:sz w:val="22"/>
        </w:rPr>
        <w:t>Cambiá el nombre si es necesario (ideal: corto y claro).</w:t>
      </w:r>
    </w:p>
    <w:p>
      <w:pPr>
        <w:pStyle w:val="ListNumber"/>
        <w:ind w:left="360" w:hanging="180"/>
        <w:spacing w:before="0" w:after="40"/>
      </w:pPr>
      <w:r>
        <w:rPr>
          <w:rFonts w:ascii="Arial" w:hAnsi="Arial"/>
          <w:color w:val="404040"/>
          <w:sz w:val="22"/>
        </w:rPr>
        <w:t>En "Carpeta": seleccioná "Barra de favoritos" o creá una carpeta "Onboarding".</w:t>
      </w:r>
    </w:p>
    <w:p>
      <w:pPr>
        <w:pStyle w:val="ListNumber"/>
        <w:ind w:left="360" w:hanging="180"/>
        <w:spacing w:before="0" w:after="40"/>
      </w:pPr>
      <w:r>
        <w:rPr>
          <w:rFonts w:ascii="Arial" w:hAnsi="Arial"/>
          <w:color w:val="404040"/>
          <w:sz w:val="22"/>
        </w:rPr>
        <w:t>Hacé clic en "Listo".</w:t>
      </w:r>
    </w:p>
    <w:p>
      <w:pPr>
        <w:spacing w:before="0" w:after="60"/>
      </w:pPr>
    </w:p>
    <w:p>
      <w:pPr>
        <w:spacing w:before="0" w:after="60"/>
      </w:pPr>
      <w:r>
        <w:rPr>
          <w:rFonts w:ascii="Arial" w:hAnsi="Arial"/>
          <w:b/>
          <w:color w:val="404040"/>
          <w:sz w:val="22"/>
        </w:rPr>
        <w:t>Links para guardar en Favoritos:</w:t>
      </w:r>
    </w:p>
    <w:tbl>
      <w:tblPr>
        <w:tblW w:type="auto" w:w="0"/>
        <w:tblLook w:firstColumn="1" w:firstRow="1" w:lastColumn="0" w:lastRow="0" w:noHBand="0" w:noVBand="1" w:val="04A0"/>
        <w:tblW w:w="9360" w:type="dxa"/>
      </w:tblPr>
      <w:tblGrid>
        <w:gridCol w:w="4680"/>
        <w:gridCol w:w="4680"/>
      </w:tblGrid>
      <w:tr>
        <w:tc>
          <w:tcPr>
            <w:tcW w:type="dxa" w:w="4680"/>
            <w:tcW w:w="400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Recurso / Tema</w:t>
            </w:r>
          </w:p>
        </w:tc>
        <w:tc>
          <w:tcPr>
            <w:tcW w:type="dxa" w:w="4680"/>
            <w:tcW w:w="536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Link</w:t>
            </w:r>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Kit del Colaborador</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8">
              <w:r>
                <w:rPr>
                  <w:rStyle w:val="Hyperlink"/>
                  <w:sz w:val="20"/>
                  <w:szCs w:val="20"/>
                </w:rPr>
                <w:t>Abrir carpeta</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Proceso de agendamiento (esquema)</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9">
              <w:r>
                <w:rPr>
                  <w:rStyle w:val="Hyperlink"/>
                  <w:sz w:val="20"/>
                  <w:szCs w:val="20"/>
                </w:rPr>
                <w:t>Ver esquema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Manejo de correos (esquema)</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0">
              <w:r>
                <w:rPr>
                  <w:rStyle w:val="Hyperlink"/>
                  <w:sz w:val="20"/>
                  <w:szCs w:val="20"/>
                </w:rPr>
                <w:t>Ver esquema</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Kit de Ventas Clientes (Drive)</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1">
              <w:r>
                <w:rPr>
                  <w:rStyle w:val="Hyperlink"/>
                  <w:sz w:val="20"/>
                  <w:szCs w:val="20"/>
                </w:rPr>
                <w:t>Abrir carpeta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Dashboard de reuniones</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2">
              <w:r>
                <w:rPr>
                  <w:rStyle w:val="Hyperlink"/>
                  <w:sz w:val="20"/>
                  <w:szCs w:val="20"/>
                </w:rPr>
                <w:t>Ver dashboard</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App TGP — Agendar</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3">
              <w:r>
                <w:rPr>
                  <w:rStyle w:val="Hyperlink"/>
                  <w:sz w:val="20"/>
                  <w:szCs w:val="20"/>
                </w:rPr>
                <w:t>Ir a app.tgp.cl</w:t>
              </w:r>
            </w:hyperlink>
          </w:p>
        </w:tc>
      </w:tr>
    </w:tbl>
    <w:p>
      <w:pPr>
        <w:spacing w:before="0" w:after="120"/>
      </w:pP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4.  TU ROL COMO SDR JUNIOR</w:t>
            </w:r>
          </w:p>
          <w:p>
            <w:pPr>
              <w:spacing w:before="0" w:after="0"/>
            </w:pPr>
            <w:r>
              <w:rPr>
                <w:rFonts w:ascii="Arial" w:hAnsi="Arial"/>
                <w:i/>
                <w:color w:val="D0E4F7"/>
                <w:sz w:val="22"/>
              </w:rPr>
              <w:t>Sales Development Representative</w:t>
            </w:r>
          </w:p>
        </w:tc>
      </w:tr>
    </w:tbl>
    <w:p/>
    <w:p>
      <w:pPr>
        <w:spacing w:before="180" w:after="60"/>
        <w:pBdr>
          <w:bottom w:val="single" w:sz="6" w:space="1" w:color="2E75B6"/>
        </w:pBdr>
      </w:pPr>
      <w:r>
        <w:rPr>
          <w:rFonts w:ascii="Arial" w:hAnsi="Arial"/>
          <w:b/>
          <w:color w:val="1E4B8F"/>
          <w:sz w:val="28"/>
        </w:rPr>
        <w:t>4.1  ¿Qué hace un SDR Junior?</w:t>
      </w:r>
    </w:p>
    <w:p>
      <w:pPr>
        <w:spacing w:before="0" w:after="60"/>
      </w:pPr>
      <w:r>
        <w:rPr>
          <w:rFonts w:ascii="Arial" w:hAnsi="Arial"/>
          <w:color w:val="404040"/>
          <w:sz w:val="22"/>
        </w:rPr>
        <w:t xml:space="preserve">Como SDR Junior, tu misión principal es generar oportunidades de venta para los clientes de TGP, es decir, </w:t>
      </w:r>
      <w:r>
        <w:rPr>
          <w:rFonts w:ascii="Arial" w:hAnsi="Arial"/>
          <w:b/>
          <w:color w:val="404040"/>
          <w:sz w:val="22"/>
        </w:rPr>
        <w:t>agendar reuniones comerciales calificadas.</w:t>
      </w:r>
    </w:p>
    <w:p>
      <w:pPr>
        <w:spacing w:before="0" w:after="60"/>
      </w:pPr>
      <w:r>
        <w:rPr>
          <w:rFonts w:ascii="Arial" w:hAnsi="Arial"/>
          <w:color w:val="404040"/>
          <w:sz w:val="22"/>
        </w:rPr>
        <w:t>El proceso en resumen:</w:t>
      </w:r>
    </w:p>
    <w:p>
      <w:pPr>
        <w:pStyle w:val="ListNumber"/>
        <w:ind w:left="360" w:hanging="180"/>
        <w:spacing w:before="0" w:after="40"/>
      </w:pPr>
      <w:r>
        <w:rPr>
          <w:rFonts w:ascii="Arial" w:hAnsi="Arial"/>
          <w:color w:val="404040"/>
          <w:sz w:val="22"/>
        </w:rPr>
        <w:t>El Manager configura secuencias de correo automáticas que llegan a prospectos.</w:t>
      </w:r>
    </w:p>
    <w:p>
      <w:pPr>
        <w:pStyle w:val="ListNumber"/>
        <w:ind w:left="360" w:hanging="180"/>
        <w:spacing w:before="0" w:after="40"/>
      </w:pPr>
      <w:r>
        <w:rPr>
          <w:rFonts w:ascii="Arial" w:hAnsi="Arial"/>
          <w:color w:val="404040"/>
          <w:sz w:val="22"/>
        </w:rPr>
        <w:t>Cuando un prospecto responde, el SDR entra en acción: responde, insiste (hace push) y busca agendar una reunión comercial.</w:t>
      </w:r>
    </w:p>
    <w:p>
      <w:pPr>
        <w:pStyle w:val="ListNumber"/>
        <w:ind w:left="360" w:hanging="180"/>
        <w:spacing w:before="0" w:after="40"/>
      </w:pPr>
      <w:r>
        <w:rPr>
          <w:rFonts w:ascii="Arial" w:hAnsi="Arial"/>
          <w:color w:val="404040"/>
          <w:sz w:val="22"/>
        </w:rPr>
        <w:t>El SDR también llama por teléfono a los prospectos para insistir y concretar reuniones.</w:t>
      </w:r>
    </w:p>
    <w:p>
      <w:pPr>
        <w:spacing w:before="0" w:after="60"/>
      </w:pP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Ejemplo real: Benjamín Apt, SDR Senior de TGP, es quien tiene el podio histórico de reuniones generadas (1.825). Él es el ejemplo de dedicación y perseverancia que los mejores SDRs demuestran: apenas le llega una respuesta, lee, etiqueta y responde. Si el prospecto no responde, lo llama. Si no contesta, le manda WhatsApp. No lo suelta hasta agendar la reunión.</w:t>
            </w:r>
          </w:p>
        </w:tc>
      </w:tr>
    </w:tbl>
    <w:p>
      <w:pPr>
        <w:spacing w:before="0" w:after="120"/>
      </w:pPr>
    </w:p>
    <w:p>
      <w:pPr>
        <w:spacing w:before="180" w:after="60"/>
        <w:pBdr>
          <w:bottom w:val="single" w:sz="6" w:space="1" w:color="2E75B6"/>
        </w:pBdr>
      </w:pPr>
      <w:r>
        <w:rPr>
          <w:rFonts w:ascii="Arial" w:hAnsi="Arial"/>
          <w:b/>
          <w:color w:val="1E4B8F"/>
          <w:sz w:val="28"/>
        </w:rPr>
        <w:t>4.2  Herramientas del SDR</w:t>
      </w:r>
    </w:p>
    <w:p>
      <w:pPr>
        <w:spacing w:before="0" w:after="60"/>
      </w:pPr>
      <w:r>
        <w:rPr>
          <w:rFonts w:ascii="Arial" w:hAnsi="Arial"/>
          <w:color w:val="404040"/>
          <w:sz w:val="22"/>
        </w:rPr>
        <w:t>Como SDR vas a trabajar con 2 herramientas principales:</w:t>
      </w:r>
    </w:p>
    <w:p>
      <w:pPr>
        <w:pStyle w:val="ListBullet"/>
        <w:ind w:left="360" w:hanging="180"/>
        <w:spacing w:before="0" w:after="40"/>
      </w:pPr>
      <w:r>
        <w:rPr>
          <w:rFonts w:ascii="Arial" w:hAnsi="Arial"/>
          <w:b/>
          <w:color w:val="404040"/>
          <w:sz w:val="22"/>
        </w:rPr>
        <w:t xml:space="preserve">1.  </w:t>
      </w:r>
      <w:r>
        <w:rPr>
          <w:rFonts w:ascii="Arial" w:hAnsi="Arial"/>
          <w:color w:val="404040"/>
          <w:sz w:val="22"/>
        </w:rPr>
        <w:t>Bandejas de correo electrónico: varias cuentas de mail de clientes TGP. El Manager envía secuencias automáticas y cuando los prospectos responden, vos tomás la conversación para agendar la reunión.</w:t>
      </w:r>
    </w:p>
    <w:p>
      <w:pPr>
        <w:pStyle w:val="ListBullet"/>
        <w:ind w:left="360" w:hanging="180"/>
        <w:spacing w:before="0" w:after="40"/>
      </w:pPr>
      <w:r>
        <w:rPr>
          <w:rFonts w:ascii="Arial" w:hAnsi="Arial"/>
          <w:b/>
          <w:color w:val="404040"/>
          <w:sz w:val="22"/>
        </w:rPr>
        <w:t xml:space="preserve">2.  </w:t>
      </w:r>
      <w:r>
        <w:rPr>
          <w:rFonts w:ascii="Arial" w:hAnsi="Arial"/>
          <w:color w:val="404040"/>
          <w:sz w:val="22"/>
        </w:rPr>
        <w:t>Bases de datos con teléfonos: listas de prospectos para llamar en frío o en tibio y agendar reuniones.</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5.  CONCEPTOS CLAVE — GLOSARIO</w:t>
            </w:r>
          </w:p>
          <w:p>
            <w:pPr>
              <w:spacing w:before="0" w:after="0"/>
            </w:pPr>
            <w:r>
              <w:rPr>
                <w:rFonts w:ascii="Arial" w:hAnsi="Arial"/>
                <w:i/>
                <w:color w:val="D0E4F7"/>
                <w:sz w:val="22"/>
              </w:rPr>
              <w:t>El diccionario de TGP</w:t>
            </w:r>
          </w:p>
        </w:tc>
      </w:tr>
    </w:tbl>
    <w:p/>
    <w:p>
      <w:pPr>
        <w:spacing w:before="0" w:after="60"/>
      </w:pPr>
      <w:r>
        <w:rPr>
          <w:rFonts w:ascii="Arial" w:hAnsi="Arial"/>
          <w:color w:val="404040"/>
          <w:sz w:val="22"/>
        </w:rPr>
        <w:t>Antes de capacitarte técnicamente, debés estudiar el Glosario de TGP. Estos son los conceptos más importantes — tenés que poder explicarlos con tus propias palabras.</w:t>
      </w:r>
    </w:p>
    <w:p>
      <w:pPr>
        <w:spacing w:before="0" w:after="60"/>
      </w:pPr>
      <w:r>
        <w:rPr>
          <w:rFonts w:ascii="Arial" w:hAnsi="Arial"/>
          <w:color w:val="404040"/>
          <w:sz w:val="22"/>
        </w:rPr>
        <w:t xml:space="preserve">🔑  </w:t>
      </w:r>
      <w:hyperlink r:id="rId24">
        <w:r>
          <w:rPr>
            <w:rStyle w:val="Hyperlink"/>
            <w:sz w:val="22"/>
            <w:szCs w:val="22"/>
          </w:rPr>
          <w:t>Acceder al glosario completo de TGP</w:t>
        </w:r>
      </w:hyperlink>
    </w:p>
    <w:p>
      <w:pPr>
        <w:spacing w:before="0" w:after="12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Cliente</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Empresa que contrata los servicios de TGP para que generemos reuniones comerciales con sus prospectos.</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Prospecto</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Persona o empresa a la que le enviamos correos o llamamos con el objetivo de agendar una reunión con nuestro cliente.</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KDM (Key Decision Maker)</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El tomador de decisiones dentro de una empresa. Es la persona con quien vale la pena agendar la reunión, ya que tiene poder de compra.</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ICP (Ideal Customer Profile)</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Perfil ideal de cliente. Define las características que debe tener un prospecto para ser considerado válido (sector, tamaño de empresa, cargo, etc.).</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B2B (Business to Business)</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Modelo de negocio donde una empresa vende a otra empresa. TGP trabaja exclusivamente en mercado B2B.</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Push</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Correo o llamado de insistencia. Es la estrategia de seguimiento activo para retomar el contacto con un prospecto que no respondió o que rechazó la propuesta.</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No Show</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Cuando un prospecto no se presenta a una reunión confirmada. El SDR es responsable de reagendar inmediatamente.</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Weekly</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Reunión semanal del equipo donde se revisan métricas, avances y se alinea el trabajo de la semana.</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Secuencia</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Serie de correos automáticos que el Manager programa para que lleguen a los prospectos de forma escalonada. El SDR actúa solo cuando hay una respuesta.</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Bandeja</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Cuenta de correo electrónico a nombre de una persona ficticia con el dominio del cliente. El SDR la maneja como si fuera suya.</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Derivación / Referido</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Cuando el prospecto nos indica que la persona correcta para hablar es otra, dándonos el contacto del KDM real.</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Llamado en tibio</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Llamada telefónica a un prospecto con el que ya hubo contacto previo (por correo). Es más efectivo que el llamado en frío.</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Llamado en frío</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Llamada a un prospecto con el que no hubo contacto previo.</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Reagendamiento</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Proceso de volver a coordinar una reunión que no se realizó o que el prospecto postergó.</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Etiqueta</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Estado que se asigna a cada correo en la bandeja (No interesado, Agendado, No aplica, Proceso, Reagendar).</w:t>
            </w:r>
          </w:p>
        </w:tc>
      </w:tr>
    </w:tbl>
    <w:p>
      <w:pPr>
        <w:spacing w:before="0" w:after="40"/>
      </w:pPr>
    </w:p>
    <w:tbl>
      <w:tblPr>
        <w:tblW w:type="auto" w:w="0"/>
        <w:tblLook w:firstColumn="1" w:firstRow="1" w:lastColumn="0" w:lastRow="0" w:noHBand="0" w:noVBand="1" w:val="04A0"/>
        <w:tblW w:w="9360" w:type="dxa"/>
      </w:tblPr>
      <w:tblGrid>
        <w:gridCol w:w="4680"/>
        <w:gridCol w:w="4680"/>
      </w:tblGrid>
      <w:tr>
        <w:tc>
          <w:tcPr>
            <w:tcW w:type="dxa" w:w="4680"/>
            <w:tcW w:w="2200" w:type="dxa"/>
            <w:shd w:val="clear" w:color="auto" w:fill="D5E8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spacing w:before="0" w:after="0"/>
            </w:pPr>
            <w:r>
              <w:rPr>
                <w:rFonts w:ascii="Arial" w:hAnsi="Arial"/>
                <w:b/>
                <w:color w:val="1E4B8F"/>
                <w:sz w:val="20"/>
              </w:rPr>
              <w:t>App TGP</w:t>
            </w:r>
          </w:p>
        </w:tc>
        <w:tc>
          <w:tcPr>
            <w:tcW w:type="dxa" w:w="4680"/>
            <w:tcW w:w="7160" w:type="dxa"/>
            <w:shd w:val="clear" w:color="auto" w:fill="EBF3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Plataforma interna de TGP donde se registran y gestionan todas las reuniones agendadas.</w:t>
            </w:r>
          </w:p>
        </w:tc>
      </w:tr>
    </w:tbl>
    <w:p>
      <w:pPr>
        <w:spacing w:before="0" w:after="40"/>
      </w:pP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6.  DÍA 2 — CAPACITACIÓN TÉCNICA</w:t>
            </w:r>
          </w:p>
          <w:p>
            <w:pPr>
              <w:spacing w:before="0" w:after="0"/>
            </w:pPr>
            <w:r>
              <w:rPr>
                <w:rFonts w:ascii="Arial" w:hAnsi="Arial"/>
                <w:i/>
                <w:color w:val="D0E4F7"/>
                <w:sz w:val="22"/>
              </w:rPr>
              <w:t>Reuniones con Senior y Manager + Bot técnico</w:t>
            </w:r>
          </w:p>
        </w:tc>
      </w:tr>
    </w:tbl>
    <w:p/>
    <w:p>
      <w:pPr>
        <w:spacing w:before="0" w:after="60"/>
      </w:pPr>
      <w:r>
        <w:rPr>
          <w:rFonts w:ascii="Arial" w:hAnsi="Arial"/>
          <w:color w:val="404040"/>
          <w:sz w:val="22"/>
        </w:rPr>
        <w:t>El segundo día está dividido en dos partes:</w:t>
      </w:r>
    </w:p>
    <w:p>
      <w:pPr>
        <w:pStyle w:val="ListNumber"/>
        <w:ind w:left="360" w:hanging="180"/>
        <w:spacing w:before="0" w:after="40"/>
      </w:pPr>
      <w:r>
        <w:rPr>
          <w:rFonts w:ascii="Arial" w:hAnsi="Arial"/>
          <w:color w:val="404040"/>
          <w:sz w:val="22"/>
        </w:rPr>
        <w:t>Reuniones con tu Senior y tu Manager: capacitación de clientes, entrega de bandejas e inducción al pod.</w:t>
      </w:r>
    </w:p>
    <w:p>
      <w:pPr>
        <w:pStyle w:val="ListNumber"/>
        <w:ind w:left="360" w:hanging="180"/>
        <w:spacing w:before="0" w:after="40"/>
      </w:pPr>
      <w:r>
        <w:rPr>
          <w:rFonts w:ascii="Arial" w:hAnsi="Arial"/>
          <w:color w:val="404040"/>
          <w:sz w:val="22"/>
        </w:rPr>
        <w:t>Bot técnico: una vez que tengas tus bandejas en mano, vas a ver en detalle cómo manejarlas, las objeciones, el push y el proceso de agendamiento.</w:t>
      </w:r>
    </w:p>
    <w:p>
      <w:pPr>
        <w:spacing w:before="0" w:after="80"/>
      </w:pPr>
    </w:p>
    <w:p>
      <w:pPr>
        <w:spacing w:before="180" w:after="60"/>
        <w:pBdr>
          <w:bottom w:val="single" w:sz="6" w:space="1" w:color="2E75B6"/>
        </w:pBdr>
      </w:pPr>
      <w:r>
        <w:rPr>
          <w:rFonts w:ascii="Arial" w:hAnsi="Arial"/>
          <w:b/>
          <w:color w:val="1E4B8F"/>
          <w:sz w:val="28"/>
        </w:rPr>
        <w:t>6.1  Checklist del Día 2</w:t>
      </w:r>
    </w:p>
    <w:p>
      <w:pPr>
        <w:spacing w:before="0" w:after="40"/>
        <w:ind w:left="180"/>
      </w:pPr>
      <w:r>
        <w:rPr>
          <w:rFonts w:ascii="Arial" w:hAnsi="Arial"/>
          <w:color w:val="404040"/>
          <w:sz w:val="22"/>
        </w:rPr>
        <w:t>☐  Reunión con SDR Senior (capacitación de clientes + apertura de bandejas)</w:t>
      </w:r>
    </w:p>
    <w:p>
      <w:pPr>
        <w:spacing w:before="0" w:after="40"/>
        <w:ind w:left="180"/>
      </w:pPr>
      <w:r>
        <w:rPr>
          <w:rFonts w:ascii="Arial" w:hAnsi="Arial"/>
          <w:color w:val="404040"/>
          <w:sz w:val="22"/>
        </w:rPr>
        <w:t>☐  Reunión con Manager (inducción al pod + accesos + documentos)</w:t>
      </w:r>
    </w:p>
    <w:p>
      <w:pPr>
        <w:spacing w:before="0" w:after="40"/>
        <w:ind w:left="180"/>
      </w:pPr>
      <w:r>
        <w:rPr>
          <w:rFonts w:ascii="Arial" w:hAnsi="Arial"/>
          <w:color w:val="404040"/>
          <w:sz w:val="22"/>
        </w:rPr>
        <w:t>☐  Revisar bandejas de correo asignadas</w:t>
      </w:r>
    </w:p>
    <w:p>
      <w:pPr>
        <w:spacing w:before="0" w:after="40"/>
        <w:ind w:left="180"/>
      </w:pPr>
      <w:r>
        <w:rPr>
          <w:rFonts w:ascii="Arial" w:hAnsi="Arial"/>
          <w:color w:val="404040"/>
          <w:sz w:val="22"/>
        </w:rPr>
        <w:t>☐  Estudiar secuencias de correo de cada cliente</w:t>
      </w:r>
    </w:p>
    <w:p>
      <w:pPr>
        <w:spacing w:before="0" w:after="40"/>
        <w:ind w:left="180"/>
      </w:pPr>
      <w:r>
        <w:rPr>
          <w:rFonts w:ascii="Arial" w:hAnsi="Arial"/>
          <w:color w:val="404040"/>
          <w:sz w:val="22"/>
        </w:rPr>
        <w:t>☐  Ver tour por bandeja de correo</w:t>
      </w:r>
    </w:p>
    <w:p>
      <w:pPr>
        <w:spacing w:before="0" w:after="40"/>
        <w:ind w:left="180"/>
      </w:pPr>
      <w:r>
        <w:rPr>
          <w:rFonts w:ascii="Arial" w:hAnsi="Arial"/>
          <w:color w:val="404040"/>
          <w:sz w:val="22"/>
        </w:rPr>
        <w:t>☐  Estudiar guía de uso de etiquetas</w:t>
      </w:r>
    </w:p>
    <w:p>
      <w:pPr>
        <w:spacing w:before="0" w:after="40"/>
        <w:ind w:left="180"/>
      </w:pPr>
      <w:r>
        <w:rPr>
          <w:rFonts w:ascii="Arial" w:hAnsi="Arial"/>
          <w:color w:val="404040"/>
          <w:sz w:val="22"/>
        </w:rPr>
        <w:t>☐  Estudiar esquema de manejo de bandejas</w:t>
      </w:r>
    </w:p>
    <w:p>
      <w:pPr>
        <w:spacing w:before="0" w:after="40"/>
        <w:ind w:left="180"/>
      </w:pPr>
      <w:r>
        <w:rPr>
          <w:rFonts w:ascii="Arial" w:hAnsi="Arial"/>
          <w:color w:val="404040"/>
          <w:sz w:val="22"/>
        </w:rPr>
        <w:t>☐  Ver videos de manejo de objeciones</w:t>
      </w:r>
    </w:p>
    <w:p>
      <w:pPr>
        <w:spacing w:before="0" w:after="40"/>
        <w:ind w:left="180"/>
      </w:pPr>
      <w:r>
        <w:rPr>
          <w:rFonts w:ascii="Arial" w:hAnsi="Arial"/>
          <w:color w:val="404040"/>
          <w:sz w:val="22"/>
        </w:rPr>
        <w:t>☐  Ver video de push</w:t>
      </w:r>
    </w:p>
    <w:p>
      <w:pPr>
        <w:spacing w:before="0" w:after="40"/>
        <w:ind w:left="180"/>
      </w:pPr>
      <w:r>
        <w:rPr>
          <w:rFonts w:ascii="Arial" w:hAnsi="Arial"/>
          <w:color w:val="404040"/>
          <w:sz w:val="22"/>
        </w:rPr>
        <w:t>☐  Ver videos de agendamiento</w:t>
      </w:r>
    </w:p>
    <w:p>
      <w:pPr>
        <w:spacing w:before="0" w:after="40"/>
        <w:ind w:left="180"/>
      </w:pPr>
      <w:r>
        <w:rPr>
          <w:rFonts w:ascii="Arial" w:hAnsi="Arial"/>
          <w:color w:val="404040"/>
          <w:sz w:val="22"/>
        </w:rPr>
        <w:t>☐  Configurar Apollo y Lusha</w:t>
      </w:r>
    </w:p>
    <w:p>
      <w:pPr>
        <w:spacing w:before="0" w:after="40"/>
        <w:ind w:left="180"/>
      </w:pPr>
      <w:r>
        <w:rPr>
          <w:rFonts w:ascii="Arial" w:hAnsi="Arial"/>
          <w:color w:val="404040"/>
          <w:sz w:val="22"/>
        </w:rPr>
        <w:t>☐  Completar Tarea 2: ordenar bandejas</w:t>
      </w:r>
    </w:p>
    <w:p>
      <w:pPr>
        <w:spacing w:before="0" w:after="40"/>
        <w:ind w:left="180"/>
      </w:pPr>
      <w:r>
        <w:rPr>
          <w:rFonts w:ascii="Arial" w:hAnsi="Arial"/>
          <w:color w:val="404040"/>
          <w:sz w:val="22"/>
        </w:rPr>
        <w:t>☐  Completar Tarea 3: barrido de bandejas</w:t>
      </w:r>
    </w:p>
    <w:p>
      <w:pPr>
        <w:spacing w:before="0" w:after="60"/>
      </w:pPr>
    </w:p>
    <w:p>
      <w:pPr>
        <w:spacing w:before="180" w:after="60"/>
        <w:pBdr>
          <w:bottom w:val="single" w:sz="6" w:space="1" w:color="2E75B6"/>
        </w:pBdr>
      </w:pPr>
      <w:r>
        <w:rPr>
          <w:rFonts w:ascii="Arial" w:hAnsi="Arial"/>
          <w:b/>
          <w:color w:val="1E4B8F"/>
          <w:sz w:val="28"/>
        </w:rPr>
        <w:t>6.2  Reunión con SDR Senior</w:t>
      </w:r>
    </w:p>
    <w:p>
      <w:pPr>
        <w:spacing w:before="0" w:after="60"/>
      </w:pPr>
      <w:r>
        <w:rPr>
          <w:rFonts w:ascii="Arial" w:hAnsi="Arial"/>
          <w:color w:val="404040"/>
          <w:sz w:val="22"/>
        </w:rPr>
        <w:t>Si ya estudiaste todos los clientes asignados, estás listo para la reunión con tu SDR Senior. En esa reunión vas a:</w:t>
      </w:r>
    </w:p>
    <w:p>
      <w:pPr>
        <w:pStyle w:val="ListBullet"/>
        <w:ind w:left="360" w:hanging="180"/>
        <w:spacing w:before="0" w:after="40"/>
      </w:pPr>
      <w:r>
        <w:rPr>
          <w:rFonts w:ascii="Arial" w:hAnsi="Arial"/>
          <w:color w:val="404040"/>
          <w:sz w:val="22"/>
        </w:rPr>
        <w:t>Resolver dudas sobre los clientes.</w:t>
      </w:r>
    </w:p>
    <w:p>
      <w:pPr>
        <w:pStyle w:val="ListBullet"/>
        <w:ind w:left="360" w:hanging="180"/>
        <w:spacing w:before="0" w:after="40"/>
      </w:pPr>
      <w:r>
        <w:rPr>
          <w:rFonts w:ascii="Arial" w:hAnsi="Arial"/>
          <w:color w:val="404040"/>
          <w:sz w:val="22"/>
        </w:rPr>
        <w:t>Conocer en profundidad los clientes asignados.</w:t>
      </w:r>
    </w:p>
    <w:p>
      <w:pPr>
        <w:pStyle w:val="ListBullet"/>
        <w:ind w:left="360" w:hanging="180"/>
        <w:spacing w:before="0" w:after="40"/>
      </w:pPr>
      <w:r>
        <w:rPr>
          <w:rFonts w:ascii="Arial" w:hAnsi="Arial"/>
          <w:color w:val="404040"/>
          <w:sz w:val="22"/>
        </w:rPr>
        <w:t>Recibir tus primeras bandejas de correo.</w:t>
      </w:r>
    </w:p>
    <w:p>
      <w:pPr>
        <w:spacing w:before="0" w:after="60"/>
      </w:pPr>
    </w:p>
    <w:p>
      <w:pPr>
        <w:spacing w:before="180" w:after="60"/>
        <w:pBdr>
          <w:bottom w:val="single" w:sz="6" w:space="1" w:color="2E75B6"/>
        </w:pBdr>
      </w:pPr>
      <w:r>
        <w:rPr>
          <w:rFonts w:ascii="Arial" w:hAnsi="Arial"/>
          <w:b/>
          <w:color w:val="1E4B8F"/>
          <w:sz w:val="28"/>
        </w:rPr>
        <w:t>6.3  Reunión con Manager</w:t>
      </w:r>
    </w:p>
    <w:p>
      <w:pPr>
        <w:spacing w:before="0" w:after="60"/>
      </w:pPr>
      <w:r>
        <w:rPr>
          <w:rFonts w:ascii="Arial" w:hAnsi="Arial"/>
          <w:color w:val="404040"/>
          <w:sz w:val="22"/>
        </w:rPr>
        <w:t>Después de la reunión con el Senior, viene la reunión con tu Manager. Esa es la inducción oficial al equipo. Tu Manager te dará:</w:t>
      </w:r>
    </w:p>
    <w:p>
      <w:pPr>
        <w:pStyle w:val="ListBullet"/>
        <w:ind w:left="360" w:hanging="180"/>
        <w:spacing w:before="0" w:after="40"/>
      </w:pPr>
      <w:r>
        <w:rPr>
          <w:rFonts w:ascii="Arial" w:hAnsi="Arial"/>
          <w:color w:val="404040"/>
          <w:sz w:val="22"/>
        </w:rPr>
        <w:t>Toda la información del equipo y del pod.</w:t>
      </w:r>
    </w:p>
    <w:p>
      <w:pPr>
        <w:pStyle w:val="ListBullet"/>
        <w:ind w:left="360" w:hanging="180"/>
        <w:spacing w:before="0" w:after="40"/>
      </w:pPr>
      <w:r>
        <w:rPr>
          <w:rFonts w:ascii="Arial" w:hAnsi="Arial"/>
          <w:color w:val="404040"/>
          <w:sz w:val="22"/>
        </w:rPr>
        <w:t>Los accesos y documentos que te faltan.</w:t>
      </w:r>
    </w:p>
    <w:p>
      <w:pPr>
        <w:pStyle w:val="ListBullet"/>
        <w:ind w:left="360" w:hanging="180"/>
        <w:spacing w:before="0" w:after="40"/>
      </w:pPr>
      <w:r>
        <w:rPr>
          <w:rFonts w:ascii="Arial" w:hAnsi="Arial"/>
          <w:color w:val="404040"/>
          <w:sz w:val="22"/>
        </w:rPr>
        <w:t>Las reglas de agendamiento de cada cliente (Google Sheets).</w:t>
      </w:r>
    </w:p>
    <w:p>
      <w:pPr>
        <w:pStyle w:val="ListBullet"/>
        <w:ind w:left="360" w:hanging="180"/>
        <w:spacing w:before="0" w:after="40"/>
      </w:pPr>
      <w:r>
        <w:rPr>
          <w:rFonts w:ascii="Arial" w:hAnsi="Arial"/>
          <w:color w:val="404040"/>
          <w:sz w:val="22"/>
        </w:rPr>
        <w:t>La distribución de bandejas con contraseñas de acceso (Google Sheets).</w:t>
      </w:r>
    </w:p>
    <w:p>
      <w:pPr>
        <w:spacing w:before="0" w:after="60"/>
      </w:pPr>
    </w:p>
    <w:p>
      <w:pPr>
        <w:spacing w:before="180" w:after="60"/>
        <w:pBdr>
          <w:bottom w:val="single" w:sz="6" w:space="1" w:color="2E75B6"/>
        </w:pBdr>
      </w:pPr>
      <w:r>
        <w:rPr>
          <w:rFonts w:ascii="Arial" w:hAnsi="Arial"/>
          <w:b/>
          <w:color w:val="1E4B8F"/>
          <w:sz w:val="28"/>
        </w:rPr>
        <w:t>6.4  Tarea 1: Estudiar Clientes Asignados</w:t>
      </w:r>
    </w:p>
    <w:p>
      <w:pPr>
        <w:spacing w:before="0" w:after="60"/>
      </w:pPr>
      <w:r>
        <w:rPr>
          <w:rFonts w:ascii="Arial" w:hAnsi="Arial"/>
          <w:color w:val="404040"/>
          <w:sz w:val="22"/>
        </w:rPr>
        <w:t>Antes de recibir las bandejas, tenés que conocer bien las empresas con las que vas a trabajar: cómo funcionan, cuál es la propuesta de valor, en qué se diferencian de la competencia, características del servicio, países donde operan, etc.</w:t>
      </w:r>
    </w:p>
    <w:p>
      <w:pPr>
        <w:spacing w:before="0" w:after="60"/>
      </w:pPr>
      <w:r>
        <w:rPr>
          <w:rFonts w:ascii="Arial" w:hAnsi="Arial"/>
          <w:color w:val="404040"/>
          <w:sz w:val="22"/>
        </w:rPr>
        <w:t>Para cada cliente asignado, estudiá las siguientes herramientas:</w:t>
      </w:r>
    </w:p>
    <w:p>
      <w:pPr>
        <w:pStyle w:val="ListNumber"/>
        <w:ind w:left="360" w:hanging="180"/>
        <w:spacing w:before="0" w:after="40"/>
      </w:pPr>
      <w:r>
        <w:rPr>
          <w:rFonts w:ascii="Arial" w:hAnsi="Arial"/>
          <w:color w:val="404040"/>
          <w:sz w:val="22"/>
        </w:rPr>
        <w:t>Buscar y estudiar el perfil de LinkedIn de la empresa.</w:t>
      </w:r>
    </w:p>
    <w:p>
      <w:pPr>
        <w:pStyle w:val="ListNumber"/>
        <w:ind w:left="360" w:hanging="180"/>
        <w:spacing w:before="0" w:after="40"/>
      </w:pPr>
      <w:r>
        <w:rPr>
          <w:rFonts w:ascii="Arial" w:hAnsi="Arial"/>
          <w:color w:val="404040"/>
          <w:sz w:val="22"/>
        </w:rPr>
        <w:t>Buscar y estudiar la página web de la empresa.</w:t>
      </w:r>
    </w:p>
    <w:p>
      <w:pPr>
        <w:pStyle w:val="ListNumber"/>
        <w:ind w:left="360" w:hanging="180"/>
        <w:spacing w:before="0" w:after="40"/>
      </w:pPr>
      <w:r>
        <w:rPr>
          <w:rFonts w:ascii="Arial" w:hAnsi="Arial"/>
          <w:color w:val="404040"/>
          <w:sz w:val="22"/>
        </w:rPr>
        <w:t>Ingresar al Kit de Ventas Clientes → carpeta de tu pod → carpeta del cliente asignado.</w:t>
      </w:r>
    </w:p>
    <w:p>
      <w:pPr>
        <w:pStyle w:val="ListNumber"/>
        <w:ind w:left="360" w:hanging="180"/>
        <w:spacing w:before="0" w:after="40"/>
      </w:pPr>
      <w:r>
        <w:rPr>
          <w:rFonts w:ascii="Arial" w:hAnsi="Arial"/>
          <w:color w:val="404040"/>
          <w:sz w:val="22"/>
        </w:rPr>
        <w:t>Ver el video de reunión de onboarding del cliente.</w:t>
      </w:r>
    </w:p>
    <w:p>
      <w:pPr>
        <w:pStyle w:val="ListNumber"/>
        <w:ind w:left="360" w:hanging="180"/>
        <w:spacing w:before="0" w:after="40"/>
      </w:pPr>
      <w:r>
        <w:rPr>
          <w:rFonts w:ascii="Arial" w:hAnsi="Arial"/>
          <w:color w:val="404040"/>
          <w:sz w:val="22"/>
        </w:rPr>
        <w:t>Estudiar los PDF: one pager / brochure / presentación.</w:t>
      </w:r>
    </w:p>
    <w:p>
      <w:pPr>
        <w:pStyle w:val="ListNumber"/>
        <w:ind w:left="360" w:hanging="180"/>
        <w:spacing w:before="0" w:after="40"/>
      </w:pPr>
      <w:r>
        <w:rPr>
          <w:rFonts w:ascii="Arial" w:hAnsi="Arial"/>
          <w:color w:val="404040"/>
          <w:sz w:val="22"/>
        </w:rPr>
        <w:t>Estudiar las notas de onboarding del equipo.</w:t>
      </w:r>
    </w:p>
    <w:p>
      <w:pPr>
        <w:pStyle w:val="ListNumber"/>
        <w:ind w:left="360" w:hanging="180"/>
        <w:spacing w:before="0" w:after="40"/>
      </w:pPr>
      <w:r>
        <w:rPr>
          <w:rFonts w:ascii="Arial" w:hAnsi="Arial"/>
          <w:color w:val="404040"/>
          <w:sz w:val="22"/>
        </w:rPr>
        <w:t>Estudiar la secuencia de correo del cliente.</w:t>
      </w:r>
    </w:p>
    <w:p>
      <w:pPr>
        <w:pStyle w:val="ListNumber"/>
        <w:ind w:left="360" w:hanging="180"/>
        <w:spacing w:before="0" w:after="40"/>
      </w:pPr>
      <w:r>
        <w:rPr>
          <w:rFonts w:ascii="Arial" w:hAnsi="Arial"/>
          <w:color w:val="404040"/>
          <w:sz w:val="22"/>
        </w:rPr>
        <w:t>Estudiar las respuestas tipo del cliente.</w:t>
      </w:r>
    </w:p>
    <w:p>
      <w:pPr>
        <w:spacing w:before="0" w:after="60"/>
      </w:pPr>
      <w:r>
        <w:rPr>
          <w:rFonts w:ascii="Arial" w:hAnsi="Arial"/>
          <w:color w:val="404040"/>
          <w:sz w:val="22"/>
        </w:rPr>
        <w:t xml:space="preserve">📁  Kit de Ventas Clientes: </w:t>
      </w:r>
      <w:hyperlink r:id="rId25">
        <w:r>
          <w:rPr>
            <w:rStyle w:val="Hyperlink"/>
            <w:sz w:val="22"/>
            <w:szCs w:val="22"/>
          </w:rPr>
          <w:t>Abrir carpeta en Drive</w:t>
        </w:r>
      </w:hyperlink>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7.  MANEJO DE BANDEJAS DE CORREO</w:t>
            </w:r>
          </w:p>
          <w:p>
            <w:pPr>
              <w:spacing w:before="0" w:after="0"/>
            </w:pPr>
            <w:r>
              <w:rPr>
                <w:rFonts w:ascii="Arial" w:hAnsi="Arial"/>
                <w:i/>
                <w:color w:val="D0E4F7"/>
                <w:sz w:val="22"/>
              </w:rPr>
              <w:t>El canal principal de prospección</w:t>
            </w:r>
          </w:p>
        </w:tc>
      </w:tr>
    </w:tbl>
    <w:p/>
    <w:p>
      <w:pPr>
        <w:spacing w:before="180" w:after="60"/>
        <w:pBdr>
          <w:bottom w:val="single" w:sz="6" w:space="1" w:color="2E75B6"/>
        </w:pBdr>
      </w:pPr>
      <w:r>
        <w:rPr>
          <w:rFonts w:ascii="Arial" w:hAnsi="Arial"/>
          <w:b/>
          <w:color w:val="1E4B8F"/>
          <w:sz w:val="28"/>
        </w:rPr>
        <w:t>7.1  ¿Qué es una Bandeja?</w:t>
      </w:r>
    </w:p>
    <w:p>
      <w:pPr>
        <w:spacing w:before="0" w:after="60"/>
      </w:pPr>
      <w:r>
        <w:rPr>
          <w:rFonts w:ascii="Arial" w:hAnsi="Arial"/>
          <w:color w:val="404040"/>
          <w:sz w:val="22"/>
        </w:rPr>
        <w:t>Cada SDR maneja varias bandejas de correo con nombres ficticios y los dominios reales de los clientes. Por ejemplo: Sofia Miranda no trabaja en Esmax ni en TGP, pero el SDR trabaja a nombre de Sofia Miranda con el cargo de Ejecutiva Comercial en Esmax.</w:t>
      </w:r>
    </w:p>
    <w:p>
      <w:pPr>
        <w:spacing w:before="0" w:after="60"/>
      </w:pPr>
      <w:r>
        <w:rPr>
          <w:rFonts w:ascii="Arial" w:hAnsi="Arial"/>
          <w:color w:val="404040"/>
          <w:sz w:val="22"/>
        </w:rPr>
        <w:t>El Manager programa secuencias de correo automáticas desde esas bandejas a miles de prospectos. Cuando un prospecto responde, el SDR toma el hilo y trabaja para agendar la reunión.</w:t>
      </w:r>
    </w:p>
    <w:p>
      <w:pPr>
        <w:pStyle w:val="ListBullet"/>
        <w:ind w:left="360" w:hanging="180"/>
        <w:spacing w:before="0" w:after="40"/>
      </w:pPr>
      <w:r>
        <w:rPr>
          <w:rFonts w:ascii="Arial" w:hAnsi="Arial"/>
          <w:color w:val="404040"/>
          <w:sz w:val="22"/>
        </w:rPr>
        <w:t xml:space="preserve">🎥  </w:t>
      </w:r>
      <w:hyperlink r:id="rId26">
        <w:r>
          <w:rPr>
            <w:rStyle w:val="Hyperlink"/>
            <w:sz w:val="22"/>
            <w:szCs w:val="22"/>
          </w:rPr>
          <w:t>Tour por una bandeja de correo</w:t>
        </w:r>
      </w:hyperlink>
    </w:p>
    <w:p>
      <w:pPr>
        <w:spacing w:before="0" w:after="60"/>
      </w:pPr>
    </w:p>
    <w:p>
      <w:pPr>
        <w:spacing w:before="180" w:after="60"/>
        <w:pBdr>
          <w:bottom w:val="single" w:sz="6" w:space="1" w:color="2E75B6"/>
        </w:pBdr>
      </w:pPr>
      <w:r>
        <w:rPr>
          <w:rFonts w:ascii="Arial" w:hAnsi="Arial"/>
          <w:b/>
          <w:color w:val="1E4B8F"/>
          <w:sz w:val="28"/>
        </w:rPr>
        <w:t>7.2  Secuencias de Correo</w:t>
      </w:r>
    </w:p>
    <w:p>
      <w:pPr>
        <w:spacing w:before="0" w:after="60"/>
      </w:pPr>
      <w:r>
        <w:rPr>
          <w:rFonts w:ascii="Arial" w:hAnsi="Arial"/>
          <w:color w:val="404040"/>
          <w:sz w:val="22"/>
        </w:rPr>
        <w:t>El Manager envía secuencias automáticas a los prospectos. Cuando hay respuesta, el SDR toma el hilo.</w:t>
      </w:r>
    </w:p>
    <w:p>
      <w:pPr>
        <w:pStyle w:val="ListBullet"/>
        <w:ind w:left="360" w:hanging="180"/>
        <w:spacing w:before="0" w:after="40"/>
      </w:pPr>
      <w:r>
        <w:rPr>
          <w:rFonts w:ascii="Arial" w:hAnsi="Arial"/>
          <w:color w:val="404040"/>
          <w:sz w:val="22"/>
        </w:rPr>
        <w:t xml:space="preserve">📄  </w:t>
      </w:r>
      <w:hyperlink r:id="rId27">
        <w:r>
          <w:rPr>
            <w:rStyle w:val="Hyperlink"/>
            <w:sz w:val="22"/>
            <w:szCs w:val="22"/>
          </w:rPr>
          <w:t>Guía: Secuencias de correo</w:t>
        </w:r>
      </w:hyperlink>
    </w:p>
    <w:p>
      <w:pPr>
        <w:pStyle w:val="ListBullet"/>
        <w:ind w:left="360" w:hanging="180"/>
        <w:spacing w:before="0" w:after="40"/>
      </w:pPr>
      <w:r>
        <w:rPr>
          <w:rFonts w:ascii="Arial" w:hAnsi="Arial"/>
          <w:color w:val="404040"/>
          <w:sz w:val="22"/>
        </w:rPr>
        <w:t xml:space="preserve">📄  </w:t>
      </w:r>
      <w:hyperlink r:id="rId28">
        <w:r>
          <w:rPr>
            <w:rStyle w:val="Hyperlink"/>
            <w:sz w:val="22"/>
            <w:szCs w:val="22"/>
          </w:rPr>
          <w:t>Ejemplo: Secuencias Esmax</w:t>
        </w:r>
      </w:hyperlink>
    </w:p>
    <w:p>
      <w:pPr>
        <w:spacing w:before="0" w:after="80"/>
      </w:pPr>
    </w:p>
    <w:p>
      <w:pPr>
        <w:spacing w:before="120" w:after="40"/>
      </w:pPr>
      <w:r>
        <w:rPr>
          <w:rFonts w:ascii="Arial" w:hAnsi="Arial"/>
          <w:b/>
          <w:color w:val="2E75B6"/>
          <w:sz w:val="24"/>
        </w:rPr>
        <w:t>Preguntas frecuentes sobre secuencias:</w:t>
      </w: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 ¿Quién envía las secuencias de correo?</w:t>
              <w:br/>
              <w:t>→ El Manager. El SDR solo trabaja en las conversaciones con los prospectos, siempre a partir de una respuesta.</w:t>
            </w:r>
          </w:p>
        </w:tc>
      </w:tr>
    </w:tbl>
    <w:p>
      <w:pPr>
        <w:spacing w:before="0" w:after="120"/>
      </w:pP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 ¿Qué hacer cuando el prospecto responde una secuencia?</w:t>
              <w:br/>
              <w:t>→ La secuencia se corta automáticamente. El SDR queda a cargo del correo desde ese punto. Debe leer la respuesta, etiquetar el correo y responder buscando agendar la reunión.</w:t>
            </w:r>
          </w:p>
        </w:tc>
      </w:tr>
    </w:tbl>
    <w:p>
      <w:pPr>
        <w:spacing w:before="0" w:after="120"/>
      </w:pP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 ¿Qué hacer si el prospecto NO responde la secuencia?</w:t>
              <w:br/>
              <w:t>→ Si el prospecto no responde, el Manager continúa enviando el resto de correos de la secuencia. El SDR NO toca la secuencia hasta que haya una respuesta. Para no ensuciar la bandeja, esos correos se archivan.</w:t>
            </w:r>
          </w:p>
        </w:tc>
      </w:tr>
    </w:tbl>
    <w:p>
      <w:pPr>
        <w:spacing w:before="0" w:after="120"/>
      </w:pPr>
    </w:p>
    <w:p>
      <w:pPr>
        <w:spacing w:before="180" w:after="60"/>
        <w:pBdr>
          <w:bottom w:val="single" w:sz="6" w:space="1" w:color="2E75B6"/>
        </w:pBdr>
      </w:pPr>
      <w:r>
        <w:rPr>
          <w:rFonts w:ascii="Arial" w:hAnsi="Arial"/>
          <w:b/>
          <w:color w:val="1E4B8F"/>
          <w:sz w:val="28"/>
        </w:rPr>
        <w:t>7.3  Uso de Etiquetas</w:t>
      </w:r>
    </w:p>
    <w:p>
      <w:pPr>
        <w:spacing w:before="0" w:after="60"/>
      </w:pPr>
      <w:r>
        <w:rPr>
          <w:rFonts w:ascii="Arial" w:hAnsi="Arial"/>
          <w:color w:val="404040"/>
          <w:sz w:val="22"/>
        </w:rPr>
        <w:t>Cada correo recibido en la bandeja debe ser etiquetado. Las etiquetas representan el estado de la conversación.</w:t>
      </w:r>
    </w:p>
    <w:p>
      <w:pPr>
        <w:pStyle w:val="ListBullet"/>
        <w:ind w:left="360" w:hanging="180"/>
        <w:spacing w:before="0" w:after="40"/>
      </w:pPr>
      <w:r>
        <w:rPr>
          <w:rFonts w:ascii="Arial" w:hAnsi="Arial"/>
          <w:color w:val="404040"/>
          <w:sz w:val="22"/>
        </w:rPr>
        <w:t xml:space="preserve">📄  </w:t>
      </w:r>
      <w:hyperlink r:id="rId29">
        <w:r>
          <w:rPr>
            <w:rStyle w:val="Hyperlink"/>
            <w:sz w:val="22"/>
            <w:szCs w:val="22"/>
          </w:rPr>
          <w:t>Guía de uso de etiquetas</w:t>
        </w:r>
      </w:hyperlink>
    </w:p>
    <w:p>
      <w:pPr>
        <w:spacing w:before="0" w:after="60"/>
      </w:pPr>
    </w:p>
    <w:p>
      <w:pPr>
        <w:spacing w:before="0" w:after="60"/>
      </w:pPr>
      <w:r>
        <w:rPr>
          <w:rFonts w:ascii="Arial" w:hAnsi="Arial"/>
          <w:b/>
          <w:color w:val="404040"/>
          <w:sz w:val="22"/>
        </w:rPr>
        <w:t>Las 5 etiquetas TGP:</w:t>
      </w:r>
    </w:p>
    <w:tbl>
      <w:tblPr>
        <w:tblW w:type="auto" w:w="0"/>
        <w:tblLook w:firstColumn="1" w:firstRow="1" w:lastColumn="0" w:lastRow="0" w:noHBand="0" w:noVBand="1" w:val="04A0"/>
        <w:tblW w:w="9360" w:type="dxa"/>
      </w:tblPr>
      <w:tblGrid>
        <w:gridCol w:w="4680"/>
        <w:gridCol w:w="4680"/>
      </w:tblGrid>
      <w:tr>
        <w:tc>
          <w:tcPr>
            <w:tcW w:type="dxa" w:w="4680"/>
            <w:tcW w:w="250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Etiqueta</w:t>
            </w:r>
          </w:p>
        </w:tc>
        <w:tc>
          <w:tcPr>
            <w:tcW w:type="dxa" w:w="4680"/>
            <w:tcW w:w="686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Cuándo usarla</w:t>
            </w:r>
          </w:p>
        </w:tc>
      </w:tr>
      <w:tr>
        <w:tc>
          <w:tcPr>
            <w:tcW w:type="dxa" w:w="4680"/>
            <w:tcW w:w="2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No interesado</w:t>
            </w:r>
          </w:p>
        </w:tc>
        <w:tc>
          <w:tcPr>
            <w:tcW w:type="dxa" w:w="4680"/>
            <w:tcW w:w="6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El prospecto rechazó la propuesta. Se intenta dar vuelta antes de cerrar.</w:t>
            </w:r>
          </w:p>
        </w:tc>
      </w:tr>
      <w:tr>
        <w:tc>
          <w:tcPr>
            <w:tcW w:type="dxa" w:w="4680"/>
            <w:tcW w:w="2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Agendado</w:t>
            </w:r>
          </w:p>
        </w:tc>
        <w:tc>
          <w:tcPr>
            <w:tcW w:type="dxa" w:w="4680"/>
            <w:tcW w:w="6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La reunión fue confirmada y agendada en la App TGP.</w:t>
            </w:r>
          </w:p>
        </w:tc>
      </w:tr>
      <w:tr>
        <w:tc>
          <w:tcPr>
            <w:tcW w:type="dxa" w:w="4680"/>
            <w:tcW w:w="2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No aplica</w:t>
            </w:r>
          </w:p>
        </w:tc>
        <w:tc>
          <w:tcPr>
            <w:tcW w:type="dxa" w:w="4680"/>
            <w:tcW w:w="6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El prospecto no cumple con el perfil ICP del cliente o es irrelevante.</w:t>
            </w:r>
          </w:p>
        </w:tc>
      </w:tr>
      <w:tr>
        <w:tc>
          <w:tcPr>
            <w:tcW w:type="dxa" w:w="4680"/>
            <w:tcW w:w="2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Proceso</w:t>
            </w:r>
          </w:p>
        </w:tc>
        <w:tc>
          <w:tcPr>
            <w:tcW w:type="dxa" w:w="4680"/>
            <w:tcW w:w="6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La conversación está activa y en curso. Se está trabajando para agendar.</w:t>
            </w:r>
          </w:p>
        </w:tc>
      </w:tr>
      <w:tr>
        <w:tc>
          <w:tcPr>
            <w:tcW w:type="dxa" w:w="4680"/>
            <w:tcW w:w="2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1E4B8F"/>
                <w:sz w:val="20"/>
              </w:rPr>
              <w:t>Reagendar</w:t>
            </w:r>
          </w:p>
        </w:tc>
        <w:tc>
          <w:tcPr>
            <w:tcW w:type="dxa" w:w="4680"/>
            <w:tcW w:w="6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color w:val="404040"/>
                <w:sz w:val="20"/>
              </w:rPr>
              <w:t>La reunión no se realizó y hay que coordinar una nueva fecha.</w:t>
            </w:r>
          </w:p>
        </w:tc>
      </w:tr>
    </w:tbl>
    <w:p>
      <w:pPr>
        <w:spacing w:before="0" w:after="120"/>
      </w:pPr>
    </w:p>
    <w:tbl>
      <w:tblPr>
        <w:tblW w:type="auto" w:w="0"/>
        <w:tblLook w:firstColumn="1" w:firstRow="1" w:lastColumn="0" w:lastRow="0" w:noHBand="0" w:noVBand="1" w:val="04A0"/>
        <w:tblW w:w="9360" w:type="dxa"/>
      </w:tblPr>
      <w:tblGrid>
        <w:gridCol w:w="9360"/>
      </w:tblGrid>
      <w:tr>
        <w:tc>
          <w:tcPr>
            <w:tcW w:type="dxa" w:w="9360"/>
            <w:tcW w:w="9360" w:type="dxa"/>
            <w:shd w:val="clear" w:color="auto" w:fill="FFF8E1"/>
            <w:tcBorders>
              <w:top w:val="single" w:sz="8" w:space="0" w:color="E65100"/>
              <w:left w:val="single" w:sz="8" w:space="0" w:color="E65100"/>
              <w:bottom w:val="single" w:sz="8" w:space="0" w:color="E65100"/>
              <w:right w:val="single" w:sz="8" w:space="0" w:color="E65100"/>
            </w:tcBorders>
            <w:tcMar>
              <w:top w:w="120" w:type="dxa"/>
              <w:bottom w:w="120" w:type="dxa"/>
              <w:left w:w="200" w:type="dxa"/>
              <w:right w:w="200" w:type="dxa"/>
            </w:tcMar>
          </w:tcPr>
          <w:p>
            <w:pPr>
              <w:spacing w:before="0" w:after="60"/>
            </w:pPr>
            <w:r>
              <w:rPr>
                <w:rFonts w:ascii="Arial" w:hAnsi="Arial"/>
                <w:b/>
                <w:color w:val="E65100"/>
                <w:sz w:val="22"/>
              </w:rPr>
              <w:t>⚠️  Reglas de etiquetado:</w:t>
            </w:r>
          </w:p>
          <w:p>
            <w:pPr>
              <w:spacing w:before="0" w:after="0"/>
            </w:pPr>
            <w:r>
              <w:rPr>
                <w:rFonts w:ascii="Arial" w:hAnsi="Arial"/>
                <w:color w:val="404040"/>
                <w:sz w:val="22"/>
              </w:rPr>
              <w:t>• Solo se usan las 5 etiquetas TGP. No crear nuevas.</w:t>
              <w:br/>
              <w:t>• 1 etiqueta por correo. No duplicar.</w:t>
              <w:br/>
              <w:t>• No responder sin etiquetar primero.</w:t>
            </w:r>
          </w:p>
        </w:tc>
      </w:tr>
    </w:tbl>
    <w:p>
      <w:pPr>
        <w:spacing w:before="0" w:after="120"/>
      </w:pPr>
    </w:p>
    <w:p>
      <w:pPr>
        <w:spacing w:before="180" w:after="60"/>
        <w:pBdr>
          <w:bottom w:val="single" w:sz="6" w:space="1" w:color="2E75B6"/>
        </w:pBdr>
      </w:pPr>
      <w:r>
        <w:rPr>
          <w:rFonts w:ascii="Arial" w:hAnsi="Arial"/>
          <w:b/>
          <w:color w:val="1E4B8F"/>
          <w:sz w:val="28"/>
        </w:rPr>
        <w:t>7.4  Movimiento de Correos</w:t>
      </w:r>
    </w:p>
    <w:p>
      <w:pPr>
        <w:spacing w:before="0" w:after="60"/>
      </w:pPr>
      <w:r>
        <w:rPr>
          <w:rFonts w:ascii="Arial" w:hAnsi="Arial"/>
          <w:color w:val="404040"/>
          <w:sz w:val="22"/>
        </w:rPr>
        <w:t>Mantener la bandeja limpia y ordenada es fundamental para un buen flujo de trabajo. Es clave saber cuándo mover, archivar y eliminar correos.</w:t>
      </w:r>
    </w:p>
    <w:p>
      <w:pPr>
        <w:pStyle w:val="ListBullet"/>
        <w:ind w:left="360" w:hanging="180"/>
        <w:spacing w:before="0" w:after="40"/>
      </w:pPr>
      <w:r>
        <w:rPr>
          <w:rFonts w:ascii="Arial" w:hAnsi="Arial"/>
          <w:color w:val="404040"/>
          <w:sz w:val="22"/>
        </w:rPr>
        <w:t xml:space="preserve">🎥  </w:t>
      </w:r>
      <w:hyperlink r:id="rId30">
        <w:r>
          <w:rPr>
            <w:rStyle w:val="Hyperlink"/>
            <w:sz w:val="22"/>
            <w:szCs w:val="22"/>
          </w:rPr>
          <w:t>Video: Movimiento de correos</w:t>
        </w:r>
      </w:hyperlink>
    </w:p>
    <w:p>
      <w:pPr>
        <w:spacing w:before="180" w:after="60"/>
        <w:pBdr>
          <w:bottom w:val="single" w:sz="6" w:space="1" w:color="2E75B6"/>
        </w:pBdr>
      </w:pPr>
      <w:r>
        <w:rPr>
          <w:rFonts w:ascii="Arial" w:hAnsi="Arial"/>
          <w:b/>
          <w:color w:val="1E4B8F"/>
          <w:sz w:val="28"/>
        </w:rPr>
        <w:t>7.5  Esquema de Manejo de Bandejas</w:t>
      </w:r>
    </w:p>
    <w:p>
      <w:pPr>
        <w:spacing w:before="0" w:after="60"/>
      </w:pPr>
      <w:r>
        <w:rPr>
          <w:rFonts w:ascii="Arial" w:hAnsi="Arial"/>
          <w:color w:val="404040"/>
          <w:sz w:val="22"/>
        </w:rPr>
        <w:t>El esquema de manejo de bandejas es tu manual para trabajar los correos. Explica paso a paso el proceso: analizar la objeción → etiquetar → responder → agendar. Descargalo y tenelo siempre a mano.</w:t>
      </w:r>
    </w:p>
    <w:p>
      <w:pPr>
        <w:spacing w:before="0" w:after="60"/>
      </w:pPr>
      <w:r>
        <w:rPr>
          <w:rFonts w:ascii="Arial" w:hAnsi="Arial"/>
          <w:color w:val="404040"/>
          <w:sz w:val="22"/>
        </w:rPr>
        <w:t xml:space="preserve">📄  </w:t>
      </w:r>
      <w:hyperlink r:id="rId20">
        <w:r>
          <w:rPr>
            <w:rStyle w:val="Hyperlink"/>
            <w:sz w:val="22"/>
            <w:szCs w:val="22"/>
          </w:rPr>
          <w:t>Esquema manejo de bandejas (DESCARGAR)</w:t>
        </w:r>
      </w:hyperlink>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8.  MANEJO DE OBJECIONES</w:t>
            </w:r>
          </w:p>
          <w:p>
            <w:pPr>
              <w:spacing w:before="0" w:after="0"/>
            </w:pPr>
            <w:r>
              <w:rPr>
                <w:rFonts w:ascii="Arial" w:hAnsi="Arial"/>
                <w:i/>
                <w:color w:val="D0E4F7"/>
                <w:sz w:val="22"/>
              </w:rPr>
              <w:t>Cómo convertir un "no" en una reunión</w:t>
            </w:r>
          </w:p>
        </w:tc>
      </w:tr>
    </w:tbl>
    <w:p/>
    <w:p>
      <w:pPr>
        <w:spacing w:before="0" w:after="60"/>
      </w:pPr>
      <w:r>
        <w:rPr>
          <w:rFonts w:ascii="Arial" w:hAnsi="Arial"/>
          <w:color w:val="404040"/>
          <w:sz w:val="22"/>
        </w:rPr>
        <w:t>Las objeciones son respuestas que no son un "sí" directo al agendamiento. Hay que saber manejarlas para traer de vuelta la atención del prospecto y lograr la reunión.</w:t>
      </w:r>
    </w:p>
    <w:p>
      <w:pPr>
        <w:spacing w:before="180" w:after="60"/>
        <w:pBdr>
          <w:bottom w:val="single" w:sz="6" w:space="1" w:color="2E75B6"/>
        </w:pBdr>
      </w:pPr>
      <w:r>
        <w:rPr>
          <w:rFonts w:ascii="Arial" w:hAnsi="Arial"/>
          <w:b/>
          <w:color w:val="1E4B8F"/>
          <w:sz w:val="28"/>
        </w:rPr>
        <w:t>8.1  Derivaciones o Referidos</w:t>
      </w:r>
    </w:p>
    <w:p>
      <w:pPr>
        <w:spacing w:before="0" w:after="60"/>
      </w:pPr>
      <w:r>
        <w:rPr>
          <w:rFonts w:ascii="Arial" w:hAnsi="Arial"/>
          <w:color w:val="404040"/>
          <w:sz w:val="22"/>
        </w:rPr>
        <w:t>El contacto al que le enviamos el correo no siempre es la persona encargada. En muchos casos nos deriva o nos da el correo del KDM correcto.</w:t>
      </w:r>
    </w:p>
    <w:p>
      <w:pPr>
        <w:spacing w:before="0" w:after="60"/>
      </w:pPr>
      <w:r>
        <w:rPr>
          <w:rFonts w:ascii="Arial" w:hAnsi="Arial"/>
          <w:b/>
          <w:color w:val="404040"/>
          <w:sz w:val="22"/>
        </w:rPr>
        <w:t>Este tipo de respuesta es valiosa</w:t>
      </w:r>
      <w:r>
        <w:rPr>
          <w:rFonts w:ascii="Arial" w:hAnsi="Arial"/>
          <w:color w:val="404040"/>
          <w:sz w:val="22"/>
        </w:rPr>
        <w:t xml:space="preserve"> — nos acerca al tomador de decisión real.</w:t>
      </w:r>
    </w:p>
    <w:p>
      <w:pPr>
        <w:pStyle w:val="ListBullet"/>
        <w:ind w:left="360" w:hanging="180"/>
        <w:spacing w:before="0" w:after="40"/>
      </w:pPr>
      <w:r>
        <w:rPr>
          <w:rFonts w:ascii="Arial" w:hAnsi="Arial"/>
          <w:color w:val="404040"/>
          <w:sz w:val="22"/>
        </w:rPr>
        <w:t xml:space="preserve">🎥  </w:t>
      </w:r>
      <w:hyperlink r:id="rId31">
        <w:r>
          <w:rPr>
            <w:rStyle w:val="Hyperlink"/>
            <w:sz w:val="22"/>
            <w:szCs w:val="22"/>
          </w:rPr>
          <w:t>Video: Cómo manejar derivaciones y referidos</w:t>
        </w:r>
      </w:hyperlink>
    </w:p>
    <w:p>
      <w:pPr>
        <w:spacing w:before="0" w:after="60"/>
      </w:pPr>
    </w:p>
    <w:p>
      <w:pPr>
        <w:spacing w:before="180" w:after="60"/>
        <w:pBdr>
          <w:bottom w:val="single" w:sz="6" w:space="1" w:color="2E75B6"/>
        </w:pBdr>
      </w:pPr>
      <w:r>
        <w:rPr>
          <w:rFonts w:ascii="Arial" w:hAnsi="Arial"/>
          <w:b/>
          <w:color w:val="1E4B8F"/>
          <w:sz w:val="28"/>
        </w:rPr>
        <w:t>8.2  Fuera de la Oficina (Mail Automático)</w:t>
      </w:r>
    </w:p>
    <w:p>
      <w:pPr>
        <w:spacing w:before="0" w:after="60"/>
      </w:pPr>
      <w:r>
        <w:rPr>
          <w:rFonts w:ascii="Arial" w:hAnsi="Arial"/>
          <w:color w:val="404040"/>
          <w:sz w:val="22"/>
        </w:rPr>
        <w:t>Son correos automáticos de personas de vacaciones o ausentes. Nos indica que el prospecto no leyó el mensaje. La mayoría de las veces nos dicen quién está de reemplazo y cuándo vuelve.</w:t>
      </w:r>
    </w:p>
    <w:p>
      <w:pPr>
        <w:spacing w:before="0" w:after="60"/>
      </w:pPr>
      <w:r>
        <w:rPr>
          <w:rFonts w:ascii="Arial" w:hAnsi="Arial"/>
          <w:color w:val="404040"/>
          <w:sz w:val="22"/>
        </w:rPr>
        <w:t>Para responder usamos los mensajes plantilla del kit de ventas. Seguí los pasos que te muestra Seba en el video.</w:t>
      </w:r>
    </w:p>
    <w:p>
      <w:pPr>
        <w:pStyle w:val="ListBullet"/>
        <w:ind w:left="360" w:hanging="180"/>
        <w:spacing w:before="0" w:after="40"/>
      </w:pPr>
      <w:r>
        <w:rPr>
          <w:rFonts w:ascii="Arial" w:hAnsi="Arial"/>
          <w:color w:val="404040"/>
          <w:sz w:val="22"/>
        </w:rPr>
        <w:t xml:space="preserve">📄  </w:t>
      </w:r>
      <w:hyperlink r:id="rId32">
        <w:r>
          <w:rPr>
            <w:rStyle w:val="Hyperlink"/>
            <w:sz w:val="22"/>
            <w:szCs w:val="22"/>
          </w:rPr>
          <w:t>Respuestas tipo de Seba (plantillas)</w:t>
        </w:r>
      </w:hyperlink>
    </w:p>
    <w:p>
      <w:pPr>
        <w:pStyle w:val="ListBullet"/>
        <w:ind w:left="360" w:hanging="180"/>
        <w:spacing w:before="0" w:after="40"/>
      </w:pPr>
      <w:r>
        <w:rPr>
          <w:rFonts w:ascii="Arial" w:hAnsi="Arial"/>
          <w:color w:val="404040"/>
          <w:sz w:val="22"/>
        </w:rPr>
        <w:t xml:space="preserve">🎥  </w:t>
      </w:r>
      <w:hyperlink r:id="rId33">
        <w:r>
          <w:rPr>
            <w:rStyle w:val="Hyperlink"/>
            <w:sz w:val="22"/>
            <w:szCs w:val="22"/>
          </w:rPr>
          <w:t>Video: cómo responder correos de "fuera de oficina"</w:t>
        </w:r>
      </w:hyperlink>
    </w:p>
    <w:p>
      <w:pPr>
        <w:spacing w:before="0" w:after="60"/>
      </w:pPr>
    </w:p>
    <w:p>
      <w:pPr>
        <w:spacing w:before="180" w:after="60"/>
        <w:pBdr>
          <w:bottom w:val="single" w:sz="6" w:space="1" w:color="2E75B6"/>
        </w:pBdr>
      </w:pPr>
      <w:r>
        <w:rPr>
          <w:rFonts w:ascii="Arial" w:hAnsi="Arial"/>
          <w:b/>
          <w:color w:val="1E4B8F"/>
          <w:sz w:val="28"/>
        </w:rPr>
        <w:t>8.3  No Interesado</w:t>
      </w:r>
    </w:p>
    <w:p>
      <w:pPr>
        <w:spacing w:before="0" w:after="60"/>
      </w:pPr>
      <w:r>
        <w:rPr>
          <w:rFonts w:ascii="Arial" w:hAnsi="Arial"/>
          <w:color w:val="404040"/>
          <w:sz w:val="22"/>
        </w:rPr>
        <w:t>A veces el prospecto responde que no está interesado o que no necesita el servicio. Como SDR hacemos lo posible para dar vuelta esa situación y agendar la reunión igualmente.</w:t>
      </w:r>
    </w:p>
    <w:p>
      <w:pPr>
        <w:pStyle w:val="ListBullet"/>
        <w:ind w:left="360" w:hanging="180"/>
        <w:spacing w:before="0" w:after="40"/>
      </w:pPr>
      <w:r>
        <w:rPr>
          <w:rFonts w:ascii="Arial" w:hAnsi="Arial"/>
          <w:color w:val="404040"/>
          <w:sz w:val="22"/>
        </w:rPr>
        <w:t xml:space="preserve">🎥  </w:t>
      </w:r>
      <w:hyperlink r:id="rId34">
        <w:r>
          <w:rPr>
            <w:rStyle w:val="Hyperlink"/>
            <w:sz w:val="22"/>
            <w:szCs w:val="22"/>
          </w:rPr>
          <w:t>Video: "No interesado" — cómo responder (Tere, SDR Senior)</w:t>
        </w:r>
      </w:hyperlink>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9.  PUSH Y LLAMADO EN TIBIO</w:t>
            </w:r>
          </w:p>
          <w:p>
            <w:pPr>
              <w:spacing w:before="0" w:after="0"/>
            </w:pPr>
            <w:r>
              <w:rPr>
                <w:rFonts w:ascii="Arial" w:hAnsi="Arial"/>
                <w:i/>
                <w:color w:val="D0E4F7"/>
                <w:sz w:val="22"/>
              </w:rPr>
              <w:t>La estrategia más importante para agendar</w:t>
            </w:r>
          </w:p>
        </w:tc>
      </w:tr>
    </w:tbl>
    <w:p/>
    <w:p>
      <w:pPr>
        <w:spacing w:before="180" w:after="60"/>
        <w:pBdr>
          <w:bottom w:val="single" w:sz="6" w:space="1" w:color="2E75B6"/>
        </w:pBdr>
      </w:pPr>
      <w:r>
        <w:rPr>
          <w:rFonts w:ascii="Arial" w:hAnsi="Arial"/>
          <w:b/>
          <w:color w:val="1E4B8F"/>
          <w:sz w:val="28"/>
        </w:rPr>
        <w:t>9.1  ¿Qué es el Push?</w:t>
      </w:r>
    </w:p>
    <w:p>
      <w:pPr>
        <w:spacing w:before="0" w:after="60"/>
      </w:pPr>
      <w:r>
        <w:rPr>
          <w:rFonts w:ascii="Arial" w:hAnsi="Arial"/>
          <w:color w:val="404040"/>
          <w:sz w:val="22"/>
        </w:rPr>
        <w:t xml:space="preserve">El push es el correo o llamado de insistencia. Es la estrategia más importante para agendar reuniones. </w:t>
      </w:r>
      <w:r>
        <w:rPr>
          <w:rFonts w:ascii="Arial" w:hAnsi="Arial"/>
          <w:b/>
          <w:color w:val="404040"/>
          <w:sz w:val="22"/>
        </w:rPr>
        <w:t>Mínimo 2 veces por semana a cada prospecto.</w:t>
      </w:r>
    </w:p>
    <w:p>
      <w:pPr>
        <w:pStyle w:val="ListBullet"/>
        <w:ind w:left="360" w:hanging="180"/>
        <w:spacing w:before="0" w:after="40"/>
      </w:pPr>
      <w:r>
        <w:rPr>
          <w:rFonts w:ascii="Arial" w:hAnsi="Arial"/>
          <w:color w:val="404040"/>
          <w:sz w:val="22"/>
        </w:rPr>
        <w:t xml:space="preserve">🎥  </w:t>
      </w:r>
      <w:hyperlink r:id="rId35">
        <w:r>
          <w:rPr>
            <w:rStyle w:val="Hyperlink"/>
            <w:sz w:val="22"/>
            <w:szCs w:val="22"/>
          </w:rPr>
          <w:t>Video: Cómo hacer push (Tere, SDR Senior)</w:t>
        </w:r>
      </w:hyperlink>
    </w:p>
    <w:p>
      <w:pPr>
        <w:pStyle w:val="ListBullet"/>
        <w:ind w:left="360" w:hanging="180"/>
        <w:spacing w:before="0" w:after="40"/>
      </w:pPr>
      <w:r>
        <w:rPr>
          <w:rFonts w:ascii="Arial" w:hAnsi="Arial"/>
          <w:color w:val="404040"/>
          <w:sz w:val="22"/>
        </w:rPr>
        <w:t xml:space="preserve">📄  </w:t>
      </w:r>
      <w:hyperlink r:id="rId36">
        <w:r>
          <w:rPr>
            <w:rStyle w:val="Hyperlink"/>
            <w:sz w:val="22"/>
            <w:szCs w:val="22"/>
          </w:rPr>
          <w:t>Guía: Cómo hacer un push</w:t>
        </w:r>
      </w:hyperlink>
    </w:p>
    <w:p>
      <w:pPr>
        <w:spacing w:before="0" w:after="60"/>
      </w:pPr>
    </w:p>
    <w:p>
      <w:pPr>
        <w:spacing w:before="0" w:after="60"/>
      </w:pPr>
      <w:r>
        <w:rPr>
          <w:rFonts w:ascii="Arial" w:hAnsi="Arial"/>
          <w:color w:val="404040"/>
          <w:sz w:val="22"/>
        </w:rPr>
        <w:t>Tips clave del push:</w:t>
      </w:r>
    </w:p>
    <w:p>
      <w:pPr>
        <w:pStyle w:val="ListBullet"/>
        <w:ind w:left="360" w:hanging="180"/>
        <w:spacing w:before="0" w:after="40"/>
      </w:pPr>
      <w:r>
        <w:rPr>
          <w:rFonts w:ascii="Arial" w:hAnsi="Arial"/>
          <w:color w:val="404040"/>
          <w:sz w:val="22"/>
        </w:rPr>
        <w:t>Abrís la bandeja, primer correo, buscás el número y llamás en tibio.</w:t>
      </w:r>
    </w:p>
    <w:p>
      <w:pPr>
        <w:pStyle w:val="ListBullet"/>
        <w:ind w:left="360" w:hanging="180"/>
        <w:spacing w:before="0" w:after="40"/>
      </w:pPr>
      <w:r>
        <w:rPr>
          <w:rFonts w:ascii="Arial" w:hAnsi="Arial"/>
          <w:color w:val="404040"/>
          <w:sz w:val="22"/>
        </w:rPr>
        <w:t>Si no contesta, respondés en el mismo hilo con un push escrito.</w:t>
      </w:r>
    </w:p>
    <w:p>
      <w:pPr>
        <w:pStyle w:val="ListBullet"/>
        <w:ind w:left="360" w:hanging="180"/>
        <w:spacing w:before="0" w:after="40"/>
      </w:pPr>
      <w:r>
        <w:rPr>
          <w:rFonts w:ascii="Arial" w:hAnsi="Arial"/>
          <w:color w:val="404040"/>
          <w:sz w:val="22"/>
        </w:rPr>
        <w:t>Usás el kit de ventas para plantillas de respuesta de cada cliente.</w:t>
      </w:r>
    </w:p>
    <w:p>
      <w:pPr>
        <w:pStyle w:val="ListBullet"/>
        <w:ind w:left="360" w:hanging="180"/>
        <w:spacing w:before="0" w:after="40"/>
      </w:pPr>
      <w:r>
        <w:rPr>
          <w:rFonts w:ascii="Arial" w:hAnsi="Arial"/>
          <w:color w:val="404040"/>
          <w:sz w:val="22"/>
        </w:rPr>
        <w:t>Cada push debe ser personalizado y acorde a lo que dijo el prospecto.</w:t>
      </w:r>
    </w:p>
    <w:p>
      <w:pPr>
        <w:spacing w:before="0" w:after="60"/>
      </w:pPr>
    </w:p>
    <w:p>
      <w:pPr>
        <w:spacing w:before="180" w:after="60"/>
        <w:pBdr>
          <w:bottom w:val="single" w:sz="6" w:space="1" w:color="2E75B6"/>
        </w:pBdr>
      </w:pPr>
      <w:r>
        <w:rPr>
          <w:rFonts w:ascii="Arial" w:hAnsi="Arial"/>
          <w:b/>
          <w:color w:val="1E4B8F"/>
          <w:sz w:val="28"/>
        </w:rPr>
        <w:t>9.2  Llamado en Tibio</w:t>
      </w:r>
    </w:p>
    <w:p>
      <w:pPr>
        <w:spacing w:before="0" w:after="60"/>
      </w:pPr>
      <w:r>
        <w:rPr>
          <w:rFonts w:ascii="Arial" w:hAnsi="Arial"/>
          <w:color w:val="404040"/>
          <w:sz w:val="22"/>
        </w:rPr>
        <w:t>El llamado en tibio es llamar a un prospecto con el que ya hubo contacto previo (por correo). Es la estrategia más efectiva para derribar objeciones y concretar reuniones.</w:t>
      </w:r>
    </w:p>
    <w:p>
      <w:pPr>
        <w:spacing w:before="0" w:after="60"/>
      </w:pPr>
      <w:r>
        <w:rPr>
          <w:rFonts w:ascii="Arial" w:hAnsi="Arial"/>
          <w:color w:val="404040"/>
          <w:sz w:val="22"/>
        </w:rPr>
        <w:t>Los mejores SDRs de TGP no se quedan esperando respuestas. Buscan el número, levantan el teléfono y llaman. Eso los diferencia del SDR promedio y los mantiene en el podio.</w:t>
      </w:r>
    </w:p>
    <w:p>
      <w:pPr>
        <w:pStyle w:val="ListBullet"/>
        <w:ind w:left="360" w:hanging="180"/>
        <w:spacing w:before="0" w:after="40"/>
      </w:pPr>
      <w:r>
        <w:rPr>
          <w:rFonts w:ascii="Arial" w:hAnsi="Arial"/>
          <w:color w:val="404040"/>
          <w:sz w:val="22"/>
        </w:rPr>
        <w:t xml:space="preserve">🎥  </w:t>
      </w:r>
      <w:hyperlink r:id="rId37">
        <w:r>
          <w:rPr>
            <w:rStyle w:val="Hyperlink"/>
            <w:sz w:val="22"/>
            <w:szCs w:val="22"/>
          </w:rPr>
          <w:t>Video: Llamada en tibio exitosa (Juan Aspillaga, SDR Specialist)</w:t>
        </w:r>
      </w:hyperlink>
    </w:p>
    <w:p>
      <w:pPr>
        <w:spacing w:before="0" w:after="80"/>
      </w:pPr>
    </w:p>
    <w:tbl>
      <w:tblPr>
        <w:tblW w:type="auto" w:w="0"/>
        <w:tblLook w:firstColumn="1" w:firstRow="1" w:lastColumn="0" w:lastRow="0" w:noHBand="0" w:noVBand="1" w:val="04A0"/>
        <w:tblW w:w="9360" w:type="dxa"/>
      </w:tblPr>
      <w:tblGrid>
        <w:gridCol w:w="9360"/>
      </w:tblGrid>
      <w:tr>
        <w:tc>
          <w:tcPr>
            <w:tcW w:type="dxa" w:w="9360"/>
            <w:tcW w:w="9360" w:type="dxa"/>
            <w:shd w:val="clear" w:color="auto" w:fill="E8F5E9"/>
            <w:tcBorders>
              <w:top w:val="single" w:sz="6" w:space="0" w:color="2E7D32"/>
              <w:left w:val="single" w:sz="6" w:space="0" w:color="2E7D32"/>
              <w:bottom w:val="single" w:sz="6" w:space="0" w:color="2E7D32"/>
              <w:right w:val="single" w:sz="6" w:space="0" w:color="2E7D32"/>
            </w:tcBorders>
            <w:tcMar>
              <w:top w:w="100" w:type="dxa"/>
              <w:bottom w:w="100" w:type="dxa"/>
              <w:left w:w="180" w:type="dxa"/>
              <w:right w:w="180" w:type="dxa"/>
            </w:tcMar>
          </w:tcPr>
          <w:p>
            <w:pPr>
              <w:spacing w:before="0" w:after="0"/>
            </w:pPr>
            <w:r>
              <w:rPr>
                <w:rFonts w:ascii="Arial" w:hAnsi="Arial"/>
                <w:color w:val="404040"/>
                <w:sz w:val="22"/>
              </w:rPr>
              <w:t>En el video, Juan llama en tibio a un prospecto que rechazó la propuesta por correo y en menos de 4 minutos logra agendar la reunión. Ese es el nivel.</w:t>
            </w:r>
          </w:p>
        </w:tc>
      </w:tr>
    </w:tbl>
    <w:p>
      <w:pPr>
        <w:spacing w:before="0" w:after="120"/>
      </w:pP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10.  PROCESO DE AGENDAMIENTO</w:t>
            </w:r>
          </w:p>
          <w:p>
            <w:pPr>
              <w:spacing w:before="0" w:after="0"/>
            </w:pPr>
            <w:r>
              <w:rPr>
                <w:rFonts w:ascii="Arial" w:hAnsi="Arial"/>
                <w:i/>
                <w:color w:val="D0E4F7"/>
                <w:sz w:val="22"/>
              </w:rPr>
              <w:t>Del match de horario a la reunión confirmada</w:t>
            </w:r>
          </w:p>
        </w:tc>
      </w:tr>
    </w:tbl>
    <w:p/>
    <w:p>
      <w:pPr>
        <w:spacing w:before="180" w:after="60"/>
        <w:pBdr>
          <w:bottom w:val="single" w:sz="6" w:space="1" w:color="2E75B6"/>
        </w:pBdr>
      </w:pPr>
      <w:r>
        <w:rPr>
          <w:rFonts w:ascii="Arial" w:hAnsi="Arial"/>
          <w:b/>
          <w:color w:val="1E4B8F"/>
          <w:sz w:val="28"/>
        </w:rPr>
        <w:t>10.1  Disponibilidad de Horario</w:t>
      </w:r>
    </w:p>
    <w:p>
      <w:pPr>
        <w:spacing w:before="0" w:after="60"/>
      </w:pPr>
      <w:r>
        <w:rPr>
          <w:rFonts w:ascii="Arial" w:hAnsi="Arial"/>
          <w:color w:val="404040"/>
          <w:sz w:val="22"/>
        </w:rPr>
        <w:t>Para agendar una reunión, primero necesitás encontrar un horario disponible. No tenemos el calendario del prospecto, pero sí el del ejecutivo cliente. El primer paso es revisar la disponibilidad del ejecutivo y calzarla con el prospecto.</w:t>
      </w:r>
    </w:p>
    <w:p>
      <w:pPr>
        <w:pStyle w:val="ListBullet"/>
        <w:ind w:left="360" w:hanging="180"/>
        <w:spacing w:before="0" w:after="40"/>
      </w:pPr>
      <w:r>
        <w:rPr>
          <w:rFonts w:ascii="Arial" w:hAnsi="Arial"/>
          <w:color w:val="404040"/>
          <w:sz w:val="22"/>
        </w:rPr>
        <w:t xml:space="preserve">🎥  </w:t>
      </w:r>
      <w:hyperlink r:id="rId38">
        <w:r>
          <w:rPr>
            <w:rStyle w:val="Hyperlink"/>
            <w:sz w:val="22"/>
            <w:szCs w:val="22"/>
          </w:rPr>
          <w:t>Video: cómo revisar disponibilidad de ejecutivos</w:t>
        </w:r>
      </w:hyperlink>
    </w:p>
    <w:p>
      <w:pPr>
        <w:spacing w:before="0" w:after="60"/>
      </w:pPr>
    </w:p>
    <w:p>
      <w:pPr>
        <w:spacing w:before="180" w:after="60"/>
        <w:pBdr>
          <w:bottom w:val="single" w:sz="6" w:space="1" w:color="2E75B6"/>
        </w:pBdr>
      </w:pPr>
      <w:r>
        <w:rPr>
          <w:rFonts w:ascii="Arial" w:hAnsi="Arial"/>
          <w:b/>
          <w:color w:val="1E4B8F"/>
          <w:sz w:val="28"/>
        </w:rPr>
        <w:t>10.2  Esquema del Proceso de Agendamiento</w:t>
      </w:r>
    </w:p>
    <w:p>
      <w:pPr>
        <w:spacing w:before="0" w:after="60"/>
      </w:pPr>
      <w:r>
        <w:rPr>
          <w:rFonts w:ascii="Arial" w:hAnsi="Arial"/>
          <w:color w:val="404040"/>
          <w:sz w:val="22"/>
        </w:rPr>
        <w:t>El proceso empieza con el match de horario y termina con el cambio de etiqueta del correo. Es un documento muy importante — descargalo y tenelo siempre a mano.</w:t>
      </w:r>
    </w:p>
    <w:p>
      <w:pPr>
        <w:spacing w:before="0" w:after="60"/>
      </w:pPr>
      <w:r>
        <w:rPr>
          <w:rFonts w:ascii="Arial" w:hAnsi="Arial"/>
          <w:color w:val="404040"/>
          <w:sz w:val="22"/>
        </w:rPr>
        <w:t xml:space="preserve">📄  </w:t>
      </w:r>
      <w:hyperlink r:id="rId19">
        <w:r>
          <w:rPr>
            <w:rStyle w:val="Hyperlink"/>
            <w:sz w:val="22"/>
            <w:szCs w:val="22"/>
          </w:rPr>
          <w:t>Esquema de agendamiento (DESCARGAR)</w:t>
        </w:r>
      </w:hyperlink>
    </w:p>
    <w:p>
      <w:pPr>
        <w:spacing w:before="0" w:after="60"/>
      </w:pPr>
    </w:p>
    <w:p>
      <w:pPr>
        <w:spacing w:before="180" w:after="60"/>
        <w:pBdr>
          <w:bottom w:val="single" w:sz="6" w:space="1" w:color="2E75B6"/>
        </w:pBdr>
      </w:pPr>
      <w:r>
        <w:rPr>
          <w:rFonts w:ascii="Arial" w:hAnsi="Arial"/>
          <w:b/>
          <w:color w:val="1E4B8F"/>
          <w:sz w:val="28"/>
        </w:rPr>
        <w:t>10.3  Agendar en la App TGP</w:t>
      </w:r>
    </w:p>
    <w:p>
      <w:pPr>
        <w:spacing w:before="0" w:after="60"/>
      </w:pPr>
      <w:r>
        <w:rPr>
          <w:rFonts w:ascii="Arial" w:hAnsi="Arial"/>
          <w:color w:val="404040"/>
          <w:sz w:val="22"/>
        </w:rPr>
        <w:t>Todas las reuniones se agendan en la App TGP. Si no encontrás tu acceso, buscá en tu correo TGP el mail "Welcome to TGP" con tu usuario y contraseña. Si no está, avisale al Manager.</w:t>
      </w:r>
    </w:p>
    <w:p>
      <w:pPr>
        <w:pStyle w:val="ListBullet"/>
        <w:ind w:left="360" w:hanging="180"/>
        <w:spacing w:before="0" w:after="40"/>
      </w:pPr>
      <w:r>
        <w:rPr>
          <w:rFonts w:ascii="Arial" w:hAnsi="Arial"/>
          <w:color w:val="404040"/>
          <w:sz w:val="22"/>
        </w:rPr>
        <w:t xml:space="preserve">📄  </w:t>
      </w:r>
      <w:hyperlink r:id="rId39">
        <w:r>
          <w:rPr>
            <w:rStyle w:val="Hyperlink"/>
            <w:sz w:val="22"/>
            <w:szCs w:val="22"/>
          </w:rPr>
          <w:t>Instructivo de Agendamiento en App TGP</w:t>
        </w:r>
      </w:hyperlink>
    </w:p>
    <w:p>
      <w:pPr>
        <w:pStyle w:val="ListBullet"/>
        <w:ind w:left="360" w:hanging="180"/>
        <w:spacing w:before="0" w:after="40"/>
      </w:pPr>
      <w:r>
        <w:rPr>
          <w:rFonts w:ascii="Arial" w:hAnsi="Arial"/>
          <w:color w:val="404040"/>
          <w:sz w:val="22"/>
        </w:rPr>
        <w:t xml:space="preserve">🎥  </w:t>
      </w:r>
      <w:hyperlink r:id="rId40">
        <w:r>
          <w:rPr>
            <w:rStyle w:val="Hyperlink"/>
            <w:sz w:val="22"/>
            <w:szCs w:val="22"/>
          </w:rPr>
          <w:t>Video: Agendamiento en vivo (Nahuel, CSR)</w:t>
        </w:r>
      </w:hyperlink>
    </w:p>
    <w:p>
      <w:pPr>
        <w:pStyle w:val="ListBullet"/>
        <w:ind w:left="360" w:hanging="180"/>
        <w:spacing w:before="0" w:after="40"/>
      </w:pPr>
      <w:r>
        <w:rPr>
          <w:rFonts w:ascii="Arial" w:hAnsi="Arial"/>
          <w:color w:val="404040"/>
          <w:sz w:val="22"/>
        </w:rPr>
        <w:t xml:space="preserve">🎥  </w:t>
      </w:r>
      <w:hyperlink r:id="rId41">
        <w:r>
          <w:rPr>
            <w:rStyle w:val="Hyperlink"/>
            <w:sz w:val="22"/>
            <w:szCs w:val="22"/>
          </w:rPr>
          <w:t>Video: Instructivo App TGP</w:t>
        </w:r>
      </w:hyperlink>
    </w:p>
    <w:p>
      <w:pPr>
        <w:spacing w:before="0" w:after="60"/>
      </w:pPr>
      <w:r>
        <w:rPr>
          <w:rFonts w:ascii="Arial" w:hAnsi="Arial"/>
          <w:color w:val="404040"/>
          <w:sz w:val="22"/>
        </w:rPr>
        <w:t xml:space="preserve">🔗  App TGP: </w:t>
      </w:r>
      <w:hyperlink r:id="rId23">
        <w:r>
          <w:rPr>
            <w:rStyle w:val="Hyperlink"/>
            <w:sz w:val="22"/>
            <w:szCs w:val="22"/>
          </w:rPr>
          <w:t>app.tgp.cl</w:t>
        </w:r>
      </w:hyperlink>
    </w:p>
    <w:p>
      <w:pPr>
        <w:spacing w:before="0" w:after="60"/>
      </w:pPr>
    </w:p>
    <w:p>
      <w:pPr>
        <w:spacing w:before="180" w:after="60"/>
        <w:pBdr>
          <w:bottom w:val="single" w:sz="6" w:space="1" w:color="2E75B6"/>
        </w:pBdr>
      </w:pPr>
      <w:r>
        <w:rPr>
          <w:rFonts w:ascii="Arial" w:hAnsi="Arial"/>
          <w:b/>
          <w:color w:val="1E4B8F"/>
          <w:sz w:val="28"/>
        </w:rPr>
        <w:t>10.4  Paso a Paso del Agendamiento</w:t>
      </w:r>
    </w:p>
    <w:p>
      <w:pPr>
        <w:pStyle w:val="ListNumber"/>
        <w:ind w:left="360" w:hanging="180"/>
        <w:spacing w:before="0" w:after="40"/>
      </w:pPr>
      <w:r>
        <w:rPr>
          <w:rFonts w:ascii="Arial" w:hAnsi="Arial"/>
          <w:color w:val="404040"/>
          <w:sz w:val="22"/>
        </w:rPr>
        <w:t>Conseguir horario disponible del ejecutivo.</w:t>
      </w:r>
    </w:p>
    <w:p>
      <w:pPr>
        <w:pStyle w:val="ListNumber"/>
        <w:ind w:left="360" w:hanging="180"/>
        <w:spacing w:before="0" w:after="40"/>
      </w:pPr>
      <w:r>
        <w:rPr>
          <w:rFonts w:ascii="Arial" w:hAnsi="Arial"/>
          <w:color w:val="404040"/>
          <w:sz w:val="22"/>
        </w:rPr>
        <w:t>Proponerle el horario al prospecto (por correo o teléfono).</w:t>
      </w:r>
    </w:p>
    <w:p>
      <w:pPr>
        <w:pStyle w:val="ListNumber"/>
        <w:ind w:left="360" w:hanging="180"/>
        <w:spacing w:before="0" w:after="40"/>
      </w:pPr>
      <w:r>
        <w:rPr>
          <w:rFonts w:ascii="Arial" w:hAnsi="Arial"/>
          <w:color w:val="404040"/>
          <w:sz w:val="22"/>
        </w:rPr>
        <w:t>Una vez confirmado: agendar en la App TGP con todos los datos.</w:t>
      </w:r>
    </w:p>
    <w:p>
      <w:pPr>
        <w:pStyle w:val="ListNumber"/>
        <w:ind w:left="360" w:hanging="180"/>
        <w:spacing w:before="0" w:after="40"/>
      </w:pPr>
      <w:r>
        <w:rPr>
          <w:rFonts w:ascii="Arial" w:hAnsi="Arial"/>
          <w:color w:val="404040"/>
          <w:sz w:val="22"/>
        </w:rPr>
        <w:t>Esperar la aprobación del Manager (emoji en Slack).</w:t>
      </w:r>
    </w:p>
    <w:p>
      <w:pPr>
        <w:pStyle w:val="ListNumber"/>
        <w:ind w:left="360" w:hanging="180"/>
        <w:spacing w:before="0" w:after="40"/>
      </w:pPr>
      <w:r>
        <w:rPr>
          <w:rFonts w:ascii="Arial" w:hAnsi="Arial"/>
          <w:color w:val="404040"/>
          <w:sz w:val="22"/>
        </w:rPr>
        <w:t>Mandarle el detalle de la reunión al cliente.</w:t>
      </w:r>
    </w:p>
    <w:p>
      <w:pPr>
        <w:pStyle w:val="ListNumber"/>
        <w:ind w:left="360" w:hanging="180"/>
        <w:spacing w:before="0" w:after="40"/>
      </w:pPr>
      <w:r>
        <w:rPr>
          <w:rFonts w:ascii="Arial" w:hAnsi="Arial"/>
          <w:color w:val="404040"/>
          <w:sz w:val="22"/>
        </w:rPr>
        <w:t>Confirmarle la reunión al prospecto por correo.</w:t>
      </w:r>
    </w:p>
    <w:p>
      <w:pPr>
        <w:pStyle w:val="ListNumber"/>
        <w:ind w:left="360" w:hanging="180"/>
        <w:spacing w:before="0" w:after="40"/>
      </w:pPr>
      <w:r>
        <w:rPr>
          <w:rFonts w:ascii="Arial" w:hAnsi="Arial"/>
          <w:color w:val="404040"/>
          <w:sz w:val="22"/>
        </w:rPr>
        <w:t>Programar 2 correos recordatorios (obligatorio).</w:t>
      </w:r>
    </w:p>
    <w:p>
      <w:pPr>
        <w:pStyle w:val="ListNumber"/>
        <w:ind w:left="360" w:hanging="180"/>
        <w:spacing w:before="0" w:after="40"/>
      </w:pPr>
      <w:r>
        <w:rPr>
          <w:rFonts w:ascii="Arial" w:hAnsi="Arial"/>
          <w:color w:val="404040"/>
          <w:sz w:val="22"/>
        </w:rPr>
        <w:t>Actualizar la etiqueta del correo a "Agendado".</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11.  RECORDATORIOS Y SEGUIMIENTO</w:t>
            </w:r>
          </w:p>
          <w:p>
            <w:pPr>
              <w:spacing w:before="0" w:after="0"/>
            </w:pPr>
            <w:r>
              <w:rPr>
                <w:rFonts w:ascii="Arial" w:hAnsi="Arial"/>
                <w:i/>
                <w:color w:val="D0E4F7"/>
                <w:sz w:val="22"/>
              </w:rPr>
              <w:t>Garantizá que la reunión se realice</w:t>
            </w:r>
          </w:p>
        </w:tc>
      </w:tr>
    </w:tbl>
    <w:p/>
    <w:p>
      <w:pPr>
        <w:spacing w:before="180" w:after="60"/>
        <w:pBdr>
          <w:bottom w:val="single" w:sz="6" w:space="1" w:color="2E75B6"/>
        </w:pBdr>
      </w:pPr>
      <w:r>
        <w:rPr>
          <w:rFonts w:ascii="Arial" w:hAnsi="Arial"/>
          <w:b/>
          <w:color w:val="1E4B8F"/>
          <w:sz w:val="28"/>
        </w:rPr>
        <w:t>11.1  Programar Recordatorios</w:t>
      </w:r>
    </w:p>
    <w:p>
      <w:pPr>
        <w:spacing w:before="0" w:after="60"/>
      </w:pPr>
      <w:r>
        <w:rPr>
          <w:rFonts w:ascii="Arial" w:hAnsi="Arial"/>
          <w:color w:val="404040"/>
          <w:sz w:val="22"/>
        </w:rPr>
        <w:t xml:space="preserve">Programar 2 correos recordatorios es una </w:t>
      </w:r>
      <w:r>
        <w:rPr>
          <w:rFonts w:ascii="Arial" w:hAnsi="Arial"/>
          <w:b/>
          <w:color w:val="404040"/>
          <w:sz w:val="22"/>
        </w:rPr>
        <w:t>estrategia clave y obligatoria.</w:t>
      </w:r>
      <w:r>
        <w:rPr>
          <w:rFonts w:ascii="Arial" w:hAnsi="Arial"/>
          <w:color w:val="404040"/>
          <w:sz w:val="22"/>
        </w:rPr>
        <w:t xml:space="preserve"> Te va a ayudar a tener un buen % de realización y un % bajo de No Show.</w:t>
      </w:r>
    </w:p>
    <w:p>
      <w:pPr>
        <w:pStyle w:val="ListBullet"/>
        <w:ind w:left="360" w:hanging="180"/>
        <w:spacing w:before="0" w:after="40"/>
      </w:pPr>
      <w:r>
        <w:rPr>
          <w:rFonts w:ascii="Arial" w:hAnsi="Arial"/>
          <w:color w:val="404040"/>
          <w:sz w:val="22"/>
        </w:rPr>
        <w:t xml:space="preserve">🎥  </w:t>
      </w:r>
      <w:hyperlink r:id="rId42">
        <w:r>
          <w:rPr>
            <w:rStyle w:val="Hyperlink"/>
            <w:sz w:val="22"/>
            <w:szCs w:val="22"/>
          </w:rPr>
          <w:t>Video: cómo y cuándo programar recordatorios</w:t>
        </w:r>
      </w:hyperlink>
    </w:p>
    <w:p>
      <w:pPr>
        <w:spacing w:before="0" w:after="60"/>
      </w:pPr>
    </w:p>
    <w:p>
      <w:pPr>
        <w:spacing w:before="180" w:after="60"/>
        <w:pBdr>
          <w:bottom w:val="single" w:sz="6" w:space="1" w:color="2E75B6"/>
        </w:pBdr>
      </w:pPr>
      <w:r>
        <w:rPr>
          <w:rFonts w:ascii="Arial" w:hAnsi="Arial"/>
          <w:b/>
          <w:color w:val="1E4B8F"/>
          <w:sz w:val="28"/>
        </w:rPr>
        <w:t>11.2  Recordatorio Automático por WhatsApp</w:t>
      </w: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  Nueva funcionalidad: TGP envía automáticamente un mensaje de WhatsApp al prospecto 1 hora antes de la reunión (si tiene número cargado). Si la reunión fue agendada por teléfono, también se envía un mensaje de confirmación en el momento del agendamiento.</w:t>
            </w:r>
          </w:p>
        </w:tc>
      </w:tr>
    </w:tbl>
    <w:p>
      <w:pPr>
        <w:spacing w:before="0" w:after="120"/>
      </w:pPr>
    </w:p>
    <w:p>
      <w:pPr>
        <w:spacing w:before="0" w:after="60"/>
      </w:pPr>
      <w:r>
        <w:rPr>
          <w:rFonts w:ascii="Arial" w:hAnsi="Arial"/>
          <w:b/>
          <w:color w:val="404040"/>
          <w:sz w:val="22"/>
        </w:rPr>
        <w:t>Cadena de WhatsApp:</w:t>
      </w:r>
    </w:p>
    <w:p>
      <w:pPr>
        <w:pStyle w:val="ListBullet"/>
        <w:ind w:left="360" w:hanging="180"/>
        <w:spacing w:before="0" w:after="40"/>
      </w:pPr>
      <w:r>
        <w:rPr>
          <w:rFonts w:ascii="Arial" w:hAnsi="Arial"/>
          <w:color w:val="404040"/>
          <w:sz w:val="22"/>
        </w:rPr>
        <w:t>Al agendar por teléfono: se envía automáticamente un mensaje de confirmación al prospecto.</w:t>
      </w:r>
    </w:p>
    <w:p>
      <w:pPr>
        <w:pStyle w:val="ListBullet"/>
        <w:ind w:left="360" w:hanging="180"/>
        <w:spacing w:before="0" w:after="40"/>
      </w:pPr>
      <w:r>
        <w:rPr>
          <w:rFonts w:ascii="Arial" w:hAnsi="Arial"/>
          <w:color w:val="404040"/>
          <w:sz w:val="22"/>
        </w:rPr>
        <w:t>1 hora antes: TGP envía un recordatorio automático (si tiene número).</w:t>
      </w:r>
    </w:p>
    <w:p>
      <w:pPr>
        <w:pStyle w:val="ListBullet"/>
        <w:ind w:left="360" w:hanging="180"/>
        <w:spacing w:before="0" w:after="40"/>
      </w:pPr>
      <w:r>
        <w:rPr>
          <w:rFonts w:ascii="Arial" w:hAnsi="Arial"/>
          <w:color w:val="404040"/>
          <w:sz w:val="22"/>
        </w:rPr>
        <w:t>Si el prospecto responde: te llega una notificación en tu canal de No Show del pod en Slack. Podés responderle directamente desde Slack.</w:t>
      </w: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8" w:space="0" w:color="2E75B6"/>
              <w:left w:val="single" w:sz="8" w:space="0" w:color="2E75B6"/>
              <w:bottom w:val="single" w:sz="8" w:space="0" w:color="2E75B6"/>
              <w:right w:val="single" w:sz="8" w:space="0" w:color="2E75B6"/>
            </w:tcBorders>
            <w:tcMar>
              <w:top w:w="120" w:type="dxa"/>
              <w:bottom w:w="120" w:type="dxa"/>
              <w:left w:w="200" w:type="dxa"/>
              <w:right w:w="200" w:type="dxa"/>
            </w:tcMar>
          </w:tcPr>
          <w:p>
            <w:pPr>
              <w:spacing w:before="0" w:after="60"/>
            </w:pPr>
            <w:r>
              <w:rPr>
                <w:rFonts w:ascii="Arial" w:hAnsi="Arial"/>
                <w:b/>
                <w:color w:val="2E75B6"/>
                <w:sz w:val="22"/>
              </w:rPr>
              <w:t>🔔  Estate atento/a al canal de No Show de tu pod.</w:t>
            </w:r>
          </w:p>
          <w:p>
            <w:pPr>
              <w:spacing w:before="0" w:after="0"/>
            </w:pPr>
            <w:r>
              <w:rPr>
                <w:rFonts w:ascii="Arial" w:hAnsi="Arial"/>
                <w:color w:val="404040"/>
                <w:sz w:val="22"/>
              </w:rPr>
              <w:t>Una respuesta rápida puede salvar una reunión de caerse.</w:t>
            </w:r>
          </w:p>
        </w:tc>
      </w:tr>
    </w:tbl>
    <w:p>
      <w:pPr>
        <w:spacing w:before="0" w:after="120"/>
      </w:pPr>
    </w:p>
    <w:p>
      <w:pPr>
        <w:spacing w:before="180" w:after="60"/>
        <w:pBdr>
          <w:bottom w:val="single" w:sz="6" w:space="1" w:color="2E75B6"/>
        </w:pBdr>
      </w:pPr>
      <w:r>
        <w:rPr>
          <w:rFonts w:ascii="Arial" w:hAnsi="Arial"/>
          <w:b/>
          <w:color w:val="1E4B8F"/>
          <w:sz w:val="28"/>
        </w:rPr>
        <w:t>11.3  Manejo del No Show</w:t>
      </w:r>
    </w:p>
    <w:tbl>
      <w:tblPr>
        <w:tblW w:type="auto" w:w="0"/>
        <w:tblLook w:firstColumn="1" w:firstRow="1" w:lastColumn="0" w:lastRow="0" w:noHBand="0" w:noVBand="1" w:val="04A0"/>
        <w:tblW w:w="9360" w:type="dxa"/>
      </w:tblPr>
      <w:tblGrid>
        <w:gridCol w:w="9360"/>
      </w:tblGrid>
      <w:tr>
        <w:tc>
          <w:tcPr>
            <w:tcW w:type="dxa" w:w="9360"/>
            <w:tcW w:w="9360" w:type="dxa"/>
            <w:shd w:val="clear" w:color="auto" w:fill="FFF8E1"/>
            <w:tcBorders>
              <w:top w:val="single" w:sz="8" w:space="0" w:color="E65100"/>
              <w:left w:val="single" w:sz="8" w:space="0" w:color="E65100"/>
              <w:bottom w:val="single" w:sz="8" w:space="0" w:color="E65100"/>
              <w:right w:val="single" w:sz="8" w:space="0" w:color="E65100"/>
            </w:tcBorders>
            <w:tcMar>
              <w:top w:w="120" w:type="dxa"/>
              <w:bottom w:w="120" w:type="dxa"/>
              <w:left w:w="200" w:type="dxa"/>
              <w:right w:w="200" w:type="dxa"/>
            </w:tcMar>
          </w:tcPr>
          <w:p>
            <w:pPr>
              <w:spacing w:before="0" w:after="60"/>
            </w:pPr>
            <w:r>
              <w:rPr>
                <w:rFonts w:ascii="Arial" w:hAnsi="Arial"/>
                <w:b/>
                <w:color w:val="E65100"/>
                <w:sz w:val="22"/>
              </w:rPr>
              <w:t>🔴  Importante:</w:t>
            </w:r>
          </w:p>
          <w:p>
            <w:pPr>
              <w:spacing w:before="0" w:after="0"/>
            </w:pPr>
            <w:r>
              <w:rPr>
                <w:rFonts w:ascii="Arial" w:hAnsi="Arial"/>
                <w:color w:val="404040"/>
                <w:sz w:val="22"/>
              </w:rPr>
              <w:t>Si el prospecto no se presenta y la reunión no se realiza, se considera un No Show y hay que reagendarla inmediatamente. Si la reunión no se realiza no puede ser válida. Si no es válida no puede convertirse en comisión. El SDR es responsable tanto del agendamiento como del seguimiento.</w:t>
            </w:r>
          </w:p>
        </w:tc>
      </w:tr>
    </w:tbl>
    <w:p>
      <w:pPr>
        <w:spacing w:before="0" w:after="120"/>
      </w:pPr>
    </w:p>
    <w:p>
      <w:pPr>
        <w:spacing w:before="0" w:after="60"/>
      </w:pPr>
      <w:r>
        <w:rPr>
          <w:rFonts w:ascii="Arial" w:hAnsi="Arial"/>
          <w:color w:val="404040"/>
          <w:sz w:val="22"/>
        </w:rPr>
        <w:t>Lo que hacen los SDRs con mayor % de realización:</w:t>
      </w:r>
    </w:p>
    <w:p>
      <w:pPr>
        <w:pStyle w:val="ListBullet"/>
        <w:ind w:left="360" w:hanging="180"/>
        <w:spacing w:before="0" w:after="40"/>
      </w:pPr>
      <w:r>
        <w:rPr>
          <w:rFonts w:ascii="Arial" w:hAnsi="Arial"/>
          <w:color w:val="404040"/>
          <w:sz w:val="22"/>
        </w:rPr>
        <w:t>Llamado preventivo: llaman al prospecto 20 minutos antes de cada reunión para confirmar asistencia. Si no va a conectarse, ahí mismo reagendan.</w:t>
      </w:r>
    </w:p>
    <w:p>
      <w:pPr>
        <w:pStyle w:val="ListBullet"/>
        <w:ind w:left="360" w:hanging="180"/>
        <w:spacing w:before="0" w:after="40"/>
      </w:pPr>
      <w:r>
        <w:rPr>
          <w:rFonts w:ascii="Arial" w:hAnsi="Arial"/>
          <w:color w:val="404040"/>
          <w:sz w:val="22"/>
        </w:rPr>
        <w:t>Ponen alarma a la hora de la reunión y entran a la sala de espera de Google Meet.</w:t>
      </w:r>
    </w:p>
    <w:p>
      <w:pPr>
        <w:pStyle w:val="ListBullet"/>
        <w:ind w:left="360" w:hanging="180"/>
        <w:spacing w:before="0" w:after="40"/>
      </w:pPr>
      <w:r>
        <w:rPr>
          <w:rFonts w:ascii="Arial" w:hAnsi="Arial"/>
          <w:color w:val="404040"/>
          <w:sz w:val="22"/>
        </w:rPr>
        <w:t>Cuando tienen un No Show, llaman inmediatamente al prospecto y reagendan.</w:t>
      </w: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12.  HERRAMIENTAS ADICIONALES</w:t>
            </w:r>
          </w:p>
          <w:p>
            <w:pPr>
              <w:spacing w:before="0" w:after="0"/>
            </w:pPr>
            <w:r>
              <w:rPr>
                <w:rFonts w:ascii="Arial" w:hAnsi="Arial"/>
                <w:i/>
                <w:color w:val="D0E4F7"/>
                <w:sz w:val="22"/>
              </w:rPr>
              <w:t>Apollo, Lusha, varita mágica y más</w:t>
            </w:r>
          </w:p>
        </w:tc>
      </w:tr>
    </w:tbl>
    <w:p/>
    <w:p>
      <w:pPr>
        <w:spacing w:before="180" w:after="60"/>
        <w:pBdr>
          <w:bottom w:val="single" w:sz="6" w:space="1" w:color="2E75B6"/>
        </w:pBdr>
      </w:pPr>
      <w:r>
        <w:rPr>
          <w:rFonts w:ascii="Arial" w:hAnsi="Arial"/>
          <w:b/>
          <w:color w:val="1E4B8F"/>
          <w:sz w:val="28"/>
        </w:rPr>
        <w:t>12.1  Correos Snov (wsn / snv / snw)</w:t>
      </w:r>
    </w:p>
    <w:p>
      <w:pPr>
        <w:spacing w:before="0" w:after="60"/>
      </w:pPr>
      <w:r>
        <w:rPr>
          <w:rFonts w:ascii="Arial" w:hAnsi="Arial"/>
          <w:color w:val="404040"/>
          <w:sz w:val="22"/>
        </w:rPr>
        <w:t>En tus bandejas van a aparecer correos en inglés sin sentido con la palabra "wsn" en el asunto. Son correos de Snov, una plataforma de prospección. Son muchos y muy seguidos.</w:t>
      </w:r>
    </w:p>
    <w:p>
      <w:pPr>
        <w:pStyle w:val="ListBullet"/>
        <w:ind w:left="360" w:hanging="180"/>
        <w:spacing w:before="0" w:after="40"/>
      </w:pPr>
      <w:r>
        <w:rPr>
          <w:rFonts w:ascii="Arial" w:hAnsi="Arial"/>
          <w:color w:val="404040"/>
          <w:sz w:val="22"/>
        </w:rPr>
        <w:t xml:space="preserve">🎥  </w:t>
      </w:r>
      <w:hyperlink r:id="rId43">
        <w:r>
          <w:rPr>
            <w:rStyle w:val="Hyperlink"/>
            <w:sz w:val="22"/>
            <w:szCs w:val="22"/>
          </w:rPr>
          <w:t>Video: Correos Snov — cómo manejarlos</w:t>
        </w:r>
      </w:hyperlink>
    </w:p>
    <w:tbl>
      <w:tblPr>
        <w:tblW w:type="auto" w:w="0"/>
        <w:tblLook w:firstColumn="1" w:firstRow="1" w:lastColumn="0" w:lastRow="0" w:noHBand="0" w:noVBand="1" w:val="04A0"/>
        <w:tblW w:w="9360" w:type="dxa"/>
      </w:tblPr>
      <w:tblGrid>
        <w:gridCol w:w="9360"/>
      </w:tblGrid>
      <w:tr>
        <w:tc>
          <w:tcPr>
            <w:tcW w:type="dxa" w:w="9360"/>
            <w:tcW w:w="9360" w:type="dxa"/>
            <w:shd w:val="clear" w:color="auto" w:fill="E8F5E9"/>
            <w:tcBorders>
              <w:top w:val="single" w:sz="6" w:space="0" w:color="2E7D32"/>
              <w:left w:val="single" w:sz="6" w:space="0" w:color="2E7D32"/>
              <w:bottom w:val="single" w:sz="6" w:space="0" w:color="2E7D32"/>
              <w:right w:val="single" w:sz="6" w:space="0" w:color="2E7D32"/>
            </w:tcBorders>
            <w:tcMar>
              <w:top w:w="100" w:type="dxa"/>
              <w:bottom w:w="100" w:type="dxa"/>
              <w:left w:w="180" w:type="dxa"/>
              <w:right w:w="180" w:type="dxa"/>
            </w:tcMar>
          </w:tcPr>
          <w:p>
            <w:pPr>
              <w:spacing w:before="0" w:after="0"/>
            </w:pPr>
            <w:r>
              <w:rPr>
                <w:rFonts w:ascii="Arial" w:hAnsi="Arial"/>
                <w:color w:val="404040"/>
                <w:sz w:val="22"/>
              </w:rPr>
              <w:t>✅  Podés archivarlos o eliminarlos directamente. No necesitás hacer nada con ellos.</w:t>
            </w:r>
          </w:p>
        </w:tc>
      </w:tr>
    </w:tbl>
    <w:p>
      <w:pPr>
        <w:spacing w:before="0" w:after="120"/>
      </w:pPr>
    </w:p>
    <w:p>
      <w:pPr>
        <w:spacing w:before="180" w:after="60"/>
        <w:pBdr>
          <w:bottom w:val="single" w:sz="6" w:space="1" w:color="2E75B6"/>
        </w:pBdr>
      </w:pPr>
      <w:r>
        <w:rPr>
          <w:rFonts w:ascii="Arial" w:hAnsi="Arial"/>
          <w:b/>
          <w:color w:val="1E4B8F"/>
          <w:sz w:val="28"/>
        </w:rPr>
        <w:t>12.2  Correos que Rebotan por Error</w:t>
      </w:r>
    </w:p>
    <w:p>
      <w:pPr>
        <w:spacing w:before="0" w:after="60"/>
      </w:pPr>
      <w:r>
        <w:rPr>
          <w:rFonts w:ascii="Arial" w:hAnsi="Arial"/>
          <w:color w:val="404040"/>
          <w:sz w:val="22"/>
        </w:rPr>
        <w:t>Hay secuencias o correos que rebotan con mensajes de error por diferentes razones. No hay nada que hacer con ellos — no vale la pena seguir intentando. Hay que sacarlos de recibidos.</w:t>
      </w:r>
    </w:p>
    <w:p>
      <w:pPr>
        <w:pStyle w:val="ListBullet"/>
        <w:ind w:left="360" w:hanging="180"/>
        <w:spacing w:before="0" w:after="40"/>
      </w:pPr>
      <w:r>
        <w:rPr>
          <w:rFonts w:ascii="Arial" w:hAnsi="Arial"/>
          <w:color w:val="404040"/>
          <w:sz w:val="22"/>
        </w:rPr>
        <w:t xml:space="preserve">🎥  </w:t>
      </w:r>
      <w:hyperlink r:id="rId44">
        <w:r>
          <w:rPr>
            <w:rStyle w:val="Hyperlink"/>
            <w:sz w:val="22"/>
            <w:szCs w:val="22"/>
          </w:rPr>
          <w:t>Video: Correos error — rebotes</w:t>
        </w:r>
      </w:hyperlink>
    </w:p>
    <w:tbl>
      <w:tblPr>
        <w:tblW w:type="auto" w:w="0"/>
        <w:tblLook w:firstColumn="1" w:firstRow="1" w:lastColumn="0" w:lastRow="0" w:noHBand="0" w:noVBand="1" w:val="04A0"/>
        <w:tblW w:w="9360" w:type="dxa"/>
      </w:tblPr>
      <w:tblGrid>
        <w:gridCol w:w="9360"/>
      </w:tblGrid>
      <w:tr>
        <w:tc>
          <w:tcPr>
            <w:tcW w:type="dxa" w:w="9360"/>
            <w:tcW w:w="9360" w:type="dxa"/>
            <w:shd w:val="clear" w:color="auto" w:fill="E8F5E9"/>
            <w:tcBorders>
              <w:top w:val="single" w:sz="6" w:space="0" w:color="2E7D32"/>
              <w:left w:val="single" w:sz="6" w:space="0" w:color="2E7D32"/>
              <w:bottom w:val="single" w:sz="6" w:space="0" w:color="2E7D32"/>
              <w:right w:val="single" w:sz="6" w:space="0" w:color="2E7D32"/>
            </w:tcBorders>
            <w:tcMar>
              <w:top w:w="100" w:type="dxa"/>
              <w:bottom w:w="100" w:type="dxa"/>
              <w:left w:w="180" w:type="dxa"/>
              <w:right w:w="180" w:type="dxa"/>
            </w:tcMar>
          </w:tcPr>
          <w:p>
            <w:pPr>
              <w:spacing w:before="0" w:after="0"/>
            </w:pPr>
            <w:r>
              <w:rPr>
                <w:rFonts w:ascii="Arial" w:hAnsi="Arial"/>
                <w:color w:val="404040"/>
                <w:sz w:val="22"/>
              </w:rPr>
              <w:t>✅  Podés archivarlos directamente.</w:t>
            </w:r>
          </w:p>
        </w:tc>
      </w:tr>
    </w:tbl>
    <w:p>
      <w:pPr>
        <w:spacing w:before="0" w:after="120"/>
      </w:pPr>
    </w:p>
    <w:p>
      <w:pPr>
        <w:spacing w:before="180" w:after="60"/>
        <w:pBdr>
          <w:bottom w:val="single" w:sz="6" w:space="1" w:color="2E75B6"/>
        </w:pBdr>
      </w:pPr>
      <w:r>
        <w:rPr>
          <w:rFonts w:ascii="Arial" w:hAnsi="Arial"/>
          <w:b/>
          <w:color w:val="1E4B8F"/>
          <w:sz w:val="28"/>
        </w:rPr>
        <w:t>12.3  Varita Mágica (IA en Gmail) ✨</w:t>
      </w:r>
    </w:p>
    <w:p>
      <w:pPr>
        <w:spacing w:before="0" w:after="60"/>
      </w:pPr>
      <w:r>
        <w:rPr>
          <w:rFonts w:ascii="Arial" w:hAnsi="Arial"/>
          <w:color w:val="404040"/>
          <w:sz w:val="22"/>
        </w:rPr>
        <w:t>En las bandejas de Gmail hay una varita mágica que usa inteligencia artificial para ayudarte a redactar mejores correos.</w:t>
      </w:r>
    </w:p>
    <w:tbl>
      <w:tblPr>
        <w:tblW w:type="auto" w:w="0"/>
        <w:tblLook w:firstColumn="1" w:firstRow="1" w:lastColumn="0" w:lastRow="0" w:noHBand="0" w:noVBand="1" w:val="04A0"/>
        <w:tblW w:w="9360" w:type="dxa"/>
      </w:tblPr>
      <w:tblGrid>
        <w:gridCol w:w="9360"/>
      </w:tblGrid>
      <w:tr>
        <w:tc>
          <w:tcPr>
            <w:tcW w:type="dxa" w:w="9360"/>
            <w:tcW w:w="9360" w:type="dxa"/>
            <w:shd w:val="clear" w:color="auto" w:fill="FFF8E1"/>
            <w:tcBorders>
              <w:top w:val="single" w:sz="8" w:space="0" w:color="E65100"/>
              <w:left w:val="single" w:sz="8" w:space="0" w:color="E65100"/>
              <w:bottom w:val="single" w:sz="8" w:space="0" w:color="E65100"/>
              <w:right w:val="single" w:sz="8" w:space="0" w:color="E65100"/>
            </w:tcBorders>
            <w:tcMar>
              <w:top w:w="120" w:type="dxa"/>
              <w:bottom w:w="120" w:type="dxa"/>
              <w:left w:w="200" w:type="dxa"/>
              <w:right w:w="200" w:type="dxa"/>
            </w:tcMar>
          </w:tcPr>
          <w:p>
            <w:pPr>
              <w:spacing w:before="0" w:after="60"/>
            </w:pPr>
            <w:r>
              <w:rPr>
                <w:rFonts w:ascii="Arial" w:hAnsi="Arial"/>
                <w:b/>
                <w:color w:val="E65100"/>
                <w:sz w:val="22"/>
              </w:rPr>
              <w:t>⚠️  Usala con cuidado:</w:t>
            </w:r>
          </w:p>
          <w:p>
            <w:pPr>
              <w:spacing w:before="0" w:after="0"/>
            </w:pPr>
            <w:r>
              <w:rPr>
                <w:rFonts w:ascii="Arial" w:hAnsi="Arial"/>
                <w:color w:val="404040"/>
                <w:sz w:val="22"/>
              </w:rPr>
              <w:t>Siempre tiene que pasar por la mano y el criterio humano antes de enviarse. Revisá siempre el resultado antes de mandar.</w:t>
            </w:r>
          </w:p>
        </w:tc>
      </w:tr>
    </w:tbl>
    <w:p>
      <w:pPr>
        <w:spacing w:before="0" w:after="120"/>
      </w:pPr>
    </w:p>
    <w:p>
      <w:pPr>
        <w:pStyle w:val="ListBullet"/>
        <w:ind w:left="360" w:hanging="180"/>
        <w:spacing w:before="0" w:after="40"/>
      </w:pPr>
      <w:r>
        <w:rPr>
          <w:rFonts w:ascii="Arial" w:hAnsi="Arial"/>
          <w:color w:val="404040"/>
          <w:sz w:val="22"/>
        </w:rPr>
        <w:t xml:space="preserve">🎥  </w:t>
      </w:r>
      <w:hyperlink r:id="rId45">
        <w:r>
          <w:rPr>
            <w:rStyle w:val="Hyperlink"/>
            <w:sz w:val="22"/>
            <w:szCs w:val="22"/>
          </w:rPr>
          <w:t>Video: cómo usar la Varita Mágica</w:t>
        </w:r>
      </w:hyperlink>
    </w:p>
    <w:p>
      <w:pPr>
        <w:spacing w:before="180" w:after="60"/>
        <w:pBdr>
          <w:bottom w:val="single" w:sz="6" w:space="1" w:color="2E75B6"/>
        </w:pBdr>
      </w:pPr>
      <w:r>
        <w:rPr>
          <w:rFonts w:ascii="Arial" w:hAnsi="Arial"/>
          <w:b/>
          <w:color w:val="1E4B8F"/>
          <w:sz w:val="28"/>
        </w:rPr>
        <w:t>12.4  Scrapear Correos y Teléfonos (Apollo y Lusha)</w:t>
      </w:r>
    </w:p>
    <w:p>
      <w:pPr>
        <w:spacing w:before="0" w:after="60"/>
      </w:pPr>
      <w:r>
        <w:rPr>
          <w:rFonts w:ascii="Arial" w:hAnsi="Arial"/>
          <w:color w:val="404040"/>
          <w:sz w:val="22"/>
        </w:rPr>
        <w:t>En TGP usamos dos plataformas para encontrar teléfonos y correos de prospectos cuando el prospecto no los da o no están en la firma del correo.</w:t>
      </w:r>
    </w:p>
    <w:p>
      <w:pPr>
        <w:spacing w:before="0" w:after="60"/>
      </w:pPr>
      <w:r>
        <w:rPr>
          <w:rFonts w:ascii="Arial" w:hAnsi="Arial"/>
          <w:color w:val="404040"/>
          <w:sz w:val="22"/>
        </w:rPr>
        <w:t>Instalá ambas extensiones mientras ves los videos:</w:t>
      </w:r>
    </w:p>
    <w:p>
      <w:pPr>
        <w:pStyle w:val="ListBullet"/>
        <w:ind w:left="360" w:hanging="180"/>
        <w:spacing w:before="0" w:after="40"/>
      </w:pPr>
      <w:r>
        <w:rPr>
          <w:rFonts w:ascii="Arial" w:hAnsi="Arial"/>
          <w:color w:val="404040"/>
          <w:sz w:val="22"/>
        </w:rPr>
        <w:t xml:space="preserve">🎥  </w:t>
      </w:r>
      <w:hyperlink r:id="rId46">
        <w:r>
          <w:rPr>
            <w:rStyle w:val="Hyperlink"/>
            <w:sz w:val="22"/>
            <w:szCs w:val="22"/>
          </w:rPr>
          <w:t>Apollo — acceso, instalación y uso básico</w:t>
        </w:r>
      </w:hyperlink>
    </w:p>
    <w:p>
      <w:pPr>
        <w:pStyle w:val="ListBullet"/>
        <w:ind w:left="360" w:hanging="180"/>
        <w:spacing w:before="0" w:after="40"/>
      </w:pPr>
      <w:r>
        <w:rPr>
          <w:rFonts w:ascii="Arial" w:hAnsi="Arial"/>
          <w:color w:val="404040"/>
          <w:sz w:val="22"/>
        </w:rPr>
        <w:t xml:space="preserve">🎥  </w:t>
      </w:r>
      <w:hyperlink r:id="rId47">
        <w:r>
          <w:rPr>
            <w:rStyle w:val="Hyperlink"/>
            <w:sz w:val="22"/>
            <w:szCs w:val="22"/>
          </w:rPr>
          <w:t>Lusha — acceso, instalación y uso básico</w:t>
        </w:r>
      </w:hyperlink>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6" w:space="0" w:color="2E75B6"/>
              <w:left w:val="single" w:sz="6" w:space="0" w:color="2E75B6"/>
              <w:bottom w:val="single" w:sz="6" w:space="0" w:color="2E75B6"/>
              <w:right w:val="single" w:sz="6" w:space="0" w:color="2E75B6"/>
            </w:tcBorders>
            <w:tcMar>
              <w:top w:w="100" w:type="dxa"/>
              <w:bottom w:w="100" w:type="dxa"/>
              <w:left w:w="180" w:type="dxa"/>
              <w:right w:w="180" w:type="dxa"/>
            </w:tcMar>
          </w:tcPr>
          <w:p>
            <w:pPr>
              <w:spacing w:before="0" w:after="0"/>
            </w:pPr>
            <w:r>
              <w:rPr>
                <w:rFonts w:ascii="Arial" w:hAnsi="Arial"/>
                <w:color w:val="404040"/>
                <w:sz w:val="22"/>
              </w:rPr>
              <w:t>Si Lusha no te deja ingresar por cupo máximo de dominios, no te preocupes. Solo con Apollo podés obtener muchos contactos.</w:t>
            </w:r>
          </w:p>
        </w:tc>
      </w:tr>
    </w:tbl>
    <w:p>
      <w:pPr>
        <w:spacing w:before="0" w:after="120"/>
      </w:pPr>
    </w:p>
    <w:p>
      <w:pPr>
        <w:spacing w:before="180" w:after="60"/>
        <w:pBdr>
          <w:bottom w:val="single" w:sz="6" w:space="1" w:color="2E75B6"/>
        </w:pBdr>
      </w:pPr>
      <w:r>
        <w:rPr>
          <w:rFonts w:ascii="Arial" w:hAnsi="Arial"/>
          <w:b/>
          <w:color w:val="1E4B8F"/>
          <w:sz w:val="28"/>
        </w:rPr>
        <w:t>12.5  Obtener Número de Empleados de una Empresa</w:t>
      </w:r>
    </w:p>
    <w:p>
      <w:pPr>
        <w:spacing w:before="0" w:after="60"/>
      </w:pPr>
      <w:r>
        <w:rPr>
          <w:rFonts w:ascii="Arial" w:hAnsi="Arial"/>
          <w:color w:val="404040"/>
          <w:sz w:val="22"/>
        </w:rPr>
        <w:t>Hay clientes que tienen como criterio de validación que la empresa prospecto cumpla con cierto número de empleados. Usá estos recursos para verificarlo:</w:t>
      </w:r>
    </w:p>
    <w:p>
      <w:pPr>
        <w:pStyle w:val="ListBullet"/>
        <w:ind w:left="360" w:hanging="180"/>
        <w:spacing w:before="0" w:after="40"/>
      </w:pPr>
      <w:r>
        <w:rPr>
          <w:rFonts w:ascii="Arial" w:hAnsi="Arial"/>
          <w:color w:val="404040"/>
          <w:sz w:val="22"/>
        </w:rPr>
        <w:t xml:space="preserve">🎥  </w:t>
      </w:r>
      <w:hyperlink r:id="rId48">
        <w:r>
          <w:rPr>
            <w:rStyle w:val="Hyperlink"/>
            <w:sz w:val="22"/>
            <w:szCs w:val="22"/>
          </w:rPr>
          <w:t>Video: empleados de una empresa</w:t>
        </w:r>
      </w:hyperlink>
    </w:p>
    <w:p>
      <w:pPr>
        <w:pStyle w:val="ListBullet"/>
        <w:ind w:left="360" w:hanging="180"/>
        <w:spacing w:before="0" w:after="40"/>
      </w:pPr>
      <w:r>
        <w:rPr>
          <w:rFonts w:ascii="Arial" w:hAnsi="Arial"/>
          <w:color w:val="404040"/>
          <w:sz w:val="22"/>
        </w:rPr>
        <w:t xml:space="preserve">🎥  </w:t>
      </w:r>
      <w:hyperlink r:id="rId49">
        <w:r>
          <w:rPr>
            <w:rStyle w:val="Hyperlink"/>
            <w:sz w:val="22"/>
            <w:szCs w:val="22"/>
          </w:rPr>
          <w:t>Video: empleados por país</w:t>
        </w:r>
      </w:hyperlink>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13.  TAREAS DEL ONBOARDING</w:t>
            </w:r>
          </w:p>
          <w:p>
            <w:pPr>
              <w:spacing w:before="0" w:after="0"/>
            </w:pPr>
            <w:r>
              <w:rPr>
                <w:rFonts w:ascii="Arial" w:hAnsi="Arial"/>
                <w:i/>
                <w:color w:val="D0E4F7"/>
                <w:sz w:val="22"/>
              </w:rPr>
              <w:t>Práctica y acción desde el primer día</w:t>
            </w:r>
          </w:p>
        </w:tc>
      </w:tr>
    </w:tbl>
    <w:p/>
    <w:p>
      <w:pPr>
        <w:spacing w:before="180" w:after="60"/>
        <w:pBdr>
          <w:bottom w:val="single" w:sz="6" w:space="1" w:color="2E75B6"/>
        </w:pBdr>
      </w:pPr>
      <w:r>
        <w:rPr>
          <w:rFonts w:ascii="Arial" w:hAnsi="Arial"/>
          <w:b/>
          <w:color w:val="1E4B8F"/>
          <w:sz w:val="28"/>
        </w:rPr>
        <w:t>13.1  Tarea 1 — Estudiar Clientes Asignados (Día 1)</w:t>
      </w:r>
    </w:p>
    <w:p>
      <w:pPr>
        <w:spacing w:before="0" w:after="60"/>
      </w:pPr>
      <w:r>
        <w:rPr>
          <w:rFonts w:ascii="Arial" w:hAnsi="Arial"/>
          <w:color w:val="404040"/>
          <w:sz w:val="22"/>
        </w:rPr>
        <w:t>Ver Sección 6.4 para el detalle completo.</w:t>
      </w: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8" w:space="0" w:color="2E75B6"/>
              <w:left w:val="single" w:sz="8" w:space="0" w:color="2E75B6"/>
              <w:bottom w:val="single" w:sz="8" w:space="0" w:color="2E75B6"/>
              <w:right w:val="single" w:sz="8" w:space="0" w:color="2E75B6"/>
            </w:tcBorders>
            <w:tcMar>
              <w:top w:w="120" w:type="dxa"/>
              <w:bottom w:w="120" w:type="dxa"/>
              <w:left w:w="200" w:type="dxa"/>
              <w:right w:w="200" w:type="dxa"/>
            </w:tcMar>
          </w:tcPr>
          <w:p>
            <w:pPr>
              <w:spacing w:before="0" w:after="60"/>
            </w:pPr>
            <w:r>
              <w:rPr>
                <w:rFonts w:ascii="Arial" w:hAnsi="Arial"/>
                <w:b/>
                <w:color w:val="2E75B6"/>
                <w:sz w:val="22"/>
              </w:rPr>
              <w:t>📌  Objetivo:</w:t>
            </w:r>
          </w:p>
          <w:p>
            <w:pPr>
              <w:spacing w:before="0" w:after="0"/>
            </w:pPr>
            <w:r>
              <w:rPr>
                <w:rFonts w:ascii="Arial" w:hAnsi="Arial"/>
                <w:color w:val="404040"/>
                <w:sz w:val="22"/>
              </w:rPr>
              <w:t>Llegar preparado/a a la capacitación del Día 2. Antes de que te entreguen las bandejas, tenés que conocer bien los clientes con los que vas a trabajar.</w:t>
            </w:r>
          </w:p>
        </w:tc>
      </w:tr>
    </w:tbl>
    <w:p>
      <w:pPr>
        <w:spacing w:before="0" w:after="120"/>
      </w:pPr>
    </w:p>
    <w:p>
      <w:pPr>
        <w:spacing w:before="0" w:after="60"/>
      </w:pPr>
    </w:p>
    <w:p>
      <w:pPr>
        <w:spacing w:before="180" w:after="60"/>
        <w:pBdr>
          <w:bottom w:val="single" w:sz="6" w:space="1" w:color="2E75B6"/>
        </w:pBdr>
      </w:pPr>
      <w:r>
        <w:rPr>
          <w:rFonts w:ascii="Arial" w:hAnsi="Arial"/>
          <w:b/>
          <w:color w:val="1E4B8F"/>
          <w:sz w:val="28"/>
        </w:rPr>
        <w:t>13.2  Tarea 2 — Ordenar las Bandejas (Día 2)</w:t>
      </w:r>
    </w:p>
    <w:p>
      <w:pPr>
        <w:spacing w:before="0" w:after="60"/>
      </w:pPr>
      <w:r>
        <w:rPr>
          <w:rFonts w:ascii="Arial" w:hAnsi="Arial"/>
          <w:color w:val="404040"/>
          <w:sz w:val="22"/>
        </w:rPr>
        <w:t>Las bandejas que recibiste tienen trayectoria previa. Ahora son tu responsabilidad. El objetivo es dejarlas limpias, ordenadas y etiquetadas.</w:t>
      </w:r>
    </w:p>
    <w:p>
      <w:pPr>
        <w:spacing w:before="0" w:after="60"/>
      </w:pPr>
      <w:r>
        <w:rPr>
          <w:rFonts w:ascii="Arial" w:hAnsi="Arial"/>
          <w:color w:val="404040"/>
          <w:sz w:val="22"/>
        </w:rPr>
        <w:t>¿Qué hacer?</w:t>
      </w:r>
    </w:p>
    <w:p>
      <w:pPr>
        <w:pStyle w:val="ListBullet"/>
        <w:ind w:left="360" w:hanging="180"/>
        <w:spacing w:before="0" w:after="40"/>
      </w:pPr>
      <w:r>
        <w:rPr>
          <w:rFonts w:ascii="Arial" w:hAnsi="Arial"/>
          <w:color w:val="404040"/>
          <w:sz w:val="22"/>
        </w:rPr>
        <w:t>Revisá cada correo en recibidos.</w:t>
      </w:r>
    </w:p>
    <w:p>
      <w:pPr>
        <w:pStyle w:val="ListBullet"/>
        <w:ind w:left="360" w:hanging="180"/>
        <w:spacing w:before="0" w:after="40"/>
      </w:pPr>
      <w:r>
        <w:rPr>
          <w:rFonts w:ascii="Arial" w:hAnsi="Arial"/>
          <w:color w:val="404040"/>
          <w:sz w:val="22"/>
        </w:rPr>
        <w:t>Aplicá la etiqueta que corresponde.</w:t>
      </w:r>
    </w:p>
    <w:p>
      <w:pPr>
        <w:pStyle w:val="ListBullet"/>
        <w:ind w:left="360" w:hanging="180"/>
        <w:spacing w:before="0" w:after="40"/>
      </w:pPr>
      <w:r>
        <w:rPr>
          <w:rFonts w:ascii="Arial" w:hAnsi="Arial"/>
          <w:color w:val="404040"/>
          <w:sz w:val="22"/>
        </w:rPr>
        <w:t>Movés, archivás o eliminás según el estado (usá el esquema de manejo de bandejas).</w:t>
      </w:r>
    </w:p>
    <w:p>
      <w:pPr>
        <w:spacing w:before="0" w:after="60"/>
      </w:pPr>
      <w:r>
        <w:rPr>
          <w:rFonts w:ascii="Arial" w:hAnsi="Arial"/>
          <w:color w:val="404040"/>
          <w:sz w:val="22"/>
        </w:rPr>
        <w:t>Si tenés dudas, revisá el esquema o consultá a tu Senior.</w:t>
      </w:r>
    </w:p>
    <w:p>
      <w:pPr>
        <w:pStyle w:val="ListBullet"/>
        <w:ind w:left="360" w:hanging="180"/>
        <w:spacing w:before="0" w:after="40"/>
      </w:pPr>
      <w:r>
        <w:rPr>
          <w:rFonts w:ascii="Arial" w:hAnsi="Arial"/>
          <w:color w:val="404040"/>
          <w:sz w:val="22"/>
        </w:rPr>
        <w:t xml:space="preserve">📄  </w:t>
      </w:r>
      <w:hyperlink r:id="rId50">
        <w:r>
          <w:rPr>
            <w:rStyle w:val="Hyperlink"/>
            <w:sz w:val="22"/>
            <w:szCs w:val="22"/>
          </w:rPr>
          <w:t>Guía: Cómo ordenar las bandejas</w:t>
        </w:r>
      </w:hyperlink>
    </w:p>
    <w:p>
      <w:pPr>
        <w:spacing w:before="0" w:after="60"/>
      </w:pPr>
    </w:p>
    <w:p>
      <w:pPr>
        <w:spacing w:before="180" w:after="60"/>
        <w:pBdr>
          <w:bottom w:val="single" w:sz="6" w:space="1" w:color="2E75B6"/>
        </w:pBdr>
      </w:pPr>
      <w:r>
        <w:rPr>
          <w:rFonts w:ascii="Arial" w:hAnsi="Arial"/>
          <w:b/>
          <w:color w:val="1E4B8F"/>
          <w:sz w:val="28"/>
        </w:rPr>
        <w:t>13.3  Tarea 3 — Barrido en Todas las Bandejas (Día 2)</w:t>
      </w:r>
    </w:p>
    <w:p>
      <w:pPr>
        <w:spacing w:before="0" w:after="60"/>
      </w:pPr>
      <w:r>
        <w:rPr>
          <w:rFonts w:ascii="Arial" w:hAnsi="Arial"/>
          <w:color w:val="404040"/>
          <w:sz w:val="22"/>
        </w:rPr>
        <w:t>Después de ordenar las bandejas, hay que barrerlas. Implica sacar de recibidos los correos que ya no sirven (spam, snov/wsn/snv, correos de Google, secuencias sin respuesta, reuniones ya realizadas) Y hacerle push a cada correo de recibidos.</w:t>
      </w:r>
    </w:p>
    <w:p>
      <w:pPr>
        <w:spacing w:before="0" w:after="60"/>
      </w:pPr>
      <w:r>
        <w:rPr>
          <w:rFonts w:ascii="Arial" w:hAnsi="Arial"/>
          <w:color w:val="404040"/>
          <w:sz w:val="22"/>
        </w:rPr>
        <w:t>Proceso del barrido:</w:t>
      </w:r>
    </w:p>
    <w:p>
      <w:pPr>
        <w:pStyle w:val="ListNumber"/>
        <w:ind w:left="360" w:hanging="180"/>
        <w:spacing w:before="0" w:after="40"/>
      </w:pPr>
      <w:r>
        <w:rPr>
          <w:rFonts w:ascii="Arial" w:hAnsi="Arial"/>
          <w:color w:val="404040"/>
          <w:sz w:val="22"/>
        </w:rPr>
        <w:t>Ir al primer correo.</w:t>
      </w:r>
    </w:p>
    <w:p>
      <w:pPr>
        <w:pStyle w:val="ListNumber"/>
        <w:ind w:left="360" w:hanging="180"/>
        <w:spacing w:before="0" w:after="40"/>
      </w:pPr>
      <w:r>
        <w:rPr>
          <w:rFonts w:ascii="Arial" w:hAnsi="Arial"/>
          <w:color w:val="404040"/>
          <w:sz w:val="22"/>
        </w:rPr>
        <w:t>Leer la conversación.</w:t>
      </w:r>
    </w:p>
    <w:p>
      <w:pPr>
        <w:pStyle w:val="ListNumber"/>
        <w:ind w:left="360" w:hanging="180"/>
        <w:spacing w:before="0" w:after="40"/>
      </w:pPr>
      <w:r>
        <w:rPr>
          <w:rFonts w:ascii="Arial" w:hAnsi="Arial"/>
          <w:color w:val="404040"/>
          <w:sz w:val="22"/>
        </w:rPr>
        <w:t>Llamar en tibio y/o redactar un mensaje personalizado en el mismo hilo.</w:t>
      </w:r>
    </w:p>
    <w:p>
      <w:pPr>
        <w:pStyle w:val="ListNumber"/>
        <w:ind w:left="360" w:hanging="180"/>
        <w:spacing w:before="0" w:after="40"/>
      </w:pPr>
      <w:r>
        <w:rPr>
          <w:rFonts w:ascii="Arial" w:hAnsi="Arial"/>
          <w:color w:val="404040"/>
          <w:sz w:val="22"/>
        </w:rPr>
        <w:t>Enviarlo (o programarlo si no es buen horario).</w:t>
      </w:r>
    </w:p>
    <w:p>
      <w:pPr>
        <w:pStyle w:val="ListNumber"/>
        <w:ind w:left="360" w:hanging="180"/>
        <w:spacing w:before="0" w:after="40"/>
      </w:pPr>
      <w:r>
        <w:rPr>
          <w:rFonts w:ascii="Arial" w:hAnsi="Arial"/>
          <w:color w:val="404040"/>
          <w:sz w:val="22"/>
        </w:rPr>
        <w:t>Repetir con el resto de correos y el resto de las bandejas.</w:t>
      </w:r>
    </w:p>
    <w:tbl>
      <w:tblPr>
        <w:tblW w:type="auto" w:w="0"/>
        <w:tblLook w:firstColumn="1" w:firstRow="1" w:lastColumn="0" w:lastRow="0" w:noHBand="0" w:noVBand="1" w:val="04A0"/>
        <w:tblW w:w="9360" w:type="dxa"/>
      </w:tblPr>
      <w:tblGrid>
        <w:gridCol w:w="9360"/>
      </w:tblGrid>
      <w:tr>
        <w:tc>
          <w:tcPr>
            <w:tcW w:type="dxa" w:w="9360"/>
            <w:tcW w:w="9360" w:type="dxa"/>
            <w:shd w:val="clear" w:color="auto" w:fill="EBF3FA"/>
            <w:tcBorders>
              <w:top w:val="single" w:sz="8" w:space="0" w:color="2E75B6"/>
              <w:left w:val="single" w:sz="8" w:space="0" w:color="2E75B6"/>
              <w:bottom w:val="single" w:sz="8" w:space="0" w:color="2E75B6"/>
              <w:right w:val="single" w:sz="8" w:space="0" w:color="2E75B6"/>
            </w:tcBorders>
            <w:tcMar>
              <w:top w:w="120" w:type="dxa"/>
              <w:bottom w:w="120" w:type="dxa"/>
              <w:left w:w="200" w:type="dxa"/>
              <w:right w:w="200" w:type="dxa"/>
            </w:tcMar>
          </w:tcPr>
          <w:p>
            <w:pPr>
              <w:spacing w:before="0" w:after="60"/>
            </w:pPr>
            <w:r>
              <w:rPr>
                <w:rFonts w:ascii="Arial" w:hAnsi="Arial"/>
                <w:b/>
                <w:color w:val="2E75B6"/>
                <w:sz w:val="22"/>
              </w:rPr>
              <w:t>💡  Tip:</w:t>
            </w:r>
          </w:p>
          <w:p>
            <w:pPr>
              <w:spacing w:before="0" w:after="0"/>
            </w:pPr>
            <w:r>
              <w:rPr>
                <w:rFonts w:ascii="Arial" w:hAnsi="Arial"/>
                <w:color w:val="404040"/>
                <w:sz w:val="22"/>
              </w:rPr>
              <w:t>Si no es buen horario para llamar o enviar, dejá los correos programados.</w:t>
            </w:r>
          </w:p>
        </w:tc>
      </w:tr>
    </w:tbl>
    <w:p>
      <w:pPr>
        <w:spacing w:before="0" w:after="120"/>
      </w:pP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14.  DOCUMENTOS Y RECURSOS</w:t>
            </w:r>
          </w:p>
          <w:p>
            <w:pPr>
              <w:spacing w:before="0" w:after="0"/>
            </w:pPr>
            <w:r>
              <w:rPr>
                <w:rFonts w:ascii="Arial" w:hAnsi="Arial"/>
                <w:i/>
                <w:color w:val="D0E4F7"/>
                <w:sz w:val="22"/>
              </w:rPr>
              <w:t>Todo lo que necesitás a un click</w:t>
            </w:r>
          </w:p>
        </w:tc>
      </w:tr>
    </w:tbl>
    <w:p/>
    <w:p>
      <w:pPr>
        <w:spacing w:before="180" w:after="60"/>
        <w:pBdr>
          <w:bottom w:val="single" w:sz="6" w:space="1" w:color="2E75B6"/>
        </w:pBdr>
      </w:pPr>
      <w:r>
        <w:rPr>
          <w:rFonts w:ascii="Arial" w:hAnsi="Arial"/>
          <w:b/>
          <w:color w:val="1E4B8F"/>
          <w:sz w:val="28"/>
        </w:rPr>
        <w:t>14.1  Documentos Clave</w:t>
      </w:r>
    </w:p>
    <w:p>
      <w:pPr>
        <w:spacing w:before="0" w:after="60"/>
      </w:pPr>
      <w:r>
        <w:rPr>
          <w:rFonts w:ascii="Arial" w:hAnsi="Arial"/>
          <w:color w:val="404040"/>
          <w:sz w:val="22"/>
        </w:rPr>
        <w:t>A lo largo del onboarding vas a necesitar estos documentos. Asegurate de conocerlos y entenderlos bien.</w:t>
      </w:r>
    </w:p>
    <w:tbl>
      <w:tblPr>
        <w:tblW w:type="auto" w:w="0"/>
        <w:tblLook w:firstColumn="1" w:firstRow="1" w:lastColumn="0" w:lastRow="0" w:noHBand="0" w:noVBand="1" w:val="04A0"/>
        <w:tblW w:w="9360" w:type="dxa"/>
      </w:tblPr>
      <w:tblGrid>
        <w:gridCol w:w="4680"/>
        <w:gridCol w:w="4680"/>
      </w:tblGrid>
      <w:tr>
        <w:tc>
          <w:tcPr>
            <w:tcW w:type="dxa" w:w="4680"/>
            <w:tcW w:w="400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Recurso / Tema</w:t>
            </w:r>
          </w:p>
        </w:tc>
        <w:tc>
          <w:tcPr>
            <w:tcW w:type="dxa" w:w="4680"/>
            <w:tcW w:w="536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Link</w:t>
            </w:r>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Kit del Colaborador</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8">
              <w:r>
                <w:rPr>
                  <w:rStyle w:val="Hyperlink"/>
                  <w:sz w:val="20"/>
                  <w:szCs w:val="20"/>
                </w:rPr>
                <w:t>Abrir carpeta</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Kit de Ventas Clientes</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1">
              <w:r>
                <w:rPr>
                  <w:rStyle w:val="Hyperlink"/>
                  <w:sz w:val="20"/>
                  <w:szCs w:val="20"/>
                </w:rPr>
                <w:t>Abrir carpeta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Glosario TGP</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4">
              <w:r>
                <w:rPr>
                  <w:rStyle w:val="Hyperlink"/>
                  <w:sz w:val="20"/>
                  <w:szCs w:val="20"/>
                </w:rPr>
                <w:t>Ver glosario</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Guía de uso de Slack</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0">
              <w:r>
                <w:rPr>
                  <w:rStyle w:val="Hyperlink"/>
                  <w:sz w:val="20"/>
                  <w:szCs w:val="20"/>
                </w:rPr>
                <w:t>Ver guía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Esquema manejo de bandejas</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0">
              <w:r>
                <w:rPr>
                  <w:rStyle w:val="Hyperlink"/>
                  <w:sz w:val="20"/>
                  <w:szCs w:val="20"/>
                </w:rPr>
                <w:t>Ver esquema</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Guía uso de etiquetas</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1">
              <w:r>
                <w:rPr>
                  <w:rStyle w:val="Hyperlink"/>
                  <w:sz w:val="20"/>
                  <w:szCs w:val="20"/>
                </w:rPr>
                <w:t>Ver guía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Guía: Cómo hacer un push</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6">
              <w:r>
                <w:rPr>
                  <w:rStyle w:val="Hyperlink"/>
                  <w:sz w:val="20"/>
                  <w:szCs w:val="20"/>
                </w:rPr>
                <w:t>Ver guía</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Esquema de agendamiento</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9">
              <w:r>
                <w:rPr>
                  <w:rStyle w:val="Hyperlink"/>
                  <w:sz w:val="20"/>
                  <w:szCs w:val="20"/>
                </w:rPr>
                <w:t>Ver esquema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Instructivo App TGP</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9">
              <w:r>
                <w:rPr>
                  <w:rStyle w:val="Hyperlink"/>
                  <w:sz w:val="20"/>
                  <w:szCs w:val="20"/>
                </w:rPr>
                <w:t>Ver instructivo</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Guía: Cómo ordenar las bandejas</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0">
              <w:r>
                <w:rPr>
                  <w:rStyle w:val="Hyperlink"/>
                  <w:sz w:val="20"/>
                  <w:szCs w:val="20"/>
                </w:rPr>
                <w:t>Ver guía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Respuestas tipo (Seba)</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2">
              <w:r>
                <w:rPr>
                  <w:rStyle w:val="Hyperlink"/>
                  <w:sz w:val="20"/>
                  <w:szCs w:val="20"/>
                </w:rPr>
                <w:t>Ver documento</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Guía: Secuencias de correo</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7">
              <w:r>
                <w:rPr>
                  <w:rStyle w:val="Hyperlink"/>
                  <w:sz w:val="20"/>
                  <w:szCs w:val="20"/>
                </w:rPr>
                <w:t>Ver guía</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Sistema de advertencias</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2">
              <w:r>
                <w:rPr>
                  <w:rStyle w:val="Hyperlink"/>
                  <w:sz w:val="20"/>
                  <w:szCs w:val="20"/>
                </w:rPr>
                <w:t>Ver documento</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App TGP — Agendar</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3">
              <w:r>
                <w:rPr>
                  <w:rStyle w:val="Hyperlink"/>
                  <w:sz w:val="20"/>
                  <w:szCs w:val="20"/>
                </w:rPr>
                <w:t>app.tgp.cl</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Dashboard de reuniones</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2">
              <w:r>
                <w:rPr>
                  <w:rStyle w:val="Hyperlink"/>
                  <w:sz w:val="20"/>
                  <w:szCs w:val="20"/>
                </w:rPr>
                <w:t>Ver dashboard</w:t>
              </w:r>
            </w:hyperlink>
          </w:p>
        </w:tc>
      </w:tr>
      <w:tr>
        <w:tc>
          <w:tcPr>
            <w:tcW w:type="dxa" w:w="4680"/>
            <w:tcW w:w="40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Formulario datos personales</w:t>
            </w:r>
          </w:p>
        </w:tc>
        <w:tc>
          <w:tcPr>
            <w:tcW w:type="dxa" w:w="4680"/>
            <w:tcW w:w="53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9">
              <w:r>
                <w:rPr>
                  <w:rStyle w:val="Hyperlink"/>
                  <w:sz w:val="20"/>
                  <w:szCs w:val="20"/>
                </w:rPr>
                <w:t>Abrir formulario</w:t>
              </w:r>
            </w:hyperlink>
          </w:p>
        </w:tc>
      </w:tr>
      <w:tr>
        <w:tc>
          <w:tcPr>
            <w:tcW w:type="dxa" w:w="4680"/>
            <w:tcW w:w="40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Formulario de almuerzos</w:t>
            </w:r>
          </w:p>
        </w:tc>
        <w:tc>
          <w:tcPr>
            <w:tcW w:type="dxa" w:w="4680"/>
            <w:tcW w:w="53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5">
              <w:r>
                <w:rPr>
                  <w:rStyle w:val="Hyperlink"/>
                  <w:sz w:val="20"/>
                  <w:szCs w:val="20"/>
                </w:rPr>
                <w:t>Abrir formulario</w:t>
              </w:r>
            </w:hyperlink>
          </w:p>
        </w:tc>
      </w:tr>
    </w:tbl>
    <w:p>
      <w:pPr>
        <w:spacing w:before="0" w:after="120"/>
      </w:pPr>
    </w:p>
    <w:p>
      <w:pPr>
        <w:spacing w:before="0" w:after="60"/>
      </w:pPr>
    </w:p>
    <w:p>
      <w:pPr>
        <w:spacing w:before="180" w:after="60"/>
        <w:pBdr>
          <w:bottom w:val="single" w:sz="6" w:space="1" w:color="2E75B6"/>
        </w:pBdr>
      </w:pPr>
      <w:r>
        <w:rPr>
          <w:rFonts w:ascii="Arial" w:hAnsi="Arial"/>
          <w:b/>
          <w:color w:val="1E4B8F"/>
          <w:sz w:val="28"/>
        </w:rPr>
        <w:t>14.2  Videos de Referencia</w:t>
      </w:r>
    </w:p>
    <w:tbl>
      <w:tblPr>
        <w:tblW w:type="auto" w:w="0"/>
        <w:tblLook w:firstColumn="1" w:firstRow="1" w:lastColumn="0" w:lastRow="0" w:noHBand="0" w:noVBand="1" w:val="04A0"/>
        <w:tblW w:w="9360" w:type="dxa"/>
      </w:tblPr>
      <w:tblGrid>
        <w:gridCol w:w="4680"/>
        <w:gridCol w:w="4680"/>
      </w:tblGrid>
      <w:tr>
        <w:tc>
          <w:tcPr>
            <w:tcW w:type="dxa" w:w="4680"/>
            <w:tcW w:w="450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Recurso / Tema</w:t>
            </w:r>
          </w:p>
        </w:tc>
        <w:tc>
          <w:tcPr>
            <w:tcW w:type="dxa" w:w="4680"/>
            <w:tcW w:w="4860" w:type="dxa"/>
            <w:shd w:val="clear" w:color="auto" w:fill="1E4B8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FFFFFF"/>
                <w:sz w:val="20"/>
              </w:rPr>
              <w:t>Link</w:t>
            </w:r>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Tour por Slack (Seba, Manager)</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1">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Uso de Google Calendar</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3">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Reserva de salas</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16">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Tour por bandeja de correo</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26">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Movimiento de correos</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0">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Derivaciones y referidos</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1">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Fuera de oficina — cómo responder</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3">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"No interesado" (Tere, SDR Senior)</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4">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Cómo hacer push (Tere, SDR Senior)</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5">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Llamado en tibio exitoso (Juan)</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37">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Disponibilidad de ejecutivos</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4">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Agendamiento en vivo (Nahuel, CSR)</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0">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Instructivo App TGP</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5">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Programar recordatorios</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6">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Correos Snov (wsn/snv/snw)</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3">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Correos error — rebotes</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4">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Varita mágica Gmail</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5">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Apollo — instalación y uso</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6">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Lusha — instalación y uso</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47">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Empleados de una empresa</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7">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Empleados por país</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8">
              <w:r>
                <w:rPr>
                  <w:rStyle w:val="Hyperlink"/>
                  <w:sz w:val="20"/>
                  <w:szCs w:val="20"/>
                </w:rPr>
                <w:t>Ver video</w:t>
              </w:r>
            </w:hyperlink>
          </w:p>
        </w:tc>
      </w:tr>
      <w:tr>
        <w:tc>
          <w:tcPr>
            <w:tcW w:type="dxa" w:w="4680"/>
            <w:tcW w:w="450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Reglas de agendamiento (video)</w:t>
            </w:r>
          </w:p>
        </w:tc>
        <w:tc>
          <w:tcPr>
            <w:tcW w:type="dxa" w:w="4680"/>
            <w:tcW w:w="4860" w:type="dxa"/>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59">
              <w:r>
                <w:rPr>
                  <w:rStyle w:val="Hyperlink"/>
                  <w:sz w:val="20"/>
                  <w:szCs w:val="20"/>
                </w:rPr>
                <w:t>Ver video</w:t>
              </w:r>
            </w:hyperlink>
          </w:p>
        </w:tc>
      </w:tr>
      <w:tr>
        <w:tc>
          <w:tcPr>
            <w:tcW w:type="dxa" w:w="4680"/>
            <w:tcW w:w="450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r>
              <w:rPr>
                <w:rFonts w:ascii="Arial" w:hAnsi="Arial"/>
                <w:b/>
                <w:color w:val="404040"/>
                <w:sz w:val="20"/>
              </w:rPr>
              <w:t>Distribución de bandejas (video)</w:t>
            </w:r>
          </w:p>
        </w:tc>
        <w:tc>
          <w:tcPr>
            <w:tcW w:type="dxa" w:w="4680"/>
            <w:tcW w:w="4860" w:type="dxa"/>
            <w:shd w:val="clear" w:color="auto" w:fill="F5F5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spacing w:before="0" w:after="0"/>
            </w:pPr>
            <w:hyperlink r:id="rId60">
              <w:r>
                <w:rPr>
                  <w:rStyle w:val="Hyperlink"/>
                  <w:sz w:val="20"/>
                  <w:szCs w:val="20"/>
                </w:rPr>
                <w:t>Ver video</w:t>
              </w:r>
            </w:hyperlink>
          </w:p>
        </w:tc>
      </w:tr>
    </w:tbl>
    <w:p>
      <w:pPr>
        <w:spacing w:before="0" w:after="120"/>
      </w:pPr>
    </w:p>
    <w:p>
      <w:r>
        <w:br w:type="page"/>
      </w: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180" w:type="dxa"/>
              <w:bottom w:w="180" w:type="dxa"/>
              <w:left w:w="280" w:type="dxa"/>
              <w:right w:w="280" w:type="dxa"/>
            </w:tcMar>
          </w:tcPr>
          <w:p>
            <w:pPr>
              <w:jc w:val="left"/>
              <w:spacing w:before="0" w:after="80"/>
            </w:pPr>
            <w:r>
              <w:rPr>
                <w:rFonts w:ascii="Arial" w:hAnsi="Arial"/>
                <w:b/>
                <w:color w:val="FFFFFF"/>
                <w:sz w:val="36"/>
              </w:rPr>
              <w:t>15.  SISTEMA DE ADVERTENCIAS</w:t>
            </w:r>
          </w:p>
          <w:p>
            <w:pPr>
              <w:spacing w:before="0" w:after="0"/>
            </w:pPr>
            <w:r>
              <w:rPr>
                <w:rFonts w:ascii="Arial" w:hAnsi="Arial"/>
                <w:i/>
                <w:color w:val="D0E4F7"/>
                <w:sz w:val="22"/>
              </w:rPr>
              <w:t>Conocé las reglas del juego</w:t>
            </w:r>
          </w:p>
        </w:tc>
      </w:tr>
    </w:tbl>
    <w:p/>
    <w:p>
      <w:pPr>
        <w:spacing w:before="0" w:after="60"/>
      </w:pPr>
      <w:r>
        <w:rPr>
          <w:rFonts w:ascii="Arial" w:hAnsi="Arial"/>
          <w:color w:val="404040"/>
          <w:sz w:val="22"/>
        </w:rPr>
        <w:t>En TGP tenemos un Sistema de Advertencias que se aplica cuando un SDR no está cumpliendo sus responsabilidades de manera correcta. Es importante conocerlo para estar alineados.</w:t>
      </w:r>
    </w:p>
    <w:p>
      <w:pPr>
        <w:spacing w:before="0" w:after="60"/>
      </w:pPr>
      <w:r>
        <w:rPr>
          <w:rFonts w:ascii="Arial" w:hAnsi="Arial"/>
          <w:color w:val="404040"/>
          <w:sz w:val="22"/>
        </w:rPr>
        <w:t xml:space="preserve">📄  </w:t>
      </w:r>
      <w:hyperlink r:id="rId52">
        <w:r>
          <w:rPr>
            <w:rStyle w:val="Hyperlink"/>
            <w:sz w:val="22"/>
            <w:szCs w:val="22"/>
          </w:rPr>
          <w:t>Sistema de advertencias — documento completo</w:t>
        </w:r>
      </w:hyperlink>
    </w:p>
    <w:p>
      <w:pPr>
        <w:spacing w:before="0" w:after="60"/>
      </w:pPr>
      <w:r>
        <w:rPr>
          <w:rFonts w:ascii="Arial" w:hAnsi="Arial"/>
          <w:color w:val="404040"/>
          <w:sz w:val="22"/>
        </w:rPr>
        <w:t>Este sistema está adjunto en el acuerdo de trabajo que ya fue firmado por ambas partes.</w:t>
      </w:r>
    </w:p>
    <w:p>
      <w:pPr>
        <w:spacing w:before="0" w:after="120"/>
      </w:pPr>
    </w:p>
    <w:tbl>
      <w:tblPr>
        <w:tblW w:type="auto" w:w="0"/>
        <w:tblLook w:firstColumn="1" w:firstRow="1" w:lastColumn="0" w:lastRow="0" w:noHBand="0" w:noVBand="1" w:val="04A0"/>
        <w:tblW w:w="9360" w:type="dxa"/>
      </w:tblPr>
      <w:tblGrid>
        <w:gridCol w:w="9360"/>
      </w:tblGrid>
      <w:tr>
        <w:tc>
          <w:tcPr>
            <w:tcW w:type="dxa" w:w="9360"/>
            <w:tcW w:w="9360" w:type="dxa"/>
            <w:shd w:val="clear" w:color="auto" w:fill="1E4B8F"/>
            <w:tcBorders>
              <w:top w:val="none" w:sz="0" w:space="0" w:color="auto"/>
              <w:left w:val="none" w:sz="0" w:space="0" w:color="auto"/>
              <w:bottom w:val="none" w:sz="0" w:space="0" w:color="auto"/>
              <w:right w:val="none" w:sz="0" w:space="0" w:color="auto"/>
            </w:tcBorders>
            <w:tcMar>
              <w:top w:w="250" w:type="dxa"/>
              <w:bottom w:w="250" w:type="dxa"/>
              <w:left w:w="300" w:type="dxa"/>
              <w:right w:w="300" w:type="dxa"/>
            </w:tcMar>
          </w:tcPr>
          <w:p>
            <w:pPr>
              <w:jc w:val="center"/>
              <w:spacing w:before="0" w:after="120"/>
            </w:pPr>
            <w:r>
              <w:rPr>
                <w:rFonts w:ascii="Arial" w:hAnsi="Arial"/>
                <w:b/>
                <w:color w:val="FFFFFF"/>
                <w:sz w:val="36"/>
              </w:rPr>
              <w:t>🚀  ¡Ahora sí, a romperla en TGP!</w:t>
            </w:r>
          </w:p>
          <w:p>
            <w:pPr>
              <w:jc w:val="center"/>
              <w:spacing w:before="0" w:after="80"/>
            </w:pPr>
            <w:r>
              <w:rPr>
                <w:rFonts w:ascii="Arial" w:hAnsi="Arial"/>
                <w:i/>
                <w:color w:val="D0E4F7"/>
                <w:sz w:val="22"/>
              </w:rPr>
              <w:t>Tu éxito depende de organización, disciplina y actitud proactiva.</w:t>
            </w:r>
          </w:p>
          <w:p>
            <w:pPr>
              <w:jc w:val="center"/>
              <w:spacing w:before="0" w:after="0"/>
            </w:pPr>
            <w:r>
              <w:rPr>
                <w:rFonts w:ascii="Arial" w:hAnsi="Arial"/>
                <w:color w:val="D0E4F7"/>
                <w:sz w:val="22"/>
              </w:rPr>
              <w:t>Cualquier duda: escribile a tu SDR Senior, Manager o a Belén (HR Lead) por Slack.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forms/d/e/1FAIpQLSep-5s9FTC7nvHsGhXBC-v3m6ymFHkBCuFiN8BfLdY9CF2sKg/viewform" TargetMode="External"/><Relationship Id="rId10" Type="http://schemas.openxmlformats.org/officeDocument/2006/relationships/hyperlink" Target="https://docs.google.com/document/u/1/d/1lt4TF3wu-3UgIQrk1h7xov20dzVlN6xp_b2IG_tsoo0/edit" TargetMode="External"/><Relationship Id="rId11" Type="http://schemas.openxmlformats.org/officeDocument/2006/relationships/hyperlink" Target="https://www.loom.com/share/f8e93b73c31040d8ad9c8c5ee0a23697" TargetMode="External"/><Relationship Id="rId12" Type="http://schemas.openxmlformats.org/officeDocument/2006/relationships/hyperlink" Target="https://www.loom.com/share/72be9e9b20e043dfb833308be04216d7?sid=2b18c5ad-f78d-4f1f-a0a2-8a779ea5d1ef" TargetMode="External"/><Relationship Id="rId13" Type="http://schemas.openxmlformats.org/officeDocument/2006/relationships/hyperlink" Target="https://drive.google.com/drive/folders/1VvRCIk5EGXVy1Slsz4m4Uh9UBFLML31R?usp=drive_link" TargetMode="External"/><Relationship Id="rId14" Type="http://schemas.openxmlformats.org/officeDocument/2006/relationships/hyperlink" Target="https://drive.google.com/file/d/1wjUMY7LnMlcDkTB3FWcy13VWJlg2EJS1/view?usp=drive_link" TargetMode="External"/><Relationship Id="rId15" Type="http://schemas.openxmlformats.org/officeDocument/2006/relationships/hyperlink" Target="https://docs.google.com/forms/d/e/1FAIpQLSd7vqv2O7_8YRpr7pTCXrGOtLoYDojtCpS_xl-qrvTVcWAqsA/viewform" TargetMode="External"/><Relationship Id="rId16" Type="http://schemas.openxmlformats.org/officeDocument/2006/relationships/hyperlink" Target="https://www.loom.com/share/3cc4e02497994533b560287d4d93d332" TargetMode="External"/><Relationship Id="rId17" Type="http://schemas.openxmlformats.org/officeDocument/2006/relationships/hyperlink" Target="https://www.sii.cl" TargetMode="External"/><Relationship Id="rId18" Type="http://schemas.openxmlformats.org/officeDocument/2006/relationships/hyperlink" Target="https://drive.google.com/drive/folders/1jvNA6adLXYv1mUXsw_52Bn1opGMuzG7w?usp=drive_link" TargetMode="External"/><Relationship Id="rId19" Type="http://schemas.openxmlformats.org/officeDocument/2006/relationships/hyperlink" Target="https://drive.google.com/file/d/1XcHm7OyhO2dgl40xiIXgZvn9drNgGmaD/view?usp=sharing" TargetMode="External"/><Relationship Id="rId20" Type="http://schemas.openxmlformats.org/officeDocument/2006/relationships/hyperlink" Target="https://drive.google.com/file/d/1K7G6jduRcJZuBYiiA3-nGPVo8gRFPjRu/view?usp=sharing" TargetMode="External"/><Relationship Id="rId21" Type="http://schemas.openxmlformats.org/officeDocument/2006/relationships/hyperlink" Target="https://drive.google.com/drive/folders/1teYovVWhumhsf_5A6cdeAmGPx991Se0z?usp=sharing" TargetMode="External"/><Relationship Id="rId22" Type="http://schemas.openxmlformats.org/officeDocument/2006/relationships/hyperlink" Target="https://lookerstudio.google.com/embed/u/0/reporting/5ba1d230-95ad-4dc3-b132-a5a215391192/page/p_f3ffxi1pdd" TargetMode="External"/><Relationship Id="rId23" Type="http://schemas.openxmlformats.org/officeDocument/2006/relationships/hyperlink" Target="https://app.tgp.cl/" TargetMode="External"/><Relationship Id="rId24" Type="http://schemas.openxmlformats.org/officeDocument/2006/relationships/hyperlink" Target="https://docs.google.com/document/d/1oBMpW0gDp1gaTqyQzatPa4wFOjroa2gczMy-lrfooyQ/edit" TargetMode="External"/><Relationship Id="rId25" Type="http://schemas.openxmlformats.org/officeDocument/2006/relationships/hyperlink" Target="https://drive.google.com/drive/folders/1teYovVWhumhsf_5A6cdeAmGPx991Se0z?usp=drive_link" TargetMode="External"/><Relationship Id="rId26" Type="http://schemas.openxmlformats.org/officeDocument/2006/relationships/hyperlink" Target="https://www.loom.com/share/99a9d029e8a6421dae5a7beac7882e1a" TargetMode="External"/><Relationship Id="rId27" Type="http://schemas.openxmlformats.org/officeDocument/2006/relationships/hyperlink" Target="https://docs.google.com/document/d/1dpwYb2PXCmTrLs7tklhjWIxubUvLekETOHbb9iu7m-4/edit?usp=sharing" TargetMode="External"/><Relationship Id="rId28" Type="http://schemas.openxmlformats.org/officeDocument/2006/relationships/hyperlink" Target="https://docs.google.com/document/d/1ceNv1E0QNn5QKQcBi8ITaCirHAcTklv-V5RsNXN8ZTE/edit?usp=sharing" TargetMode="External"/><Relationship Id="rId29" Type="http://schemas.openxmlformats.org/officeDocument/2006/relationships/hyperlink" Target="https://docs.google.com/document/d/1MPv57sOJvw9k4xfuWxoGpaXgNHW4kIFrP_I6SHofJ1E/edit?tab=t.0#heading=h.24ku1zwel0b8" TargetMode="External"/><Relationship Id="rId30" Type="http://schemas.openxmlformats.org/officeDocument/2006/relationships/hyperlink" Target="https://www.loom.com/share/0ae18c83bb084ff89884a7c7fccd840c" TargetMode="External"/><Relationship Id="rId31" Type="http://schemas.openxmlformats.org/officeDocument/2006/relationships/hyperlink" Target="https://www.loom.com/share/9b6b9a1cbb564e5b905039537d7e00a7" TargetMode="External"/><Relationship Id="rId32" Type="http://schemas.openxmlformats.org/officeDocument/2006/relationships/hyperlink" Target="https://docs.google.com/document/d/1N7I8ZGjMJfvu5muqzZ11GLUz-1OYdABOhWcnUq2eeso/edit?usp=sharing" TargetMode="External"/><Relationship Id="rId33" Type="http://schemas.openxmlformats.org/officeDocument/2006/relationships/hyperlink" Target="https://www.loom.com/share/4b9e4ecae20143c2a21a6a26fb1987f3" TargetMode="External"/><Relationship Id="rId34" Type="http://schemas.openxmlformats.org/officeDocument/2006/relationships/hyperlink" Target="https://www.loom.com/share/7d78d8afa42d478bbc6f9e0afb449644" TargetMode="External"/><Relationship Id="rId35" Type="http://schemas.openxmlformats.org/officeDocument/2006/relationships/hyperlink" Target="https://www.loom.com/share/9b6b9a1cbb564e5b905034671d1db2a8" TargetMode="External"/><Relationship Id="rId36" Type="http://schemas.openxmlformats.org/officeDocument/2006/relationships/hyperlink" Target="https://docs.google.com/document/d/1UzBrzY1Yrg5rNI8FkCasOeVe3X8GpV-gRf6smyf4Z7k/edit?usp=sharing" TargetMode="External"/><Relationship Id="rId37" Type="http://schemas.openxmlformats.org/officeDocument/2006/relationships/hyperlink" Target="https://www.loom.com/share/6863b17f349542e782f28b1d2ef81f14" TargetMode="External"/><Relationship Id="rId38" Type="http://schemas.openxmlformats.org/officeDocument/2006/relationships/hyperlink" Target="https://www.loom.com/share/09a97d5f102e4794827834ed068c7c8b?sid=b90074dc-8176-459a-a88e-6da5ab97a7de" TargetMode="External"/><Relationship Id="rId39" Type="http://schemas.openxmlformats.org/officeDocument/2006/relationships/hyperlink" Target="https://docs.google.com/document/d/1LvrQeOkQZUlfpuwqgWrEhgfLnuivZG-Obr_nCsAZxbE/edit?usp=sharing" TargetMode="External"/><Relationship Id="rId40" Type="http://schemas.openxmlformats.org/officeDocument/2006/relationships/hyperlink" Target="https://drive.google.com/file/d/1vBCd8xre01Pu4DnmmnJPoWN_kTlr0gM2/view?usp=sharing" TargetMode="External"/><Relationship Id="rId41" Type="http://schemas.openxmlformats.org/officeDocument/2006/relationships/hyperlink" Target="https://www.loom.com/share/96147c7ab3144299ab28f265798367a0?sid=2678a4d9-df04-4497-b032-7f3b93b52313" TargetMode="External"/><Relationship Id="rId42" Type="http://schemas.openxmlformats.org/officeDocument/2006/relationships/hyperlink" Target="https://www.loom.com/share/d0fadd9a75394a63921c784e37396aaf?sid=fb1f6f82-6eb9-469c-ab9b-a7ec213a1174" TargetMode="External"/><Relationship Id="rId43" Type="http://schemas.openxmlformats.org/officeDocument/2006/relationships/hyperlink" Target="https://drive.google.com/file/d/1wiPY4Ns_FPIiSaO3hXFHWpx1jOzyWNXZ/view?usp=drive_link" TargetMode="External"/><Relationship Id="rId44" Type="http://schemas.openxmlformats.org/officeDocument/2006/relationships/hyperlink" Target="https://www.loom.com/share/94d5c25e70dc4c738865ce6b13b4f373" TargetMode="External"/><Relationship Id="rId45" Type="http://schemas.openxmlformats.org/officeDocument/2006/relationships/hyperlink" Target="https://www.loom.com/share/5457ebfd145a4bf7bd4c75a41714d3eb" TargetMode="External"/><Relationship Id="rId46" Type="http://schemas.openxmlformats.org/officeDocument/2006/relationships/hyperlink" Target="https://www.loom.com/share/97f96636cea24cd0bdd0d34d10fc24b3" TargetMode="External"/><Relationship Id="rId47" Type="http://schemas.openxmlformats.org/officeDocument/2006/relationships/hyperlink" Target="https://www.loom.com/share/a0f825fe6b7a4a058e5d1b5b127d682d" TargetMode="External"/><Relationship Id="rId48" Type="http://schemas.openxmlformats.org/officeDocument/2006/relationships/hyperlink" Target="https://www.loom.com/share/c1270030a07c4fd58cf0856e0bc7f00a?sid=8bf8f980-d68b-4879-9712-767255651a44" TargetMode="External"/><Relationship Id="rId49" Type="http://schemas.openxmlformats.org/officeDocument/2006/relationships/hyperlink" Target="https://www.loom.com/share/7e78893b531949249879876c672f0f70?sid=a0541fdb-44d5-402d-9c1c-4cfb8988786e" TargetMode="External"/><Relationship Id="rId50" Type="http://schemas.openxmlformats.org/officeDocument/2006/relationships/hyperlink" Target="https://docs.google.com/document/d/1CR322lgWchHj82KZvCQRCf5gnd8xEj4XsdWQ0vnpmhE/edit?usp=sharing" TargetMode="External"/><Relationship Id="rId51" Type="http://schemas.openxmlformats.org/officeDocument/2006/relationships/hyperlink" Target="https://docs.google.com/document/d/1MPv57sOJvw9k4xfuWxoGpaXgNHW4kIFrP_I6SHofJ1E/edit" TargetMode="External"/><Relationship Id="rId52" Type="http://schemas.openxmlformats.org/officeDocument/2006/relationships/hyperlink" Target="https://docs.google.com/document/d/123SAMMrlxLpT8ZrbpYUs8e4Xytgm-oZT16ByP4vh-8Q/edit?usp=sharing" TargetMode="External"/><Relationship Id="rId53" Type="http://schemas.openxmlformats.org/officeDocument/2006/relationships/hyperlink" Target="https://www.loom.com/share/72be9e9b20e043dfb833308be04216d7" TargetMode="External"/><Relationship Id="rId54" Type="http://schemas.openxmlformats.org/officeDocument/2006/relationships/hyperlink" Target="https://www.loom.com/share/09a97d5f102e4794827834ed068c7c8b" TargetMode="External"/><Relationship Id="rId55" Type="http://schemas.openxmlformats.org/officeDocument/2006/relationships/hyperlink" Target="https://www.loom.com/share/96147c7ab3144299ab28f265798367a0" TargetMode="External"/><Relationship Id="rId56" Type="http://schemas.openxmlformats.org/officeDocument/2006/relationships/hyperlink" Target="https://www.loom.com/share/d0fadd9a75394a63921c784e37396aaf" TargetMode="External"/><Relationship Id="rId57" Type="http://schemas.openxmlformats.org/officeDocument/2006/relationships/hyperlink" Target="https://www.loom.com/share/c1270030a07c4fd58cf0856e0bc7f00a" TargetMode="External"/><Relationship Id="rId58" Type="http://schemas.openxmlformats.org/officeDocument/2006/relationships/hyperlink" Target="https://www.loom.com/share/7e78893b531949249879876c672f0f70" TargetMode="External"/><Relationship Id="rId59" Type="http://schemas.openxmlformats.org/officeDocument/2006/relationships/hyperlink" Target="https://www.loom.com/share/b2264e12fcd94eaf9bc4090efe36c0f4" TargetMode="External"/><Relationship Id="rId60" Type="http://schemas.openxmlformats.org/officeDocument/2006/relationships/hyperlink" Target="https://www.loom.com/share/fe5331f4c1b64911b558e57e48f4f9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