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 w:line="245" w:lineRule="auto"/>
      </w:pPr>
      <w:r>
        <w:rPr>
          <w:rFonts w:ascii="Calibri" w:hAnsi="Calibri"/>
          <w:b/>
          <w:i w:val="0"/>
          <w:color w:val="2E74B5"/>
          <w:sz w:val="20"/>
        </w:rPr>
        <w:t>PAGE 1 | METHODOLOGY</w:t>
      </w:r>
    </w:p>
    <w:p>
      <w:pPr>
        <w:keepNext/>
        <w:spacing w:before="0" w:after="40" w:line="245" w:lineRule="auto"/>
      </w:pPr>
      <w:r>
        <w:rPr>
          <w:rFonts w:ascii="Calibri" w:hAnsi="Calibri"/>
          <w:b/>
          <w:i w:val="0"/>
          <w:color w:val="0B2545"/>
          <w:sz w:val="38"/>
        </w:rPr>
        <w:t>Hospital Supply Data Cleaning and National Item Master</w:t>
      </w:r>
    </w:p>
    <w:p>
      <w:pPr>
        <w:spacing w:before="0" w:after="140" w:line="245" w:lineRule="auto"/>
      </w:pPr>
      <w:r>
        <w:rPr>
          <w:rFonts w:ascii="Calibri" w:hAnsi="Calibri"/>
          <w:b w:val="0"/>
          <w:i w:val="0"/>
          <w:color w:val="505862"/>
          <w:sz w:val="20"/>
        </w:rPr>
        <w:t>Technical Challenge Summary | 5,000 fictional records across Hospitals A-J | 30 August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0B25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5,000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source and clean rows</w:t>
            </w:r>
          </w:p>
        </w:tc>
        <w:tc>
          <w:tcPr>
            <w:tcW w:type="dxa" w:w="2469"/>
            <w:shd w:fill="0B25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10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hospitals</w:t>
            </w:r>
          </w:p>
        </w:tc>
        <w:tc>
          <w:tcPr>
            <w:tcW w:type="dxa" w:w="2469"/>
            <w:shd w:fill="0B25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10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national items</w:t>
            </w:r>
          </w:p>
        </w:tc>
        <w:tc>
          <w:tcPr>
            <w:tcW w:type="dxa" w:w="2469"/>
            <w:shd w:fill="0B25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0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duplicate SBRNs</w:t>
            </w:r>
          </w:p>
        </w:tc>
      </w:tr>
    </w:tbl>
    <w:p>
      <w:pPr>
        <w:pStyle w:val="Heading1"/>
        <w:keepNext/>
        <w:spacing w:before="100" w:after="60"/>
      </w:pPr>
      <w:r>
        <w:rPr>
          <w:rFonts w:ascii="Calibri" w:hAnsi="Calibri"/>
          <w:b/>
          <w:i w:val="0"/>
          <w:color w:val="2E74B5"/>
          <w:sz w:val="28"/>
        </w:rPr>
        <w:t>Executive result</w:t>
      </w:r>
    </w:p>
    <w:p>
      <w:pPr>
        <w:spacing w:before="0" w:after="80" w:line="245" w:lineRule="auto"/>
      </w:pPr>
      <w:r>
        <w:rPr>
          <w:rFonts w:ascii="Calibri" w:hAnsi="Calibri"/>
          <w:b w:val="0"/>
          <w:i w:val="0"/>
          <w:sz w:val="20"/>
        </w:rPr>
        <w:t>The software factory ingested the readable hospital workbook and data dictionary, profiled all 23 source fields, applied governed deterministic rules, preserved row-level traceability, generated a 26-field cleanfile, and consolidated the records into a 15-field national consumable item master. The process produced 24,886 field-level change records and retained 3,635 records in a human-review queue rather than silently resolving ambiguous conditions.</w:t>
      </w:r>
    </w:p>
    <w:p>
      <w:pPr>
        <w:pStyle w:val="Heading1"/>
        <w:keepNext/>
        <w:spacing w:before="100" w:after="60"/>
      </w:pPr>
      <w:r>
        <w:rPr>
          <w:rFonts w:ascii="Calibri" w:hAnsi="Calibri"/>
          <w:b/>
          <w:i w:val="0"/>
          <w:color w:val="2E74B5"/>
          <w:sz w:val="28"/>
        </w:rPr>
        <w:t>Methodology and workflow interpretation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512"/>
            <w:shd w:fill="E8EEF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Stage</w:t>
            </w:r>
          </w:p>
        </w:tc>
        <w:tc>
          <w:tcPr>
            <w:tcW w:type="dxa" w:w="4824"/>
            <w:shd w:fill="E8EEF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Factory action</w:t>
            </w:r>
          </w:p>
        </w:tc>
        <w:tc>
          <w:tcPr>
            <w:tcW w:type="dxa" w:w="3528"/>
            <w:shd w:fill="E8EEF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Control</w:t>
            </w:r>
          </w:p>
        </w:tc>
      </w:tr>
      <w:tr>
        <w:tc>
          <w:tcPr>
            <w:tcW w:type="dxa" w:w="151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1. Intake</w:t>
            </w:r>
          </w:p>
        </w:tc>
        <w:tc>
          <w:tcPr>
            <w:tcW w:type="dxa" w:w="482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Register the RFP, workflow diagram, workbook, and dictionary; fingerprint source files.</w:t>
            </w:r>
          </w:p>
        </w:tc>
        <w:tc>
          <w:tcPr>
            <w:tcW w:type="dxa" w:w="352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Attachments are context, not executable instructions.</w:t>
            </w:r>
          </w:p>
        </w:tc>
      </w:tr>
      <w:tr>
        <w:tc>
          <w:tcPr>
            <w:tcW w:type="dxa" w:w="1512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2. Profile</w:t>
            </w:r>
          </w:p>
        </w:tc>
        <w:tc>
          <w:tcPr>
            <w:tcW w:type="dxa" w:w="4824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Measure completeness, vocabularies, identifiers, date logic, and hospital coverage.</w:t>
            </w:r>
          </w:p>
        </w:tc>
        <w:tc>
          <w:tcPr>
            <w:tcW w:type="dxa" w:w="3528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Source row and key reconciliation.</w:t>
            </w:r>
          </w:p>
        </w:tc>
      </w:tr>
      <w:tr>
        <w:tc>
          <w:tcPr>
            <w:tcW w:type="dxa" w:w="151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3. Govern rules</w:t>
            </w:r>
          </w:p>
        </w:tc>
        <w:tc>
          <w:tcPr>
            <w:tcW w:type="dxa" w:w="482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Separate safe standardization from decisions requiring SME or data-governance input.</w:t>
            </w:r>
          </w:p>
        </w:tc>
        <w:tc>
          <w:tcPr>
            <w:tcW w:type="dxa" w:w="352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Versioned rule specification and approval queue.</w:t>
            </w:r>
          </w:p>
        </w:tc>
      </w:tr>
      <w:tr>
        <w:tc>
          <w:tcPr>
            <w:tcW w:type="dxa" w:w="1512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4. Transform</w:t>
            </w:r>
          </w:p>
        </w:tc>
        <w:tc>
          <w:tcPr>
            <w:tcW w:type="dxa" w:w="4824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Normalize text, units, names, statuses, dates, and numeric fields; add canonical identifiers.</w:t>
            </w:r>
          </w:p>
        </w:tc>
        <w:tc>
          <w:tcPr>
            <w:tcW w:type="dxa" w:w="3528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Before/after transformation log.</w:t>
            </w:r>
          </w:p>
        </w:tc>
      </w:tr>
      <w:tr>
        <w:tc>
          <w:tcPr>
            <w:tcW w:type="dxa" w:w="151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5. Consolidate</w:t>
            </w:r>
          </w:p>
        </w:tc>
        <w:tc>
          <w:tcPr>
            <w:tcW w:type="dxa" w:w="482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Map each hospital record to a national item using canonical part identity.</w:t>
            </w:r>
          </w:p>
        </w:tc>
        <w:tc>
          <w:tcPr>
            <w:tcW w:type="dxa" w:w="3528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Crosswalk preserves SBRN and local item number.</w:t>
            </w:r>
          </w:p>
        </w:tc>
      </w:tr>
      <w:tr>
        <w:tc>
          <w:tcPr>
            <w:tcW w:type="dxa" w:w="1512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6. Review</w:t>
            </w:r>
          </w:p>
        </w:tc>
        <w:tc>
          <w:tcPr>
            <w:tcW w:type="dxa" w:w="4824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Run acceptance checks and independent evaluator-style review.</w:t>
            </w:r>
          </w:p>
        </w:tc>
        <w:tc>
          <w:tcPr>
            <w:tcW w:type="dxa" w:w="3528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No hidden unresolved exceptions.</w:t>
            </w:r>
          </w:p>
        </w:tc>
      </w:tr>
    </w:tbl>
    <w:p>
      <w:pPr>
        <w:spacing w:before="0" w:after="80" w:line="245" w:lineRule="auto"/>
      </w:pPr>
      <w:r>
        <w:rPr>
          <w:rFonts w:ascii="Calibri" w:hAnsi="Calibri"/>
          <w:b w:val="0"/>
          <w:i w:val="0"/>
          <w:sz w:val="20"/>
        </w:rPr>
        <w:t>The supplied process was interpreted as three system responsibilities: the EHR originates patient supply demand and records use; the EIMS checks availability, retrieves or replenishes inventory, receives supply, and monitors reorder conditions; the FMS manages purchasing, invoices, and payment events. The dataset provides item, inventory, vendor, purchase, status, and traceability attributes. Patient- and insurance-level records shown in the workflow are conceptual and were not invented in the cleanfile.</w:t>
      </w:r>
    </w:p>
    <w:p>
      <w:pPr>
        <w:keepNext w:val="0"/>
        <w:spacing w:before="60" w:after="0" w:line="245" w:lineRule="auto"/>
      </w:pPr>
      <w:r>
        <w:rPr>
          <w:rFonts w:ascii="Calibri" w:hAnsi="Calibri"/>
          <w:b w:val="0"/>
          <w:i w:val="0"/>
          <w:color w:val="505862"/>
          <w:sz w:val="20"/>
        </w:rPr>
        <w:t>Source basis: project email; RFP Technical Challenge pages 143-148; supplied workflow diagram; Excel-data.xlsx.</w:t>
      </w:r>
    </w:p>
    <w:p>
      <w:r>
        <w:br w:type="page"/>
      </w:r>
    </w:p>
    <w:p>
      <w:pPr>
        <w:keepNext/>
        <w:spacing w:before="0" w:after="40" w:line="245" w:lineRule="auto"/>
      </w:pPr>
      <w:r>
        <w:rPr>
          <w:rFonts w:ascii="Calibri" w:hAnsi="Calibri"/>
          <w:b/>
          <w:i w:val="0"/>
          <w:color w:val="2E74B5"/>
          <w:sz w:val="20"/>
        </w:rPr>
        <w:t>PAGE 2 | RULES</w:t>
      </w:r>
    </w:p>
    <w:p>
      <w:pPr>
        <w:keepNext/>
        <w:spacing w:before="0" w:after="40" w:line="245" w:lineRule="auto"/>
      </w:pPr>
      <w:r>
        <w:rPr>
          <w:rFonts w:ascii="Calibri" w:hAnsi="Calibri"/>
          <w:b/>
          <w:i w:val="0"/>
          <w:color w:val="0B2545"/>
          <w:sz w:val="38"/>
        </w:rPr>
        <w:t>Business Rules, Transformation Logic, and Decisions</w:t>
      </w:r>
    </w:p>
    <w:p>
      <w:pPr>
        <w:pStyle w:val="Heading1"/>
        <w:keepNext/>
        <w:spacing w:before="100" w:after="60"/>
      </w:pPr>
      <w:r>
        <w:rPr>
          <w:rFonts w:ascii="Calibri" w:hAnsi="Calibri"/>
          <w:b/>
          <w:i w:val="0"/>
          <w:color w:val="2E74B5"/>
          <w:sz w:val="28"/>
        </w:rPr>
        <w:t>Deterministic standardization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512"/>
            <w:shd w:fill="E8EEF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Domain</w:t>
            </w:r>
          </w:p>
        </w:tc>
        <w:tc>
          <w:tcPr>
            <w:tcW w:type="dxa" w:w="5832"/>
            <w:shd w:fill="E8EEF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Applied rule</w:t>
            </w:r>
          </w:p>
        </w:tc>
        <w:tc>
          <w:tcPr>
            <w:tcW w:type="dxa" w:w="2520"/>
            <w:shd w:fill="E8EEF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Illustrative result</w:t>
            </w:r>
          </w:p>
        </w:tc>
      </w:tr>
      <w:tr>
        <w:tc>
          <w:tcPr>
            <w:tcW w:type="dxa" w:w="151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Text</w:t>
            </w:r>
          </w:p>
        </w:tc>
        <w:tc>
          <w:tcPr>
            <w:tcW w:type="dxa" w:w="58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Trim and collapse whitespace; preserve SBRN unchanged.</w:t>
            </w:r>
          </w:p>
        </w:tc>
        <w:tc>
          <w:tcPr>
            <w:tcW w:type="dxa" w:w="2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Stable record identity for audit.</w:t>
            </w:r>
          </w:p>
        </w:tc>
      </w:tr>
      <w:tr>
        <w:tc>
          <w:tcPr>
            <w:tcW w:type="dxa" w:w="1512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Part identity</w:t>
            </w:r>
          </w:p>
        </w:tc>
        <w:tc>
          <w:tcPr>
            <w:tcW w:type="dxa" w:w="5832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Normalize known typos/abbreviations and derive six missing names from description prefixes.</w:t>
            </w:r>
          </w:p>
        </w:tc>
        <w:tc>
          <w:tcPr>
            <w:tcW w:type="dxa" w:w="2520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Antiseptc Wipes -&gt; Antiseptic Wipes.</w:t>
            </w:r>
          </w:p>
        </w:tc>
      </w:tr>
      <w:tr>
        <w:tc>
          <w:tcPr>
            <w:tcW w:type="dxa" w:w="151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Unit</w:t>
            </w:r>
          </w:p>
        </w:tc>
        <w:tc>
          <w:tcPr>
            <w:tcW w:type="dxa" w:w="58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Map variants to BOX, EA, UNIT, BAG, or PACK.</w:t>
            </w:r>
          </w:p>
        </w:tc>
        <w:tc>
          <w:tcPr>
            <w:tcW w:type="dxa" w:w="2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BX -&gt; BOX; PKG -&gt; PACK.</w:t>
            </w:r>
          </w:p>
        </w:tc>
      </w:tr>
      <w:tr>
        <w:tc>
          <w:tcPr>
            <w:tcW w:type="dxa" w:w="1512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Manufacturer</w:t>
            </w:r>
          </w:p>
        </w:tc>
        <w:tc>
          <w:tcPr>
            <w:tcW w:type="dxa" w:w="5832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Map known aliases into MedSupply, SurgiTech, and HealthCorp canonical families.</w:t>
            </w:r>
          </w:p>
        </w:tc>
        <w:tc>
          <w:tcPr>
            <w:tcW w:type="dxa" w:w="2520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Health Corportion -&gt; HealthCorp Intl.</w:t>
            </w:r>
          </w:p>
        </w:tc>
      </w:tr>
      <w:tr>
        <w:tc>
          <w:tcPr>
            <w:tcW w:type="dxa" w:w="151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Vendor</w:t>
            </w:r>
          </w:p>
        </w:tc>
        <w:tc>
          <w:tcPr>
            <w:tcW w:type="dxa" w:w="58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Normalize known formatting aliases.</w:t>
            </w:r>
          </w:p>
        </w:tc>
        <w:tc>
          <w:tcPr>
            <w:tcW w:type="dxa" w:w="2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GlobalMed Inc -&gt; GlobalMed.</w:t>
            </w:r>
          </w:p>
        </w:tc>
      </w:tr>
      <w:tr>
        <w:tc>
          <w:tcPr>
            <w:tcW w:type="dxa" w:w="1512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Status</w:t>
            </w:r>
          </w:p>
        </w:tc>
        <w:tc>
          <w:tcPr>
            <w:tcW w:type="dxa" w:w="5832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Map order states to Pending, Delivered, Shipped, or Canceled; map Active Recall to Active.</w:t>
            </w:r>
          </w:p>
        </w:tc>
        <w:tc>
          <w:tcPr>
            <w:tcW w:type="dxa" w:w="2520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Received -&gt; Delivered.</w:t>
            </w:r>
          </w:p>
        </w:tc>
      </w:tr>
      <w:tr>
        <w:tc>
          <w:tcPr>
            <w:tcW w:type="dxa" w:w="151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Dates/numbers</w:t>
            </w:r>
          </w:p>
        </w:tc>
        <w:tc>
          <w:tcPr>
            <w:tcW w:type="dxa" w:w="58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Parse mixed Excel/ISO/US dates to YYYY-MM-DD; coerce price and quantities to numeric values.</w:t>
            </w:r>
          </w:p>
        </w:tc>
        <w:tc>
          <w:tcPr>
            <w:tcW w:type="dxa" w:w="252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Valid source dates are retained; unparseable values are flagged.</w:t>
            </w:r>
          </w:p>
        </w:tc>
      </w:tr>
      <w:tr>
        <w:tc>
          <w:tcPr>
            <w:tcW w:type="dxa" w:w="1512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Traceability</w:t>
            </w:r>
          </w:p>
        </w:tc>
        <w:tc>
          <w:tcPr>
            <w:tcW w:type="dxa" w:w="5832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Add NationalItemMasterId, DataQualityFlags, and HumanReviewRequired.</w:t>
            </w:r>
          </w:p>
        </w:tc>
        <w:tc>
          <w:tcPr>
            <w:tcW w:type="dxa" w:w="2520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Every row exposes its disposition.</w:t>
            </w:r>
          </w:p>
        </w:tc>
      </w:tr>
    </w:tbl>
    <w:p>
      <w:pPr>
        <w:pStyle w:val="Heading1"/>
        <w:keepNext/>
        <w:spacing w:before="100" w:after="60"/>
      </w:pPr>
      <w:r>
        <w:rPr>
          <w:rFonts w:ascii="Calibri" w:hAnsi="Calibri"/>
          <w:b/>
          <w:i w:val="0"/>
          <w:color w:val="2E74B5"/>
          <w:sz w:val="28"/>
        </w:rPr>
        <w:t>Conditions deliberately not auto-corrected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76"/>
            <w:shd w:fill="F2F4F7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Condition</w:t>
            </w:r>
          </w:p>
        </w:tc>
        <w:tc>
          <w:tcPr>
            <w:tcW w:type="dxa" w:w="1944"/>
            <w:shd w:fill="F2F4F7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Observed</w:t>
            </w:r>
          </w:p>
        </w:tc>
        <w:tc>
          <w:tcPr>
            <w:tcW w:type="dxa" w:w="5544"/>
            <w:shd w:fill="F2F4F7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Disposition</w:t>
            </w:r>
          </w:p>
        </w:tc>
      </w:tr>
      <w:tr>
        <w:tc>
          <w:tcPr>
            <w:tcW w:type="dxa" w:w="237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Future purchase date</w:t>
            </w:r>
          </w:p>
        </w:tc>
        <w:tc>
          <w:tcPr>
            <w:tcW w:type="dxa" w:w="194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1,310 records</w:t>
            </w:r>
          </w:p>
        </w:tc>
        <w:tc>
          <w:tcPr>
            <w:tcW w:type="dxa" w:w="554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Flag for source-owner validation; do not invent a replacement date.</w:t>
            </w:r>
          </w:p>
        </w:tc>
      </w:tr>
      <w:tr>
        <w:tc>
          <w:tcPr>
            <w:tcW w:type="dxa" w:w="2376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Expiration before purchase</w:t>
            </w:r>
          </w:p>
        </w:tc>
        <w:tc>
          <w:tcPr>
            <w:tcW w:type="dxa" w:w="1944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2,490 records</w:t>
            </w:r>
          </w:p>
        </w:tc>
        <w:tc>
          <w:tcPr>
            <w:tcW w:type="dxa" w:w="5544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Flag for SME review and source-system correction.</w:t>
            </w:r>
          </w:p>
        </w:tc>
      </w:tr>
      <w:tr>
        <w:tc>
          <w:tcPr>
            <w:tcW w:type="dxa" w:w="237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Recall status = Monitoring</w:t>
            </w:r>
          </w:p>
        </w:tc>
        <w:tc>
          <w:tcPr>
            <w:tcW w:type="dxa" w:w="194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1,899 records</w:t>
            </w:r>
          </w:p>
        </w:tc>
        <w:tc>
          <w:tcPr>
            <w:tcW w:type="dxa" w:w="554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Retain source value and require an approved vocabulary decision.</w:t>
            </w:r>
          </w:p>
        </w:tc>
      </w:tr>
      <w:tr>
        <w:tc>
          <w:tcPr>
            <w:tcW w:type="dxa" w:w="2376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Expired item</w:t>
            </w:r>
          </w:p>
        </w:tc>
        <w:tc>
          <w:tcPr>
            <w:tcW w:type="dxa" w:w="1944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3,625 records</w:t>
            </w:r>
          </w:p>
        </w:tc>
        <w:tc>
          <w:tcPr>
            <w:tcW w:type="dxa" w:w="5544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Flag for operational disposition; retain for traceability and analysis.</w:t>
            </w:r>
          </w:p>
        </w:tc>
      </w:tr>
      <w:tr>
        <w:tc>
          <w:tcPr>
            <w:tcW w:type="dxa" w:w="2376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Missing recall status</w:t>
            </w:r>
          </w:p>
        </w:tc>
        <w:tc>
          <w:tcPr>
            <w:tcW w:type="dxa" w:w="194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1,592 records</w:t>
            </w:r>
          </w:p>
        </w:tc>
        <w:tc>
          <w:tcPr>
            <w:tcW w:type="dxa" w:w="554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Normalize to None as a documented demo assumption.</w:t>
            </w:r>
          </w:p>
        </w:tc>
      </w:tr>
    </w:tbl>
    <w:p>
      <w:pPr>
        <w:pStyle w:val="Heading1"/>
        <w:keepNext/>
        <w:spacing w:before="100" w:after="60"/>
      </w:pPr>
      <w:r>
        <w:rPr>
          <w:rFonts w:ascii="Calibri" w:hAnsi="Calibri"/>
          <w:b/>
          <w:i w:val="0"/>
          <w:color w:val="2E74B5"/>
          <w:sz w:val="28"/>
        </w:rPr>
        <w:t>National item-master construction</w:t>
      </w:r>
    </w:p>
    <w:p>
      <w:pPr>
        <w:spacing w:before="0" w:after="80" w:line="245" w:lineRule="auto"/>
      </w:pPr>
      <w:r>
        <w:rPr>
          <w:rFonts w:ascii="Calibri" w:hAnsi="Calibri"/>
          <w:b w:val="0"/>
          <w:i w:val="0"/>
          <w:sz w:val="20"/>
        </w:rPr>
        <w:t>Canonical part name drives a transparent NationalItemMasterId. Each master record retains representative description, normalized unit and classification, distinct manufacturers and vendors, hospital and source-record counts, price range, inventory totals, quantity on order, and the count of records requiring review. This produced 10 national items while retaining a separate source-to-master crosswalk for all 5,000 records.</w:t>
      </w:r>
    </w:p>
    <w:p>
      <w:pPr>
        <w:keepNext w:val="0"/>
        <w:spacing w:before="60" w:after="0" w:line="245" w:lineRule="auto"/>
      </w:pPr>
      <w:r>
        <w:rPr>
          <w:rFonts w:ascii="Calibri" w:hAnsi="Calibri"/>
          <w:b w:val="0"/>
          <w:i w:val="0"/>
          <w:color w:val="505862"/>
          <w:sz w:val="20"/>
        </w:rPr>
        <w:t>Evidence: transformation_spec.json, transformation_log.csv, item_master_crosswalk.csv, and human_review_queue.csv.</w:t>
      </w:r>
    </w:p>
    <w:p>
      <w:r>
        <w:br w:type="page"/>
      </w:r>
    </w:p>
    <w:p>
      <w:pPr>
        <w:keepNext/>
        <w:spacing w:before="0" w:after="40" w:line="245" w:lineRule="auto"/>
      </w:pPr>
      <w:r>
        <w:rPr>
          <w:rFonts w:ascii="Calibri" w:hAnsi="Calibri"/>
          <w:b/>
          <w:i w:val="0"/>
          <w:color w:val="2E74B5"/>
          <w:sz w:val="20"/>
        </w:rPr>
        <w:t>PAGE 3 | AI AND GOVERNANCE</w:t>
      </w:r>
    </w:p>
    <w:p>
      <w:pPr>
        <w:keepNext/>
        <w:spacing w:before="0" w:after="40" w:line="245" w:lineRule="auto"/>
      </w:pPr>
      <w:r>
        <w:rPr>
          <w:rFonts w:ascii="Calibri" w:hAnsi="Calibri"/>
          <w:b/>
          <w:i w:val="0"/>
          <w:color w:val="0B2545"/>
          <w:sz w:val="38"/>
        </w:rPr>
        <w:t>Governed AI Assistance with Human Accountability</w:t>
      </w:r>
    </w:p>
    <w:p>
      <w:pPr>
        <w:pStyle w:val="Heading1"/>
        <w:keepNext/>
        <w:spacing w:before="100" w:after="60"/>
      </w:pPr>
      <w:r>
        <w:rPr>
          <w:rFonts w:ascii="Calibri" w:hAnsi="Calibri"/>
          <w:b/>
          <w:i w:val="0"/>
          <w:color w:val="2E74B5"/>
          <w:sz w:val="28"/>
        </w:rPr>
        <w:t>How AI is used</w:t>
      </w:r>
    </w:p>
    <w:p>
      <w:pPr>
        <w:spacing w:before="0" w:after="80" w:line="245" w:lineRule="auto"/>
      </w:pPr>
      <w:r>
        <w:rPr>
          <w:rFonts w:ascii="Calibri" w:hAnsi="Calibri"/>
          <w:b w:val="0"/>
          <w:i w:val="0"/>
          <w:sz w:val="20"/>
        </w:rPr>
        <w:t>AI agents assist with anomaly interpretation, rule critique, architecture narrative, summary drafting, demonstration coaching, and independent review. Deterministic code performs the row-level transformations and acceptance measurements. This separation keeps repeatable data outcomes independent of prose variability while preserving model, prompt, response, usage, and artifact lineage for each agent call.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944"/>
            <w:shd w:fill="E8EEF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Agent station</w:t>
            </w:r>
          </w:p>
        </w:tc>
        <w:tc>
          <w:tcPr>
            <w:tcW w:type="dxa" w:w="4680"/>
            <w:shd w:fill="E8EEF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Bounded responsibility</w:t>
            </w:r>
          </w:p>
        </w:tc>
        <w:tc>
          <w:tcPr>
            <w:tcW w:type="dxa" w:w="3240"/>
            <w:shd w:fill="E8EEF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Required evidence</w:t>
            </w:r>
          </w:p>
        </w:tc>
      </w:tr>
      <w:tr>
        <w:tc>
          <w:tcPr>
            <w:tcW w:type="dxa" w:w="194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Rules analyst</w:t>
            </w:r>
          </w:p>
        </w:tc>
        <w:tc>
          <w:tcPr>
            <w:tcW w:type="dxa" w:w="468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Review profile and propose governed rule narrative.</w:t>
            </w:r>
          </w:p>
        </w:tc>
        <w:tc>
          <w:tcPr>
            <w:tcW w:type="dxa" w:w="324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Anomaly inventory and deterministic rule spec.</w:t>
            </w:r>
          </w:p>
        </w:tc>
      </w:tr>
      <w:tr>
        <w:tc>
          <w:tcPr>
            <w:tcW w:type="dxa" w:w="1944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Diagram architect</w:t>
            </w:r>
          </w:p>
        </w:tc>
        <w:tc>
          <w:tcPr>
            <w:tcW w:type="dxa" w:w="4680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Bind SV-2, DIV-1, and DIV-2 to actual workflow and schemas.</w:t>
            </w:r>
          </w:p>
        </w:tc>
        <w:tc>
          <w:tcPr>
            <w:tcW w:type="dxa" w:w="3240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Requirements, workflow notes, output fields.</w:t>
            </w:r>
          </w:p>
        </w:tc>
      </w:tr>
      <w:tr>
        <w:tc>
          <w:tcPr>
            <w:tcW w:type="dxa" w:w="194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Summary writer</w:t>
            </w:r>
          </w:p>
        </w:tc>
        <w:tc>
          <w:tcPr>
            <w:tcW w:type="dxa" w:w="468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Draft evaluator-facing four-page narrative.</w:t>
            </w:r>
          </w:p>
        </w:tc>
        <w:tc>
          <w:tcPr>
            <w:tcW w:type="dxa" w:w="324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Metrics, rules, review queue, AI-use record.</w:t>
            </w:r>
          </w:p>
        </w:tc>
      </w:tr>
      <w:tr>
        <w:tc>
          <w:tcPr>
            <w:tcW w:type="dxa" w:w="1944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Demo coach</w:t>
            </w:r>
          </w:p>
        </w:tc>
        <w:tc>
          <w:tcPr>
            <w:tcW w:type="dxa" w:w="4680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Prepare 30-minute live flow and 15-minute Q&amp;A.</w:t>
            </w:r>
          </w:p>
        </w:tc>
        <w:tc>
          <w:tcPr>
            <w:tcW w:type="dxa" w:w="3240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Final artifacts and reviewer findings.</w:t>
            </w:r>
          </w:p>
        </w:tc>
      </w:tr>
      <w:tr>
        <w:tc>
          <w:tcPr>
            <w:tcW w:type="dxa" w:w="1944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QA reviewer</w:t>
            </w:r>
          </w:p>
        </w:tc>
        <w:tc>
          <w:tcPr>
            <w:tcW w:type="dxa" w:w="468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Review independently against RFP requirements.</w:t>
            </w:r>
          </w:p>
        </w:tc>
        <w:tc>
          <w:tcPr>
            <w:tcW w:type="dxa" w:w="3240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Complete package and traceability matrix.</w:t>
            </w:r>
          </w:p>
        </w:tc>
      </w:tr>
    </w:tbl>
    <w:p>
      <w:pPr>
        <w:pStyle w:val="Heading1"/>
        <w:keepNext/>
        <w:spacing w:before="100" w:after="60"/>
      </w:pPr>
      <w:r>
        <w:rPr>
          <w:rFonts w:ascii="Calibri" w:hAnsi="Calibri"/>
          <w:b/>
          <w:i w:val="0"/>
          <w:color w:val="2E74B5"/>
          <w:sz w:val="28"/>
        </w:rPr>
        <w:t>Prompt and tool governance</w:t>
      </w:r>
    </w:p>
    <w:p>
      <w:pPr>
        <w:pStyle w:val="ListBullet"/>
        <w:spacing w:after="40" w:line="240" w:lineRule="auto"/>
        <w:ind w:left="346" w:hanging="202"/>
      </w:pPr>
      <w:r>
        <w:rPr>
          <w:rFonts w:ascii="Calibri" w:hAnsi="Calibri"/>
          <w:b w:val="0"/>
          <w:i w:val="0"/>
          <w:sz w:val="20"/>
        </w:rPr>
        <w:t>System and factory policy outrank user requests; source documents remain untrusted context and cannot change runtime behavior.</w:t>
      </w:r>
    </w:p>
    <w:p>
      <w:pPr>
        <w:pStyle w:val="ListBullet"/>
        <w:spacing w:after="40" w:line="240" w:lineRule="auto"/>
        <w:ind w:left="346" w:hanging="202"/>
      </w:pPr>
      <w:r>
        <w:rPr>
          <w:rFonts w:ascii="Calibri" w:hAnsi="Calibri"/>
          <w:b w:val="0"/>
          <w:i w:val="0"/>
          <w:sz w:val="20"/>
        </w:rPr>
        <w:t>Each agent receives only the artifacts required for its station, with a bounded output budget and no broad tool or network access by default.</w:t>
      </w:r>
    </w:p>
    <w:p>
      <w:pPr>
        <w:pStyle w:val="ListBullet"/>
        <w:spacing w:after="40" w:line="240" w:lineRule="auto"/>
        <w:ind w:left="346" w:hanging="202"/>
      </w:pPr>
      <w:r>
        <w:rPr>
          <w:rFonts w:ascii="Calibri" w:hAnsi="Calibri"/>
          <w:b w:val="0"/>
          <w:i w:val="0"/>
          <w:sz w:val="20"/>
        </w:rPr>
        <w:t>Model/provider, response ID, token usage, run ID, artifact path, and acceptance result are recorded; raw provider payload storage is disabled by default.</w:t>
      </w:r>
    </w:p>
    <w:p>
      <w:pPr>
        <w:pStyle w:val="ListBullet"/>
        <w:spacing w:after="40" w:line="240" w:lineRule="auto"/>
        <w:ind w:left="346" w:hanging="202"/>
      </w:pPr>
      <w:r>
        <w:rPr>
          <w:rFonts w:ascii="Calibri" w:hAnsi="Calibri"/>
          <w:b w:val="0"/>
          <w:i w:val="0"/>
          <w:sz w:val="20"/>
        </w:rPr>
        <w:t>A versioned prompt, model, and test fixture are evaluated before promotion; builders do not approve their own outputs.</w:t>
      </w:r>
    </w:p>
    <w:p>
      <w:pPr>
        <w:pStyle w:val="Heading1"/>
        <w:keepNext/>
        <w:spacing w:before="100" w:after="60"/>
      </w:pPr>
      <w:r>
        <w:rPr>
          <w:rFonts w:ascii="Calibri" w:hAnsi="Calibri"/>
          <w:b/>
          <w:i w:val="0"/>
          <w:color w:val="2E74B5"/>
          <w:sz w:val="28"/>
        </w:rPr>
        <w:t>Human-in-the-loop and data governance</w:t>
      </w:r>
    </w:p>
    <w:p>
      <w:pPr>
        <w:spacing w:before="0" w:after="80" w:line="245" w:lineRule="auto"/>
      </w:pPr>
      <w:r>
        <w:rPr>
          <w:rFonts w:ascii="Calibri" w:hAnsi="Calibri"/>
          <w:b w:val="0"/>
          <w:i w:val="0"/>
          <w:sz w:val="20"/>
        </w:rPr>
        <w:t>Named gates accept source context, business rules, SME decisions, and the final package. The 3,635-record review queue exposes affected SBRNs, issue flags, decision owner, and status. A production owner must resolve recall vocabulary, date anomalies, unit conversions with business meaning, uncertain item matches, and source-system corrections. Approval records must capture actor, decision, reason, timestamp, and the exact artifact version reviewed.</w:t>
      </w:r>
    </w:p>
    <w:p>
      <w:pPr>
        <w:pStyle w:val="Heading1"/>
        <w:keepNext/>
        <w:spacing w:before="100" w:after="60"/>
      </w:pPr>
      <w:r>
        <w:rPr>
          <w:rFonts w:ascii="Calibri" w:hAnsi="Calibri"/>
          <w:b/>
          <w:i w:val="0"/>
          <w:color w:val="2E74B5"/>
          <w:sz w:val="28"/>
        </w:rPr>
        <w:t>Security and responsible operation</w:t>
      </w:r>
    </w:p>
    <w:p>
      <w:pPr>
        <w:spacing w:before="0" w:after="80" w:line="245" w:lineRule="auto"/>
      </w:pPr>
      <w:r>
        <w:rPr>
          <w:rFonts w:ascii="Calibri" w:hAnsi="Calibri"/>
          <w:b w:val="0"/>
          <w:i w:val="0"/>
          <w:sz w:val="20"/>
        </w:rPr>
        <w:t>Secrets are injected at runtime from a secret manager and never stored in source control. Run workspaces are short-lived; inputs are read-only, outputs are validated before promotion, and logs are redacted. Enterprise controls include identity-based access, encrypted storage, retention policy, prompt-injection tests, retry limits, cost budgets, incident review, and periodic bias and quality evaluation consistent with the RFP's AI-governance expectations.</w:t>
      </w:r>
    </w:p>
    <w:p>
      <w:pPr>
        <w:keepNext w:val="0"/>
        <w:spacing w:before="60" w:after="0" w:line="245" w:lineRule="auto"/>
      </w:pPr>
      <w:r>
        <w:rPr>
          <w:rFonts w:ascii="Calibri" w:hAnsi="Calibri"/>
          <w:b w:val="0"/>
          <w:i w:val="0"/>
          <w:color w:val="505862"/>
          <w:sz w:val="20"/>
        </w:rPr>
        <w:t>Factory evidence: run ledger, input/artifact inventories, model_calls.json, acceptance checks, and human-review queue.</w:t>
      </w:r>
    </w:p>
    <w:p>
      <w:r>
        <w:br w:type="page"/>
      </w:r>
    </w:p>
    <w:p>
      <w:pPr>
        <w:keepNext/>
        <w:spacing w:before="0" w:after="40" w:line="245" w:lineRule="auto"/>
      </w:pPr>
      <w:r>
        <w:rPr>
          <w:rFonts w:ascii="Calibri" w:hAnsi="Calibri"/>
          <w:b/>
          <w:i w:val="0"/>
          <w:color w:val="2E74B5"/>
          <w:sz w:val="20"/>
        </w:rPr>
        <w:t>PAGE 4 | SCALE AND ARCHITECTURE</w:t>
      </w:r>
    </w:p>
    <w:p>
      <w:pPr>
        <w:keepNext/>
        <w:spacing w:before="0" w:after="40" w:line="245" w:lineRule="auto"/>
      </w:pPr>
      <w:r>
        <w:rPr>
          <w:rFonts w:ascii="Calibri" w:hAnsi="Calibri"/>
          <w:b/>
          <w:i w:val="0"/>
          <w:color w:val="0B2545"/>
          <w:sz w:val="38"/>
        </w:rPr>
        <w:t>Scaling from 10 Hospitals to an Enterprise Service</w:t>
      </w:r>
    </w:p>
    <w:p>
      <w:pPr>
        <w:pStyle w:val="Heading1"/>
        <w:keepNext/>
        <w:spacing w:before="100" w:after="60"/>
      </w:pPr>
      <w:r>
        <w:rPr>
          <w:rFonts w:ascii="Calibri" w:hAnsi="Calibri"/>
          <w:b/>
          <w:i w:val="0"/>
          <w:color w:val="2E74B5"/>
          <w:sz w:val="28"/>
        </w:rPr>
        <w:t>Production operating model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232"/>
            <w:shd w:fill="E8EEF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Layer</w:t>
            </w:r>
          </w:p>
        </w:tc>
        <w:tc>
          <w:tcPr>
            <w:tcW w:type="dxa" w:w="7632"/>
            <w:shd w:fill="E8EEF5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0B2545"/>
                <w:sz w:val="20"/>
              </w:rPr>
              <w:t>Enterprise responsibility</w:t>
            </w:r>
          </w:p>
        </w:tc>
      </w:tr>
      <w:tr>
        <w:tc>
          <w:tcPr>
            <w:tcW w:type="dxa" w:w="22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Trigger and identity</w:t>
            </w:r>
          </w:p>
        </w:tc>
        <w:tc>
          <w:tcPr>
            <w:tcW w:type="dxa" w:w="76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CLI, API, Teams, or Slack normalize to one authenticated request and idempotency key.</w:t>
            </w:r>
          </w:p>
        </w:tc>
      </w:tr>
      <w:tr>
        <w:tc>
          <w:tcPr>
            <w:tcW w:type="dxa" w:w="2232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Orchestration</w:t>
            </w:r>
          </w:p>
        </w:tc>
        <w:tc>
          <w:tcPr>
            <w:tcW w:type="dxa" w:w="7632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Queue-backed workflow assigns isolated agent jobs, retries bounded failures, enforces approvals, and records state.</w:t>
            </w:r>
          </w:p>
        </w:tc>
      </w:tr>
      <w:tr>
        <w:tc>
          <w:tcPr>
            <w:tcW w:type="dxa" w:w="22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Data and artifacts</w:t>
            </w:r>
          </w:p>
        </w:tc>
        <w:tc>
          <w:tcPr>
            <w:tcW w:type="dxa" w:w="76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Private object storage versions inputs, rules, outputs, and evidence; hashes prove lineage and repeatability.</w:t>
            </w:r>
          </w:p>
        </w:tc>
      </w:tr>
      <w:tr>
        <w:tc>
          <w:tcPr>
            <w:tcW w:type="dxa" w:w="2232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Model gateway</w:t>
            </w:r>
          </w:p>
        </w:tc>
        <w:tc>
          <w:tcPr>
            <w:tcW w:type="dxa" w:w="7632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Approved models, prompt versions, token/cost limits, content controls, usage records, and secret rotation.</w:t>
            </w:r>
          </w:p>
        </w:tc>
      </w:tr>
      <w:tr>
        <w:tc>
          <w:tcPr>
            <w:tcW w:type="dxa" w:w="22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Quality and governance</w:t>
            </w:r>
          </w:p>
        </w:tc>
        <w:tc>
          <w:tcPr>
            <w:tcW w:type="dxa" w:w="7632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Golden datasets, schema checks, regression comparisons, reviewer separation, and signed SME decisions.</w:t>
            </w:r>
          </w:p>
        </w:tc>
      </w:tr>
      <w:tr>
        <w:tc>
          <w:tcPr>
            <w:tcW w:type="dxa" w:w="2232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Operations</w:t>
            </w:r>
          </w:p>
        </w:tc>
        <w:tc>
          <w:tcPr>
            <w:tcW w:type="dxa" w:w="7632"/>
            <w:shd w:fill="FAFBFC"/>
            <w:tcMar>
              <w:top w:w="45" w:type="dxa"/>
              <w:start w:w="90" w:type="dxa"/>
              <w:bottom w:w="45" w:type="dxa"/>
              <w:end w:w="9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sz w:val="20"/>
              </w:rPr>
              <w:t>Central logs, traces, dashboards, alerts, retention, cancellation, recovery, and audit export.</w:t>
            </w:r>
          </w:p>
        </w:tc>
      </w:tr>
    </w:tbl>
    <w:p>
      <w:pPr>
        <w:pStyle w:val="Heading1"/>
        <w:keepNext/>
        <w:spacing w:before="100" w:after="60"/>
      </w:pPr>
      <w:r>
        <w:rPr>
          <w:rFonts w:ascii="Calibri" w:hAnsi="Calibri"/>
          <w:b/>
          <w:i w:val="0"/>
          <w:color w:val="2E74B5"/>
          <w:sz w:val="28"/>
        </w:rPr>
        <w:t>Path from 10 to approximately 200 hospitals</w:t>
      </w:r>
    </w:p>
    <w:p>
      <w:pPr>
        <w:pStyle w:val="ListBullet"/>
        <w:spacing w:after="40" w:line="240" w:lineRule="auto"/>
        <w:ind w:left="346" w:hanging="202"/>
      </w:pPr>
      <w:r>
        <w:rPr>
          <w:rFonts w:ascii="Calibri" w:hAnsi="Calibri"/>
          <w:b w:val="0"/>
          <w:i w:val="0"/>
          <w:sz w:val="20"/>
        </w:rPr>
        <w:t>Onboard in waves using a common intake contract and hospital-specific source adapters; reject incomplete packages before processing.</w:t>
      </w:r>
    </w:p>
    <w:p>
      <w:pPr>
        <w:pStyle w:val="ListBullet"/>
        <w:spacing w:after="40" w:line="240" w:lineRule="auto"/>
        <w:ind w:left="346" w:hanging="202"/>
      </w:pPr>
      <w:r>
        <w:rPr>
          <w:rFonts w:ascii="Calibri" w:hAnsi="Calibri"/>
          <w:b w:val="0"/>
          <w:i w:val="0"/>
          <w:sz w:val="20"/>
        </w:rPr>
        <w:t>Partition profiling and transformation by hospital and data domain, while a governed canonical registry maintains national identities.</w:t>
      </w:r>
    </w:p>
    <w:p>
      <w:pPr>
        <w:pStyle w:val="ListBullet"/>
        <w:spacing w:after="40" w:line="240" w:lineRule="auto"/>
        <w:ind w:left="346" w:hanging="202"/>
      </w:pPr>
      <w:r>
        <w:rPr>
          <w:rFonts w:ascii="Calibri" w:hAnsi="Calibri"/>
          <w:b w:val="0"/>
          <w:i w:val="0"/>
          <w:sz w:val="20"/>
        </w:rPr>
        <w:t>Promote deterministic rules through versioned tests; route only low-confidence or policy-sensitive records to specialist queues.</w:t>
      </w:r>
    </w:p>
    <w:p>
      <w:pPr>
        <w:pStyle w:val="ListBullet"/>
        <w:spacing w:after="40" w:line="240" w:lineRule="auto"/>
        <w:ind w:left="346" w:hanging="202"/>
      </w:pPr>
      <w:r>
        <w:rPr>
          <w:rFonts w:ascii="Calibri" w:hAnsi="Calibri"/>
          <w:b w:val="0"/>
          <w:i w:val="0"/>
          <w:sz w:val="20"/>
        </w:rPr>
        <w:t>Measure throughput, queue age, exception rate, model usage, cost per run, rule drift, and reviewer agreement by hospital and wave.</w:t>
      </w:r>
    </w:p>
    <w:p>
      <w:pPr>
        <w:pStyle w:val="ListBullet"/>
        <w:spacing w:after="40" w:line="240" w:lineRule="auto"/>
        <w:ind w:left="346" w:hanging="202"/>
      </w:pPr>
      <w:r>
        <w:rPr>
          <w:rFonts w:ascii="Calibri" w:hAnsi="Calibri"/>
          <w:b w:val="0"/>
          <w:i w:val="0"/>
          <w:sz w:val="20"/>
        </w:rPr>
        <w:t>Use representative golden datasets and staged releases to prevent a local rule change from silently altering enterprise outputs.</w:t>
      </w:r>
    </w:p>
    <w:p>
      <w:pPr>
        <w:pStyle w:val="Heading1"/>
        <w:keepNext/>
        <w:spacing w:before="100" w:after="60"/>
      </w:pPr>
      <w:r>
        <w:rPr>
          <w:rFonts w:ascii="Calibri" w:hAnsi="Calibri"/>
          <w:b/>
          <w:i w:val="0"/>
          <w:color w:val="2E74B5"/>
          <w:sz w:val="28"/>
        </w:rPr>
        <w:t>Architecture products and validated outcome</w:t>
      </w:r>
    </w:p>
    <w:p>
      <w:pPr>
        <w:spacing w:before="0" w:after="80" w:line="245" w:lineRule="auto"/>
      </w:pPr>
      <w:r>
        <w:rPr>
          <w:rFonts w:ascii="Calibri" w:hAnsi="Calibri"/>
          <w:b w:val="0"/>
          <w:i w:val="0"/>
          <w:sz w:val="20"/>
        </w:rPr>
        <w:t>The SV-2 describes information and resource exchange among EHR, EIMS, FMS, external supplier/insurer actors, and the governed item-master factory. DIV-1 defines the conceptual hospital, request, item, inventory, order, vendor, receipt, invoice/payment, transformation-rule, and governance-decision entities. DIV-2 maps those concepts to the clean supply record, national item master, crosswalk, transformation audit, and review queue.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469"/>
            <w:shd w:fill="0B25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5,000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rows preserved</w:t>
            </w:r>
          </w:p>
        </w:tc>
        <w:tc>
          <w:tcPr>
            <w:tcW w:type="dxa" w:w="2469"/>
            <w:shd w:fill="0B25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24,886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field changes logged</w:t>
            </w:r>
          </w:p>
        </w:tc>
        <w:tc>
          <w:tcPr>
            <w:tcW w:type="dxa" w:w="2469"/>
            <w:shd w:fill="0B25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3,635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records queued</w:t>
            </w:r>
          </w:p>
        </w:tc>
        <w:tc>
          <w:tcPr>
            <w:tcW w:type="dxa" w:w="2469"/>
            <w:shd w:fill="0B254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2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4/4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 w:val="0"/>
                <w:color w:val="FFFFFF"/>
                <w:sz w:val="20"/>
              </w:rPr>
              <w:t>repeatability hashes matched</w:t>
            </w:r>
          </w:p>
        </w:tc>
      </w:tr>
    </w:tbl>
    <w:p>
      <w:pPr>
        <w:pStyle w:val="Heading1"/>
        <w:keepNext/>
        <w:spacing w:before="100" w:after="60"/>
      </w:pPr>
      <w:r>
        <w:rPr>
          <w:rFonts w:ascii="Calibri" w:hAnsi="Calibri"/>
          <w:b/>
          <w:i w:val="0"/>
          <w:color w:val="2E74B5"/>
          <w:sz w:val="28"/>
        </w:rPr>
        <w:t>Assumptions and conclusion</w:t>
      </w:r>
    </w:p>
    <w:p>
      <w:pPr>
        <w:spacing w:before="0" w:after="80" w:line="245" w:lineRule="auto"/>
      </w:pPr>
      <w:r>
        <w:rPr>
          <w:rFonts w:ascii="Calibri" w:hAnsi="Calibri"/>
          <w:b w:val="0"/>
          <w:i w:val="0"/>
          <w:sz w:val="20"/>
        </w:rPr>
        <w:t>The exercise uses fictional, system-agnostic data. Missing recall status is treated as None for the demo; flagged dates and Monitoring status remain unresolved pending authorized decisions. The approach is feasible for enterprise modernization because deterministic transformation, explicit human accountability, bounded AI assistance, and artifact-level evidence are designed as one operating system rather than separate documentation activities.</w:t>
      </w:r>
    </w:p>
    <w:p>
      <w:pPr>
        <w:keepNext w:val="0"/>
        <w:spacing w:before="60" w:after="0" w:line="245" w:lineRule="auto"/>
      </w:pPr>
      <w:r>
        <w:rPr>
          <w:rFonts w:ascii="Calibri" w:hAnsi="Calibri"/>
          <w:b w:val="0"/>
          <w:i w:val="0"/>
          <w:color w:val="505862"/>
          <w:sz w:val="20"/>
        </w:rPr>
        <w:t>Submission package: cleanfile.csv, itemmaster.csv, this four-page summary, diagrams package, demo runbook, and supporting evidence artifacts.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05862"/>
        <w:sz w:val="20"/>
      </w:rPr>
      <w:t xml:space="preserve">Quoter_Tech1a_summary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05862"/>
        <w:sz w:val="20"/>
      </w:rPr>
      <w:t>TECHNICAL CHALLENGE | HOSPITAL ITEM MASTER MODERNIZATION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B254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