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2E74B5"/>
          <w:sz w:val="20"/>
        </w:rPr>
        <w:t>PAGE 1 | METHODOLOGY</w:t>
      </w:r>
    </w:p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0B2545"/>
          <w:sz w:val="38"/>
        </w:rPr>
        <w:t>Hospital Supply Data Cleaning and National Item Master</w:t>
      </w:r>
    </w:p>
    <w:p>
      <w:pPr>
        <w:spacing w:before="0" w:after="140" w:line="245" w:lineRule="auto"/>
      </w:pPr>
      <w:r>
        <w:rPr>
          <w:rFonts w:ascii="Calibri" w:hAnsi="Calibri"/>
          <w:b w:val="0"/>
          <w:i w:val="0"/>
          <w:color w:val="505862"/>
          <w:sz w:val="20"/>
        </w:rPr>
        <w:t>Technical Challenge Summary | 5,000 fictional records across Hospitals A-J | 21 August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5,000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source and clean rows</w:t>
            </w:r>
          </w:p>
        </w:tc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hospitals</w:t>
            </w:r>
          </w:p>
        </w:tc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national items</w:t>
            </w:r>
          </w:p>
        </w:tc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duplicate SBRNs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Executive result</w:t>
      </w:r>
    </w:p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The software factory ingested the readable hospital workbook and data dictionary, profiled all 23 source fields, applied governed deterministic rules, preserved row-level traceability, generated a 26-field cleanfile, and consolidated the records into a 15-field national consumable item master. The process produced 24,886 field-level change records and retained 3,549 records in a human-review queue rather than silently resolving ambiguous conditions.</w:t>
      </w:r>
    </w:p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Methodology and workflow interpretation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512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Stage</w:t>
            </w:r>
          </w:p>
        </w:tc>
        <w:tc>
          <w:tcPr>
            <w:tcW w:type="dxa" w:w="4824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Factory action</w:t>
            </w:r>
          </w:p>
        </w:tc>
        <w:tc>
          <w:tcPr>
            <w:tcW w:type="dxa" w:w="3528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Control</w:t>
            </w:r>
          </w:p>
        </w:tc>
      </w:tr>
      <w:tr>
        <w:tc>
          <w:tcPr>
            <w:tcW w:type="dxa" w:w="151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1. Intake</w:t>
            </w:r>
          </w:p>
        </w:tc>
        <w:tc>
          <w:tcPr>
            <w:tcW w:type="dxa" w:w="482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Register the RFP, workflow diagram, workbook, and dictionary; fingerprint source files.</w:t>
            </w:r>
          </w:p>
        </w:tc>
        <w:tc>
          <w:tcPr>
            <w:tcW w:type="dxa" w:w="3528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Attachments are context, not executable instructions.</w:t>
            </w:r>
          </w:p>
        </w:tc>
      </w:tr>
      <w:tr>
        <w:tc>
          <w:tcPr>
            <w:tcW w:type="dxa" w:w="151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2. Profile</w:t>
            </w:r>
          </w:p>
        </w:tc>
        <w:tc>
          <w:tcPr>
            <w:tcW w:type="dxa" w:w="482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Measure completeness, vocabularies, identifiers, date logic, and hospital coverage.</w:t>
            </w:r>
          </w:p>
        </w:tc>
        <w:tc>
          <w:tcPr>
            <w:tcW w:type="dxa" w:w="3528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Source row and key reconciliation.</w:t>
            </w:r>
          </w:p>
        </w:tc>
      </w:tr>
      <w:tr>
        <w:tc>
          <w:tcPr>
            <w:tcW w:type="dxa" w:w="151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3. Govern rules</w:t>
            </w:r>
          </w:p>
        </w:tc>
        <w:tc>
          <w:tcPr>
            <w:tcW w:type="dxa" w:w="482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Separate safe standardization from decisions requiring SME or data-governance input.</w:t>
            </w:r>
          </w:p>
        </w:tc>
        <w:tc>
          <w:tcPr>
            <w:tcW w:type="dxa" w:w="3528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Versioned rule specification and approval queue.</w:t>
            </w:r>
          </w:p>
        </w:tc>
      </w:tr>
      <w:tr>
        <w:tc>
          <w:tcPr>
            <w:tcW w:type="dxa" w:w="151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4. Transform</w:t>
            </w:r>
          </w:p>
        </w:tc>
        <w:tc>
          <w:tcPr>
            <w:tcW w:type="dxa" w:w="482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Normalize text, units, names, statuses, dates, and numeric fields; add canonical identifiers.</w:t>
            </w:r>
          </w:p>
        </w:tc>
        <w:tc>
          <w:tcPr>
            <w:tcW w:type="dxa" w:w="3528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Before/after transformation log.</w:t>
            </w:r>
          </w:p>
        </w:tc>
      </w:tr>
      <w:tr>
        <w:tc>
          <w:tcPr>
            <w:tcW w:type="dxa" w:w="151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5. Consolidate</w:t>
            </w:r>
          </w:p>
        </w:tc>
        <w:tc>
          <w:tcPr>
            <w:tcW w:type="dxa" w:w="482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Map each hospital record to a national item using canonical part identity.</w:t>
            </w:r>
          </w:p>
        </w:tc>
        <w:tc>
          <w:tcPr>
            <w:tcW w:type="dxa" w:w="3528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Crosswalk preserves SBRN and local item number.</w:t>
            </w:r>
          </w:p>
        </w:tc>
      </w:tr>
      <w:tr>
        <w:tc>
          <w:tcPr>
            <w:tcW w:type="dxa" w:w="151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6. Review</w:t>
            </w:r>
          </w:p>
        </w:tc>
        <w:tc>
          <w:tcPr>
            <w:tcW w:type="dxa" w:w="482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Run acceptance checks and independent evaluator-style review.</w:t>
            </w:r>
          </w:p>
        </w:tc>
        <w:tc>
          <w:tcPr>
            <w:tcW w:type="dxa" w:w="3528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No hidden unresolved exceptions.</w:t>
            </w:r>
          </w:p>
        </w:tc>
      </w:tr>
    </w:tbl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The supplied process was interpreted as three system responsibilities: the EHR originates patient supply demand and records use; the EIMS checks availability, retrieves or replenishes inventory, receives supply, and monitors reorder conditions; the FMS manages purchasing, invoices, and payment events. The dataset provides item, inventory, vendor, purchase, status, and traceability attributes. Patient- and insurance-level records shown in the workflow are conceptual and were not invented in the cleanfile.</w:t>
      </w:r>
    </w:p>
    <w:p>
      <w:pPr>
        <w:keepNext w:val="0"/>
        <w:spacing w:before="60" w:after="0" w:line="245" w:lineRule="auto"/>
      </w:pPr>
      <w:r>
        <w:rPr>
          <w:rFonts w:ascii="Calibri" w:hAnsi="Calibri"/>
          <w:b w:val="0"/>
          <w:i w:val="0"/>
          <w:color w:val="505862"/>
          <w:sz w:val="20"/>
        </w:rPr>
        <w:t>Source basis: project email; RFP Technical Challenge pages 143-148; supplied workflow diagram; Excel-data.xlsx.</w:t>
      </w:r>
    </w:p>
    <w:p>
      <w:r>
        <w:br w:type="page"/>
      </w:r>
    </w:p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2E74B5"/>
          <w:sz w:val="20"/>
        </w:rPr>
        <w:t>PAGE 2 | RULES</w:t>
      </w:r>
    </w:p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0B2545"/>
          <w:sz w:val="38"/>
        </w:rPr>
        <w:t>Business Rules, Transformation Logic, and Decisions</w:t>
      </w:r>
    </w:p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Deterministic standardization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512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Domain</w:t>
            </w:r>
          </w:p>
        </w:tc>
        <w:tc>
          <w:tcPr>
            <w:tcW w:type="dxa" w:w="5832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Applied rule</w:t>
            </w:r>
          </w:p>
        </w:tc>
        <w:tc>
          <w:tcPr>
            <w:tcW w:type="dxa" w:w="2520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Illustrative result</w:t>
            </w:r>
          </w:p>
        </w:tc>
      </w:tr>
      <w:tr>
        <w:tc>
          <w:tcPr>
            <w:tcW w:type="dxa" w:w="151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58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Trim and collapse whitespace; preserve SBRN unchanged.</w:t>
            </w:r>
          </w:p>
        </w:tc>
        <w:tc>
          <w:tcPr>
            <w:tcW w:type="dxa" w:w="252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Stable record identity for audit.</w:t>
            </w:r>
          </w:p>
        </w:tc>
      </w:tr>
      <w:tr>
        <w:tc>
          <w:tcPr>
            <w:tcW w:type="dxa" w:w="151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Part identity</w:t>
            </w:r>
          </w:p>
        </w:tc>
        <w:tc>
          <w:tcPr>
            <w:tcW w:type="dxa" w:w="58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Normalize known typos/abbreviations and derive six missing names from description prefixes.</w:t>
            </w:r>
          </w:p>
        </w:tc>
        <w:tc>
          <w:tcPr>
            <w:tcW w:type="dxa" w:w="252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Antiseptc Wipes -&gt; Antiseptic Wipes.</w:t>
            </w:r>
          </w:p>
        </w:tc>
      </w:tr>
      <w:tr>
        <w:tc>
          <w:tcPr>
            <w:tcW w:type="dxa" w:w="151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Unit</w:t>
            </w:r>
          </w:p>
        </w:tc>
        <w:tc>
          <w:tcPr>
            <w:tcW w:type="dxa" w:w="58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Map variants to BOX, EA, UNIT, BAG, or PACK.</w:t>
            </w:r>
          </w:p>
        </w:tc>
        <w:tc>
          <w:tcPr>
            <w:tcW w:type="dxa" w:w="252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BX -&gt; BOX; PKG -&gt; PACK.</w:t>
            </w:r>
          </w:p>
        </w:tc>
      </w:tr>
      <w:tr>
        <w:tc>
          <w:tcPr>
            <w:tcW w:type="dxa" w:w="151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Manufacturer</w:t>
            </w:r>
          </w:p>
        </w:tc>
        <w:tc>
          <w:tcPr>
            <w:tcW w:type="dxa" w:w="58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Map known aliases into MedSupply, SurgiTech, and HealthCorp canonical families.</w:t>
            </w:r>
          </w:p>
        </w:tc>
        <w:tc>
          <w:tcPr>
            <w:tcW w:type="dxa" w:w="252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Corportion -&gt; HealthCorp Intl.</w:t>
            </w:r>
          </w:p>
        </w:tc>
      </w:tr>
      <w:tr>
        <w:tc>
          <w:tcPr>
            <w:tcW w:type="dxa" w:w="151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Vendor</w:t>
            </w:r>
          </w:p>
        </w:tc>
        <w:tc>
          <w:tcPr>
            <w:tcW w:type="dxa" w:w="58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Normalize known formatting aliases.</w:t>
            </w:r>
          </w:p>
        </w:tc>
        <w:tc>
          <w:tcPr>
            <w:tcW w:type="dxa" w:w="252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GlobalMed Inc -&gt; GlobalMed.</w:t>
            </w:r>
          </w:p>
        </w:tc>
      </w:tr>
      <w:tr>
        <w:tc>
          <w:tcPr>
            <w:tcW w:type="dxa" w:w="151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Status</w:t>
            </w:r>
          </w:p>
        </w:tc>
        <w:tc>
          <w:tcPr>
            <w:tcW w:type="dxa" w:w="58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Map order states to Pending, Delivered, Shipped, or Canceled; map Active Recall to Active.</w:t>
            </w:r>
          </w:p>
        </w:tc>
        <w:tc>
          <w:tcPr>
            <w:tcW w:type="dxa" w:w="252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Received -&gt; Delivered.</w:t>
            </w:r>
          </w:p>
        </w:tc>
      </w:tr>
      <w:tr>
        <w:tc>
          <w:tcPr>
            <w:tcW w:type="dxa" w:w="151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Dates/numbers</w:t>
            </w:r>
          </w:p>
        </w:tc>
        <w:tc>
          <w:tcPr>
            <w:tcW w:type="dxa" w:w="58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Format dates as YYYY-MM-DD; coerce price and quantities to numeric values.</w:t>
            </w:r>
          </w:p>
        </w:tc>
        <w:tc>
          <w:tcPr>
            <w:tcW w:type="dxa" w:w="252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Comparable values across hospitals.</w:t>
            </w:r>
          </w:p>
        </w:tc>
      </w:tr>
      <w:tr>
        <w:tc>
          <w:tcPr>
            <w:tcW w:type="dxa" w:w="151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Traceability</w:t>
            </w:r>
          </w:p>
        </w:tc>
        <w:tc>
          <w:tcPr>
            <w:tcW w:type="dxa" w:w="58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Add NationalItemMasterId, DataQualityFlags, and HumanReviewRequired.</w:t>
            </w:r>
          </w:p>
        </w:tc>
        <w:tc>
          <w:tcPr>
            <w:tcW w:type="dxa" w:w="252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Every row exposes its disposition.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Conditions deliberately not auto-corrected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376"/>
            <w:shd w:fill="F2F4F7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Condition</w:t>
            </w:r>
          </w:p>
        </w:tc>
        <w:tc>
          <w:tcPr>
            <w:tcW w:type="dxa" w:w="1944"/>
            <w:shd w:fill="F2F4F7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Observed</w:t>
            </w:r>
          </w:p>
        </w:tc>
        <w:tc>
          <w:tcPr>
            <w:tcW w:type="dxa" w:w="5544"/>
            <w:shd w:fill="F2F4F7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Disposition</w:t>
            </w:r>
          </w:p>
        </w:tc>
      </w:tr>
      <w:tr>
        <w:tc>
          <w:tcPr>
            <w:tcW w:type="dxa" w:w="2376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Future purchase date</w:t>
            </w:r>
          </w:p>
        </w:tc>
        <w:tc>
          <w:tcPr>
            <w:tcW w:type="dxa" w:w="19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1,320 records</w:t>
            </w:r>
          </w:p>
        </w:tc>
        <w:tc>
          <w:tcPr>
            <w:tcW w:type="dxa" w:w="55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Flag for source-owner validation; do not invent a replacement date.</w:t>
            </w:r>
          </w:p>
        </w:tc>
      </w:tr>
      <w:tr>
        <w:tc>
          <w:tcPr>
            <w:tcW w:type="dxa" w:w="2376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Expiration before purchase</w:t>
            </w:r>
          </w:p>
        </w:tc>
        <w:tc>
          <w:tcPr>
            <w:tcW w:type="dxa" w:w="194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2,490 records</w:t>
            </w:r>
          </w:p>
        </w:tc>
        <w:tc>
          <w:tcPr>
            <w:tcW w:type="dxa" w:w="554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Flag for SME review and source-system correction.</w:t>
            </w:r>
          </w:p>
        </w:tc>
      </w:tr>
      <w:tr>
        <w:tc>
          <w:tcPr>
            <w:tcW w:type="dxa" w:w="2376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Recall status = Monitoring</w:t>
            </w:r>
          </w:p>
        </w:tc>
        <w:tc>
          <w:tcPr>
            <w:tcW w:type="dxa" w:w="19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Governance exception</w:t>
            </w:r>
          </w:p>
        </w:tc>
        <w:tc>
          <w:tcPr>
            <w:tcW w:type="dxa" w:w="55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Retain source value and require an approved vocabulary decision.</w:t>
            </w:r>
          </w:p>
        </w:tc>
      </w:tr>
      <w:tr>
        <w:tc>
          <w:tcPr>
            <w:tcW w:type="dxa" w:w="2376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Expired item</w:t>
            </w:r>
          </w:p>
        </w:tc>
        <w:tc>
          <w:tcPr>
            <w:tcW w:type="dxa" w:w="194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3,616 records</w:t>
            </w:r>
          </w:p>
        </w:tc>
        <w:tc>
          <w:tcPr>
            <w:tcW w:type="dxa" w:w="554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Flag for operational disposition; retain for traceability and analysis.</w:t>
            </w:r>
          </w:p>
        </w:tc>
      </w:tr>
      <w:tr>
        <w:tc>
          <w:tcPr>
            <w:tcW w:type="dxa" w:w="2376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Missing recall status</w:t>
            </w:r>
          </w:p>
        </w:tc>
        <w:tc>
          <w:tcPr>
            <w:tcW w:type="dxa" w:w="19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1,592 records</w:t>
            </w:r>
          </w:p>
        </w:tc>
        <w:tc>
          <w:tcPr>
            <w:tcW w:type="dxa" w:w="55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Normalize to None as a documented demo assumption.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National item-master construction</w:t>
      </w:r>
    </w:p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Canonical part name drives a transparent NationalItemMasterId. Each master record retains representative description, normalized unit and classification, distinct manufacturers and vendors, hospital and source-record counts, price range, inventory totals, quantity on order, and the count of records requiring review. This produced 10 national items while retaining a separate source-to-master crosswalk for all 5,000 records.</w:t>
      </w:r>
    </w:p>
    <w:p>
      <w:pPr>
        <w:keepNext w:val="0"/>
        <w:spacing w:before="60" w:after="0" w:line="245" w:lineRule="auto"/>
      </w:pPr>
      <w:r>
        <w:rPr>
          <w:rFonts w:ascii="Calibri" w:hAnsi="Calibri"/>
          <w:b w:val="0"/>
          <w:i w:val="0"/>
          <w:color w:val="505862"/>
          <w:sz w:val="20"/>
        </w:rPr>
        <w:t>Evidence: transformation_spec.json, transformation_log.csv, item_master_crosswalk.csv, and human_review_queue.csv.</w:t>
      </w:r>
    </w:p>
    <w:p>
      <w:r>
        <w:br w:type="page"/>
      </w:r>
    </w:p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2E74B5"/>
          <w:sz w:val="20"/>
        </w:rPr>
        <w:t>PAGE 3 | AI AND GOVERNANCE</w:t>
      </w:r>
    </w:p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0B2545"/>
          <w:sz w:val="38"/>
        </w:rPr>
        <w:t>Governed AI Assistance with Human Accountability</w:t>
      </w:r>
    </w:p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How AI is used</w:t>
      </w:r>
    </w:p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AI agents assist with anomaly interpretation, rule critique, architecture narrative, summary drafting, demonstration coaching, and independent review. Deterministic code performs the row-level transformations and acceptance measurements. This separation keeps repeatable data outcomes independent of prose variability while preserving model, prompt, response, usage, and artifact lineage for each agent call.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944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Agent station</w:t>
            </w:r>
          </w:p>
        </w:tc>
        <w:tc>
          <w:tcPr>
            <w:tcW w:type="dxa" w:w="4680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Bounded responsibility</w:t>
            </w:r>
          </w:p>
        </w:tc>
        <w:tc>
          <w:tcPr>
            <w:tcW w:type="dxa" w:w="3240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Required evidence</w:t>
            </w:r>
          </w:p>
        </w:tc>
      </w:tr>
      <w:tr>
        <w:tc>
          <w:tcPr>
            <w:tcW w:type="dxa" w:w="19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Rules analyst</w:t>
            </w:r>
          </w:p>
        </w:tc>
        <w:tc>
          <w:tcPr>
            <w:tcW w:type="dxa" w:w="468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Review profile and propose governed rule narrative.</w:t>
            </w:r>
          </w:p>
        </w:tc>
        <w:tc>
          <w:tcPr>
            <w:tcW w:type="dxa" w:w="324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Anomaly inventory and deterministic rule spec.</w:t>
            </w:r>
          </w:p>
        </w:tc>
      </w:tr>
      <w:tr>
        <w:tc>
          <w:tcPr>
            <w:tcW w:type="dxa" w:w="194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Diagram architect</w:t>
            </w:r>
          </w:p>
        </w:tc>
        <w:tc>
          <w:tcPr>
            <w:tcW w:type="dxa" w:w="468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Bind SV-2, DIV-1, and DIV-2 to actual workflow and schemas.</w:t>
            </w:r>
          </w:p>
        </w:tc>
        <w:tc>
          <w:tcPr>
            <w:tcW w:type="dxa" w:w="324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Requirements, workflow notes, output fields.</w:t>
            </w:r>
          </w:p>
        </w:tc>
      </w:tr>
      <w:tr>
        <w:tc>
          <w:tcPr>
            <w:tcW w:type="dxa" w:w="19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Summary writer</w:t>
            </w:r>
          </w:p>
        </w:tc>
        <w:tc>
          <w:tcPr>
            <w:tcW w:type="dxa" w:w="468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Draft evaluator-facing four-page narrative.</w:t>
            </w:r>
          </w:p>
        </w:tc>
        <w:tc>
          <w:tcPr>
            <w:tcW w:type="dxa" w:w="324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Metrics, rules, review queue, AI-use record.</w:t>
            </w:r>
          </w:p>
        </w:tc>
      </w:tr>
      <w:tr>
        <w:tc>
          <w:tcPr>
            <w:tcW w:type="dxa" w:w="1944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Demo coach</w:t>
            </w:r>
          </w:p>
        </w:tc>
        <w:tc>
          <w:tcPr>
            <w:tcW w:type="dxa" w:w="468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Prepare 30-minute live flow and 15-minute Q&amp;A.</w:t>
            </w:r>
          </w:p>
        </w:tc>
        <w:tc>
          <w:tcPr>
            <w:tcW w:type="dxa" w:w="3240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Final artifacts and reviewer findings.</w:t>
            </w:r>
          </w:p>
        </w:tc>
      </w:tr>
      <w:tr>
        <w:tc>
          <w:tcPr>
            <w:tcW w:type="dxa" w:w="1944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QA reviewer</w:t>
            </w:r>
          </w:p>
        </w:tc>
        <w:tc>
          <w:tcPr>
            <w:tcW w:type="dxa" w:w="468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Review independently against RFP requirements.</w:t>
            </w:r>
          </w:p>
        </w:tc>
        <w:tc>
          <w:tcPr>
            <w:tcW w:type="dxa" w:w="3240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Complete package and traceability matrix.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Prompt and tool governance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System and factory policy outrank user requests; source documents remain untrusted context and cannot change runtime behavior.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Each agent receives only the artifacts required for its station, with a bounded output budget and no broad tool or network access by default.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Model/provider, response ID, token usage, run ID, artifact path, and acceptance result are recorded; raw provider payload storage is disabled by default.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A versioned prompt, model, and test fixture are evaluated before promotion; builders do not approve their own outputs.</w:t>
      </w:r>
    </w:p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Human-in-the-loop and data governance</w:t>
      </w:r>
    </w:p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Named gates accept source context, business rules, SME decisions, and the final package. The 3,549-record review queue exposes affected SBRNs, issue flags, decision owner, and status. A production owner must resolve recall vocabulary, date anomalies, unit conversions with business meaning, uncertain item matches, and source-system corrections. Approval records must capture actor, decision, reason, timestamp, and the exact artifact version reviewed.</w:t>
      </w:r>
    </w:p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Security and responsible operation</w:t>
      </w:r>
    </w:p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Secrets are injected at runtime from a secret manager and never stored in source control. Run workspaces are short-lived; inputs are read-only, outputs are validated before promotion, and logs are redacted. Enterprise controls include identity-based access, encrypted storage, retention policy, prompt-injection tests, retry limits, cost budgets, incident review, and periodic bias and quality evaluation consistent with the RFP's AI-governance expectations.</w:t>
      </w:r>
    </w:p>
    <w:p>
      <w:pPr>
        <w:keepNext w:val="0"/>
        <w:spacing w:before="60" w:after="0" w:line="245" w:lineRule="auto"/>
      </w:pPr>
      <w:r>
        <w:rPr>
          <w:rFonts w:ascii="Calibri" w:hAnsi="Calibri"/>
          <w:b w:val="0"/>
          <w:i w:val="0"/>
          <w:color w:val="505862"/>
          <w:sz w:val="20"/>
        </w:rPr>
        <w:t>Factory evidence: run ledger, input/artifact inventories, model_calls.json, acceptance checks, and human-review queue.</w:t>
      </w:r>
    </w:p>
    <w:p>
      <w:r>
        <w:br w:type="page"/>
      </w:r>
    </w:p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2E74B5"/>
          <w:sz w:val="20"/>
        </w:rPr>
        <w:t>PAGE 4 | SCALE AND ARCHITECTURE</w:t>
      </w:r>
    </w:p>
    <w:p>
      <w:pPr>
        <w:keepNext/>
        <w:spacing w:before="0" w:after="40" w:line="245" w:lineRule="auto"/>
      </w:pPr>
      <w:r>
        <w:rPr>
          <w:rFonts w:ascii="Calibri" w:hAnsi="Calibri"/>
          <w:b/>
          <w:i w:val="0"/>
          <w:color w:val="0B2545"/>
          <w:sz w:val="38"/>
        </w:rPr>
        <w:t>Scaling from 10 Hospitals to an Enterprise Service</w:t>
      </w:r>
    </w:p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Production operating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Layer</w:t>
            </w:r>
          </w:p>
        </w:tc>
        <w:tc>
          <w:tcPr>
            <w:tcW w:type="dxa" w:w="7632"/>
            <w:shd w:fill="E8EEF5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Enterprise responsibility</w:t>
            </w:r>
          </w:p>
        </w:tc>
      </w:tr>
      <w:tr>
        <w:tc>
          <w:tcPr>
            <w:tcW w:type="dxa" w:w="22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Trigger and identity</w:t>
            </w:r>
          </w:p>
        </w:tc>
        <w:tc>
          <w:tcPr>
            <w:tcW w:type="dxa" w:w="76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CLI, API, Teams, or Slack normalize to one authenticated request and idempotency key.</w:t>
            </w:r>
          </w:p>
        </w:tc>
      </w:tr>
      <w:tr>
        <w:tc>
          <w:tcPr>
            <w:tcW w:type="dxa" w:w="22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Orchestration</w:t>
            </w:r>
          </w:p>
        </w:tc>
        <w:tc>
          <w:tcPr>
            <w:tcW w:type="dxa" w:w="76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Queue-backed workflow assigns isolated agent jobs, retries bounded failures, enforces approvals, and records state.</w:t>
            </w:r>
          </w:p>
        </w:tc>
      </w:tr>
      <w:tr>
        <w:tc>
          <w:tcPr>
            <w:tcW w:type="dxa" w:w="22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Data and artifacts</w:t>
            </w:r>
          </w:p>
        </w:tc>
        <w:tc>
          <w:tcPr>
            <w:tcW w:type="dxa" w:w="76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Private object storage versions inputs, rules, outputs, and evidence; hashes prove lineage and repeatability.</w:t>
            </w:r>
          </w:p>
        </w:tc>
      </w:tr>
      <w:tr>
        <w:tc>
          <w:tcPr>
            <w:tcW w:type="dxa" w:w="22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Model gateway</w:t>
            </w:r>
          </w:p>
        </w:tc>
        <w:tc>
          <w:tcPr>
            <w:tcW w:type="dxa" w:w="76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Approved models, prompt versions, token/cost limits, content controls, usage records, and secret rotation.</w:t>
            </w:r>
          </w:p>
        </w:tc>
      </w:tr>
      <w:tr>
        <w:tc>
          <w:tcPr>
            <w:tcW w:type="dxa" w:w="22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Quality and governance</w:t>
            </w:r>
          </w:p>
        </w:tc>
        <w:tc>
          <w:tcPr>
            <w:tcW w:type="dxa" w:w="7632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Golden datasets, schema checks, regression comparisons, reviewer separation, and signed SME decisions.</w:t>
            </w:r>
          </w:p>
        </w:tc>
      </w:tr>
      <w:tr>
        <w:tc>
          <w:tcPr>
            <w:tcW w:type="dxa" w:w="22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Operations</w:t>
            </w:r>
          </w:p>
        </w:tc>
        <w:tc>
          <w:tcPr>
            <w:tcW w:type="dxa" w:w="7632"/>
            <w:shd w:fill="FAFBFC"/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sz w:val="20"/>
              </w:rPr>
              <w:t>Central logs, traces, dashboards, alerts, retention, cancellation, recovery, and audit export.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Path from 10 to approximately 200 hospitals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Onboard in waves using a common intake contract and hospital-specific source adapters; reject incomplete packages before processing.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Partition profiling and transformation by hospital and data domain, while a governed canonical registry maintains national identities.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Promote deterministic rules through versioned tests; route only low-confidence or policy-sensitive records to specialist queues.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Measure throughput, queue age, exception rate, model usage, cost per run, rule drift, and reviewer agreement by hospital and wave.</w:t>
      </w:r>
    </w:p>
    <w:p>
      <w:pPr>
        <w:pStyle w:val="ListBullet"/>
        <w:spacing w:after="40" w:line="240" w:lineRule="auto"/>
        <w:ind w:left="346" w:hanging="202"/>
      </w:pPr>
      <w:r>
        <w:rPr>
          <w:rFonts w:ascii="Calibri" w:hAnsi="Calibri"/>
          <w:b w:val="0"/>
          <w:i w:val="0"/>
          <w:sz w:val="20"/>
        </w:rPr>
        <w:t>Use representative golden datasets and staged releases to prevent a local rule change from silently altering enterprise outputs.</w:t>
      </w:r>
    </w:p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Architecture products and validated outcome</w:t>
      </w:r>
    </w:p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The SV-2 describes information and resource exchange among EHR, EIMS, FMS, external supplier/insurer actors, and the governed item-master factory. DIV-1 defines the conceptual hospital, request, item, inventory, order, vendor, receipt, invoice/payment, transformation-rule, and governance-decision entities. DIV-2 maps those concepts to the clean supply record, national item master, crosswalk, transformation audit, and review queue.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5,000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rows preserved</w:t>
            </w:r>
          </w:p>
        </w:tc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24,886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field changes logged</w:t>
            </w:r>
          </w:p>
        </w:tc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3,549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records queued</w:t>
            </w:r>
          </w:p>
        </w:tc>
        <w:tc>
          <w:tcPr>
            <w:tcW w:type="dxa" w:w="2469"/>
            <w:shd w:fill="0B2545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4/4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repeatability hashes matched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Calibri" w:hAnsi="Calibri"/>
          <w:b/>
          <w:i w:val="0"/>
          <w:color w:val="2E74B5"/>
          <w:sz w:val="28"/>
        </w:rPr>
        <w:t>Assumptions and conclusion</w:t>
      </w:r>
    </w:p>
    <w:p>
      <w:pPr>
        <w:spacing w:before="0" w:after="80" w:line="245" w:lineRule="auto"/>
      </w:pPr>
      <w:r>
        <w:rPr>
          <w:rFonts w:ascii="Calibri" w:hAnsi="Calibri"/>
          <w:b w:val="0"/>
          <w:i w:val="0"/>
          <w:sz w:val="20"/>
        </w:rPr>
        <w:t>The exercise uses fictional, system-agnostic data. Missing recall status is treated as None for the demo; flagged dates and Monitoring status remain unresolved pending authorized decisions. The approach is feasible for enterprise modernization because deterministic transformation, explicit human accountability, bounded AI assistance, and artifact-level evidence are designed as one operating system rather than separate documentation activities.</w:t>
      </w:r>
    </w:p>
    <w:p>
      <w:pPr>
        <w:keepNext w:val="0"/>
        <w:spacing w:before="60" w:after="0" w:line="245" w:lineRule="auto"/>
      </w:pPr>
      <w:r>
        <w:rPr>
          <w:rFonts w:ascii="Calibri" w:hAnsi="Calibri"/>
          <w:b w:val="0"/>
          <w:i w:val="0"/>
          <w:color w:val="505862"/>
          <w:sz w:val="20"/>
        </w:rPr>
        <w:t>Submission package: cleanfile.csv, itemmaster.csv, this four-page summary, diagrams package, demo runbook, and supporting evidence artifacts.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05862"/>
        <w:sz w:val="20"/>
      </w:rPr>
      <w:t xml:space="preserve">Quoter_Tech1a_summary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05862"/>
        <w:sz w:val="20"/>
      </w:rPr>
      <w:t>TECHNICAL CHALLENGE | HOSPITAL ITEM MASTER MODERNIZATION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