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E4002B"/>
          <w:sz w:val="20"/>
        </w:rPr>
        <w:t>THE HARTFORD  ·  AI / ML / DATA SCIENCE</w:t>
      </w:r>
    </w:p>
    <w:p>
      <w:pPr>
        <w:spacing w:after="0"/>
      </w:pPr>
      <w:r>
        <w:rPr>
          <w:rFonts w:ascii="Calibri" w:hAnsi="Calibri"/>
          <w:b/>
          <w:color w:val="0A2540"/>
          <w:sz w:val="88"/>
        </w:rPr>
        <w:t>MedGuard AI</w:t>
      </w:r>
    </w:p>
    <w:p>
      <w:pPr>
        <w:spacing w:after="80"/>
      </w:pPr>
      <w:r>
        <w:rPr>
          <w:rFonts w:ascii="Calibri" w:hAnsi="Calibri"/>
          <w:b w:val="0"/>
          <w:color w:val="6B7280"/>
          <w:sz w:val="30"/>
        </w:rPr>
        <w:t>Intelligent Claim Intelligence — powered by AI-Augmented Risk Mitigation</w:t>
      </w:r>
    </w:p>
    <w:p>
      <w:pPr>
        <w:pBdr>
          <w:bottom w:val="single" w:sz="18" w:space="1" w:color="E4002B"/>
        </w:pBdr>
      </w:pPr>
    </w:p>
    <w:p>
      <w:pPr>
        <w:spacing w:after="40"/>
      </w:pPr>
      <w:r>
        <w:rPr>
          <w:rFonts w:ascii="Calibri" w:hAnsi="Calibri"/>
          <w:b/>
          <w:color w:val="0A2540"/>
          <w:sz w:val="24"/>
        </w:rPr>
        <w:t>A reusable AI pattern for Middle &amp; Large Commercial and Group Benefits</w:t>
      </w:r>
    </w:p>
    <w:p>
      <w:pPr>
        <w:spacing w:after="40"/>
      </w:pPr>
      <w:r>
        <w:rPr>
          <w:rFonts w:ascii="Calibri" w:hAnsi="Calibri"/>
          <w:b w:val="0"/>
          <w:color w:val="6B7280"/>
          <w:sz w:val="20"/>
        </w:rPr>
        <w:t>Presented by  ·  [Your Name]    |    Hackathon 2026  ·  Internal Demo</w:t>
      </w:r>
    </w:p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Executive Summary</w:t>
      </w:r>
    </w:p>
    <w:p>
      <w:pPr>
        <w:spacing w:after="120"/>
      </w:pPr>
      <w:r>
        <w:rPr>
          <w:rFonts w:ascii="Calibri" w:hAnsi="Calibri"/>
          <w:b w:val="0"/>
          <w:color w:val="1F2937"/>
          <w:sz w:val="22"/>
        </w:rPr>
        <w:t>MedGuard AI is a working prototype that demonstrates how three established AI patterns — natural-language search, explainable risk scoring, and document-grounded retrieval — can be combined into a single decision-support cockpit for any large claim portfolio.</w:t>
      </w:r>
    </w:p>
    <w:p>
      <w:pPr>
        <w:spacing w:after="120"/>
      </w:pPr>
      <w:r>
        <w:rPr>
          <w:rFonts w:ascii="Calibri" w:hAnsi="Calibri"/>
          <w:b w:val="0"/>
          <w:color w:val="1F2937"/>
          <w:sz w:val="22"/>
        </w:rPr>
        <w:t>We have built and tested the full architecture end-to-end on synthetic medical records, because medical text is the hardest case in insurance. The same modular pattern is directly re-applicable to The Hartford's two largest opportunities: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1F2937"/>
          <w:sz w:val="22"/>
        </w:rPr>
        <w:t>Group Benefits — short-term-to-long-term disability triage and absence management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1F2937"/>
          <w:sz w:val="22"/>
        </w:rPr>
        <w:t>Middle &amp; Large Commercial — Workers' Compensation severity reduction and Life / Specialty underwriting acceleration</w:t>
      </w:r>
    </w:p>
    <w:p>
      <w:pPr>
        <w:spacing w:after="120"/>
      </w:pPr>
      <w:r>
        <w:rPr>
          <w:rFonts w:ascii="Calibri" w:hAnsi="Calibri"/>
          <w:b/>
          <w:color w:val="0A2540"/>
          <w:sz w:val="22"/>
        </w:rPr>
        <w:t>A 1 % improvement in any of these workflows is a multi-million-dollar annual outcome.</w:t>
      </w:r>
    </w:p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1.  Our Line of Business</w:t>
      </w:r>
    </w:p>
    <w:p>
      <w:pPr>
        <w:spacing w:after="120"/>
      </w:pPr>
      <w:r>
        <w:rPr>
          <w:rFonts w:ascii="Calibri" w:hAnsi="Calibri"/>
          <w:b w:val="0"/>
          <w:color w:val="1F2937"/>
          <w:sz w:val="22"/>
        </w:rPr>
        <w:t>The Hartford operates across three lines that all share one structural challenge: the most valuable signal lives in unstructured medical text that today is read manually.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Line of Business</w:t>
            </w:r>
          </w:p>
        </w:tc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we cover</w:t>
            </w:r>
          </w:p>
        </w:tc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Why this matters here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Middle &amp; Large Commercial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Property, Liability, Workers' Comp for mid-market employers ($25M – $1B revenue) and Fortune-1000 risk programs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Medical evidence drives Workers' Comp severity; opioid and polypharmacy red flags are the largest controllable cost driver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Group Benefits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Disability (STD / LTD), Absence, FMLA, Group Life — #2 U.S. carrier in group disability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Nurse case managers read clinical evidence sequentially; earlier risk identification has direct dollar impact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Specialty &amp; Life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Underwriting, specialty risk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Underwriters spend 30 – 60 minutes per APS letter; semantic retrieval reduces cycle time meaningfully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1F2937"/>
          <w:sz w:val="8"/>
        </w:rPr>
      </w:r>
    </w:p>
    <w:p>
      <w:pPr>
        <w:spacing w:after="120"/>
      </w:pPr>
      <w:r>
        <w:rPr>
          <w:rFonts w:ascii="Calibri" w:hAnsi="Calibri"/>
          <w:b/>
          <w:color w:val="0A2540"/>
          <w:sz w:val="22"/>
        </w:rPr>
        <w:t>Common thread:  every meaningful loss decision involves clinical evidence — and that evidence is unstructured.</w:t>
      </w:r>
    </w:p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2.  The Opportunity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25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C1C9"/>
                <w:sz w:val="22"/>
              </w:rPr>
              <w:t>INDUSTRY BENCHMARK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8"/>
              </w:rPr>
              <w:t>$15 – 30 M  ·  annual value of a 1 % reduction in STD-to-LTD conversion for a top-3 U.S. group disability carrier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1F2937"/>
          <w:sz w:val="4"/>
        </w:rPr>
      </w:r>
    </w:p>
    <w:p>
      <w:pPr>
        <w:spacing w:after="120"/>
      </w:pPr>
      <w:r>
        <w:rPr>
          <w:rFonts w:ascii="Calibri" w:hAnsi="Calibri"/>
          <w:b/>
          <w:color w:val="0A2540"/>
          <w:sz w:val="24"/>
        </w:rPr>
        <w:t>Today's reality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1F2937"/>
          <w:sz w:val="22"/>
        </w:rPr>
        <w:t>Nurse case managers read records sequentially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1F2937"/>
          <w:sz w:val="22"/>
        </w:rPr>
        <w:t>Drug-interaction red flags surface only after escalation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1F2937"/>
          <w:sz w:val="22"/>
        </w:rPr>
        <w:t>Underwriters spend 30 – 60 minutes per Attending Physician Statement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1F2937"/>
          <w:sz w:val="22"/>
        </w:rPr>
        <w:t>Multilingual members receive English-only service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1F2937"/>
          <w:sz w:val="22"/>
        </w:rPr>
        <w:t>Risk indicators sit in unstructured text the system cannot query</w:t>
      </w:r>
    </w:p>
    <w:p>
      <w:pPr>
        <w:spacing w:after="120"/>
      </w:pPr>
      <w:r>
        <w:rPr>
          <w:rFonts w:ascii="Calibri" w:hAnsi="Calibri"/>
          <w:b/>
          <w:color w:val="E4002B"/>
          <w:sz w:val="24"/>
        </w:rPr>
        <w:t>MedGuard AI gives every reviewer an AI co-pilot — risk surfaces in seconds, not days.</w:t>
      </w:r>
    </w:p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3.  Architecture</w:t>
      </w:r>
    </w:p>
    <w:p>
      <w:pPr>
        <w:spacing w:after="120"/>
      </w:pPr>
      <w:r>
        <w:rPr>
          <w:rFonts w:ascii="Calibri" w:hAnsi="Calibri"/>
          <w:b/>
          <w:color w:val="0A2540"/>
          <w:sz w:val="22"/>
        </w:rPr>
        <w:t>Four modules · one pipeline · zero proprietary APIs.</w:t>
      </w:r>
    </w:p>
    <w:p>
      <w:pPr>
        <w:spacing w:after="160"/>
      </w:pPr>
      <w:r>
        <w:rPr>
          <w:rFonts w:ascii="Consolas" w:hAnsi="Consolas"/>
          <w:b/>
          <w:color w:val="0A2540"/>
          <w:sz w:val="24"/>
        </w:rPr>
        <w:t>📄 Data   ▶   🤖 JARVIS   ▶   📊 NotebookLM   ▶   🛡️ GARMA   ▶   📈 Cockpit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Module</w:t>
            </w:r>
          </w:p>
        </w:tc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Inspired by</w:t>
            </w:r>
          </w:p>
        </w:tc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it does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📄  Data Engine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FHIR / HL7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Generates 250 synthetic patients, validated with Pydantic — production swap point for Guidewire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🤖  JARVIS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AI-Augmented Engineering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Plain-English clinical querying with sub-second response, no API key required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🛡️  GARMA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GenAI Risk Mitigation Advisor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Composite 6-factor risk score, drug-interaction detection, anomaly engine, recommendations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📊  NotebookLM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Google NotebookLM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Vector retrieval over clinical text using FAISS + sentence-transformers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📈  Cockpit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Streamlit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KPI dashboard, alerts, clinician reports, multilingual voice in 19 languages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1F2937"/>
          <w:sz w:val="22"/>
        </w:rPr>
      </w:r>
    </w:p>
    <w:p>
      <w:pPr>
        <w:spacing w:after="120"/>
      </w:pPr>
      <w:r>
        <w:rPr>
          <w:rFonts w:ascii="Calibri" w:hAnsi="Calibri"/>
          <w:b w:val="0"/>
          <w:color w:val="6B7280"/>
          <w:sz w:val="20"/>
        </w:rPr>
        <w:t>Every component is open-source.  No vendor lock-in.  No API key required for the demo.</w:t>
      </w:r>
    </w:p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4.  What We Have Built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Component</w:t>
            </w:r>
          </w:p>
        </w:tc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Synthetic patient generator (250 records)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✓ Complete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FHIR-style schema with intentional risk patterns embedded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JARVIS NL agent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✓ Complete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Clinical taxonomy, scored relevance, 8 preset queries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GARMA risk engine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✓ Complete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6-factor weighted composite, drug-interaction matrix, anomaly rules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NotebookLM RAG layer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✓ Complete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Sentence-transformer embeddings, FAISS index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Streamlit cockpit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✓ Complete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5 pages, KPI cards, critical-alert feed, radar charts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Multilingual voice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✓ Complete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19 languages, online + offline (Windows SAPI) modes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Corporate-network resilience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✓ Complete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Handles Hartford / Zscaler SSL inspection via truststore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Polished pptx deck and Word document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✓ Complete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MedGuard_AI.pptx and MedGuard_AI.docx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4b. Who Uses MedGuard AI — Personas</w:t>
      </w:r>
    </w:p>
    <w:p>
      <w:pPr>
        <w:spacing w:after="120"/>
      </w:pPr>
      <w:r>
        <w:rPr>
          <w:rFonts w:ascii="Calibri" w:hAnsi="Calibri"/>
          <w:b w:val="0"/>
          <w:color w:val="6B7280"/>
          <w:sz w:val="22"/>
        </w:rPr>
        <w:t>Four Hartford personas that all read medical text today.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Persona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Line of Business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Today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With MedGuard AI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🩺  Nurse Case Manager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Group Benefits — LTD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Reads 40-page records sequentially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Ranked work queue + auto-flagged drug interactions</w:t>
            </w:r>
          </w:p>
        </w:tc>
      </w:tr>
      <w:tr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💼  Claim Handler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Workers' Compensation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No clinical training, must set reserves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Plain-English risk score with explanation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📋  Underwriter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Life / Specialty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30 – 60 minutes per APS letter, manual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Asks APS questions, gets cited paragraph answers</w:t>
            </w:r>
          </w:p>
        </w:tc>
      </w:tr>
      <w:tr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📞  Member-Services Agent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Group Benefits / WC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English-only callbacks, escalates to interpreter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Instant voice reply in 19 languages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4c. A Day in the Life — Priya, LTD Nurse Case Manager</w:t>
      </w:r>
    </w:p>
    <w:p>
      <w:pPr>
        <w:spacing w:after="120"/>
      </w:pPr>
      <w:r>
        <w:rPr>
          <w:rFonts w:ascii="Calibri" w:hAnsi="Calibri"/>
          <w:b w:val="0"/>
          <w:color w:val="6B7280"/>
          <w:sz w:val="22"/>
        </w:rPr>
        <w:t>Monday morning, 8:00 a.m. — total elapsed time: 5 minutes.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happens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Why it matters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8:00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Opens the cockpit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250 claimants, 47 critical alerts, 18 drug interactions caught.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5 seconds vs 45 minutes in Excel today</w:t>
            </w:r>
          </w:p>
        </w:tc>
      </w:tr>
      <w:tr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8:01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Asks JARVIS in plain English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“Find high-risk elderly patients on warfarin” → 10 ranked patients.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No SQL, no analyst needed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8:02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Drills into the worst patient (GARMA)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Brian Yang, 71M, risk 91 % — radar shows polypharmacy + drug interaction.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Decision-grade explanation, not a black box</w:t>
            </w:r>
          </w:p>
        </w:tc>
      </w:tr>
      <w:tr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8:03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Reads the recommendation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Warfarin + Aspirin → severe bleeding risk. Recommends INR check + PPI.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Picks up the phone and calls treating physician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8:05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Documents and moves 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Downloads clinician report, attaches to claim, audit-trail recorded.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Next claim — repeatable, auditable workflow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4d. Three Concrete Customer Use Cases</w:t>
      </w:r>
    </w:p>
    <w:p>
      <w:pPr>
        <w:spacing w:after="120"/>
      </w:pPr>
      <w:r>
        <w:rPr>
          <w:rFonts w:ascii="Calibri" w:hAnsi="Calibri"/>
          <w:b w:val="0"/>
          <w:color w:val="6B7280"/>
          <w:sz w:val="22"/>
        </w:rPr>
        <w:t>Same product, three lines of business.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Use Case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Workflow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Sample Query / Action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Result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Group Benefits — STD-to-LTD triage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Spot the 5 % of STD claims that will convert to LTD on day 1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“Show STD claims week-3 with opioids and no return-to-work plan.”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Top 3 get nurse intervention → 1 % conversion reduction = $15 – 30 M / yr</w:t>
            </w:r>
          </w:p>
        </w:tc>
      </w:tr>
      <w:tr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Workers' Comp — catastrophic-claim watch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Detect opioid + benzo combinations driving claim escalation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“Which open WC claims have opioid + benzo prescriptions?”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9 claims escalated to medical director → ~25 % shorter duration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Life / Specialty UW — APS acceleration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Eliminate the 30 – 60 minutes of manual APS reading per case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“Any history of cardiac events in this APS?”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Cited paragraph returned → bind decision in 5 min, throughput +25 %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5.  Live Demonstration Flow (5 minutes)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Time</w:t>
            </w:r>
          </w:p>
        </w:tc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happens on screen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0:00 – 0:20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Title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Set the stage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0:20 – 0:50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Line of business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Hartford context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0:50 – 1:10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Opportunity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$15 – 30M anchor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1:10 – 2:00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Architecture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Four-module pipeline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2:00 – 2:40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DEMO 1 — Cockpit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KPIs, critical alerts, risk distribution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2:40 – 3:30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DEMO 2 — JARVIS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NL query → 10 patients → multilingual voice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3:30 – 4:10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DEMO 3 — GARMA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Radar chart, drug interaction, recommendation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4:10 – 4:40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Hartford mapping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LTD / WC / Underwriting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4:40 – 4:55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Path to production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Azure, governance, compliance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4:55 – 5:00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Close + Q&amp;A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“A pattern, not a prototype”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6.  Hartford Applications</w:t>
      </w:r>
    </w:p>
    <w:p>
      <w:pPr>
        <w:spacing w:after="120"/>
      </w:pPr>
      <w:r>
        <w:rPr>
          <w:rFonts w:ascii="Calibri" w:hAnsi="Calibri"/>
          <w:b/>
          <w:color w:val="0A2540"/>
          <w:sz w:val="22"/>
        </w:rPr>
        <w:t>Same architecture, three immediate Hartford use cases.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MedGuard module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Group Benefits LTD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Workers' Comp</w:t>
            </w:r>
          </w:p>
        </w:tc>
        <w:tc>
          <w:tcPr>
            <w:tcW w:type="dxa" w:w="255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Life / Specialty UW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🤖  JARVIS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Show LTD claimants with no RTW plan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Find catastrophic claims on opioids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Underwriter NL search over APS</w:t>
            </w:r>
          </w:p>
        </w:tc>
      </w:tr>
      <w:tr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🛡️  GARMA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STD → LTD conversion risk score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Opioid / polypharmacy red flags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Mortality composite scoring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📊  NotebookLM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RAG over IME and APS reports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Treatment-note semantic search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MIB / APS PDF retrieval</w:t>
            </w:r>
          </w:p>
        </w:tc>
      </w:tr>
      <w:tr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📈  Cockpit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Nurse case-manager triage queue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Claim-handler severity dashboard</w:t>
            </w:r>
          </w:p>
        </w:tc>
        <w:tc>
          <w:tcPr>
            <w:tcW w:type="dxa" w:w="255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Underwriter decision support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1F2937"/>
          <w:sz w:val="22"/>
        </w:rPr>
      </w:r>
    </w:p>
    <w:p>
      <w:pPr>
        <w:spacing w:after="120"/>
      </w:pPr>
      <w:r>
        <w:rPr>
          <w:rFonts w:ascii="Calibri" w:hAnsi="Calibri"/>
          <w:b/>
          <w:color w:val="0A2540"/>
          <w:sz w:val="24"/>
        </w:rPr>
        <w:t>Estimated value (industry benchmarks)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Lever</w:t>
            </w:r>
          </w:p>
        </w:tc>
        <w:tc>
          <w:tcPr>
            <w:tcW w:type="dxa" w:w="51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Impact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1 % LTD-duration reduction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$15 – 30 M annually</w:t>
            </w:r>
          </w:p>
        </w:tc>
      </w:tr>
      <w:tr>
        <w:tc>
          <w:tcPr>
            <w:tcW w:type="dxa" w:w="51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Underwriter cycle time</w:t>
            </w:r>
          </w:p>
        </w:tc>
        <w:tc>
          <w:tcPr>
            <w:tcW w:type="dxa" w:w="51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~25 % faster APS review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Multilingual self-service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5 – 10 % call deflection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7.  Path to Production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#</w:t>
            </w:r>
          </w:p>
        </w:tc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Workstream</w:t>
            </w:r>
          </w:p>
        </w:tc>
        <w:tc>
          <w:tcPr>
            <w:tcW w:type="dxa" w:w="34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What changes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Data sources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Replace synthetic generator with Guidewire ClaimCenter, APS feeds, Rx data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02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Enterprise AI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Azure OpenAI + Azure Translator / Speech (existing Hartford licenses)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03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Security &amp; compliance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Hartford SSO · PHI guardrails · audit logging · HITRUST · HIPAA</w:t>
            </w:r>
          </w:p>
        </w:tc>
      </w:tr>
      <w:tr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04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Hosting</w:t>
            </w:r>
          </w:p>
        </w:tc>
        <w:tc>
          <w:tcPr>
            <w:tcW w:type="dxa" w:w="34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Azure App Service / AKS behind Zscaler · zero data egress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05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Model governance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Register GARMA in Hartford AI Model Risk inventory · NAIC-aligned monitoring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8.  Q &amp; A — Anticipated Questions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100"/>
            <w:shd w:val="clear" w:color="auto" w:fill="0A25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2"/>
              </w:rPr>
              <w:t>One-line answer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Is the data real?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Synthetic — Faker against FHIR-style Pydantic schemas. No PHI ever touches the demo.</w:t>
            </w:r>
          </w:p>
        </w:tc>
      </w:tr>
      <w:tr>
        <w:tc>
          <w:tcPr>
            <w:tcW w:type="dxa" w:w="51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What LLM is used?</w:t>
            </w:r>
          </w:p>
        </w:tc>
        <w:tc>
          <w:tcPr>
            <w:tcW w:type="dxa" w:w="51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None in the demo, intentionally — JARVIS uses keyword + clinical-taxonomy matching. Azure OpenAI slots in for production.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How is the risk score validated?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Today, transparent weighted composite of six clinical factors for explainability. Production validation against historical LTD outcomes plus AI inventory registration.</w:t>
            </w:r>
          </w:p>
        </w:tc>
      </w:tr>
      <w:tr>
        <w:tc>
          <w:tcPr>
            <w:tcW w:type="dxa" w:w="51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Why Streamlit?</w:t>
            </w:r>
          </w:p>
        </w:tc>
        <w:tc>
          <w:tcPr>
            <w:tcW w:type="dxa" w:w="51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Speed of iteration. Cockpit is a front-end; modules underneath are framework-agnostic Python.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Privacy / HIPAA?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Demo is synthetic. Production: Azure-private LLMs, no data egress, full audit trail, PHI tokenization at the edge.</w:t>
            </w:r>
          </w:p>
        </w:tc>
      </w:tr>
      <w:tr>
        <w:tc>
          <w:tcPr>
            <w:tcW w:type="dxa" w:w="51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0A2540"/>
                <w:sz w:val="20"/>
              </w:rPr>
              <w:t>Time to a real Hartford pilot?</w:t>
            </w:r>
          </w:p>
        </w:tc>
        <w:tc>
          <w:tcPr>
            <w:tcW w:type="dxa" w:w="5100"/>
            <w:shd w:val="clear" w:color="auto" w:fill="F3F4F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F2937"/>
                <w:sz w:val="20"/>
              </w:rPr>
              <w:t>With committed data access and Azure provisioning: 8 – 12 weeks to a controlled LTD pilot on a single book of business.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color w:val="E4002B"/>
          <w:sz w:val="36"/>
        </w:rPr>
        <w:t>9.  Closing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A2540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FFC1C9"/>
                <w:sz w:val="22"/>
              </w:rPr>
              <w:t>MEDGUARD AI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8"/>
              </w:rPr>
              <w:t>A pattern, not just a prototype.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1F2937"/>
          <w:sz w:val="4"/>
        </w:rPr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1F2937"/>
          <w:sz w:val="22"/>
        </w:rPr>
        <w:t>Four modules · one architecture · zero vendor lock-in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1F2937"/>
          <w:sz w:val="22"/>
        </w:rPr>
        <w:t>End-to-end working demo in five minutes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1F2937"/>
          <w:sz w:val="22"/>
        </w:rPr>
        <w:t>Re-applicable across Disability, Workers' Compensation, and Underwriting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color w:val="1F2937"/>
          <w:sz w:val="22"/>
        </w:rPr>
        <w:t>Clear path to Azure-hosted, HIPAA-compliant production</w:t>
      </w:r>
    </w:p>
    <w:p>
      <w:pPr>
        <w:spacing w:after="120"/>
      </w:pPr>
      <w:r>
        <w:rPr>
          <w:rFonts w:ascii="Calibri" w:hAnsi="Calibri"/>
          <w:b w:val="0"/>
          <w:color w:val="1F2937"/>
          <w:sz w:val="22"/>
        </w:rPr>
      </w:r>
    </w:p>
    <w:p>
      <w:pPr>
        <w:spacing w:after="120"/>
      </w:pPr>
      <w:r>
        <w:rPr>
          <w:rFonts w:ascii="Calibri" w:hAnsi="Calibri"/>
          <w:b/>
          <w:color w:val="0A2540"/>
          <w:sz w:val="28"/>
        </w:rPr>
        <w:t>Thank you.</w:t>
      </w:r>
    </w:p>
    <w:p>
      <w:pPr>
        <w:pBdr>
          <w:bottom w:val="single" w:sz="12" w:space="1" w:color="0A2540"/>
        </w:pBdr>
      </w:pPr>
    </w:p>
    <w:p>
      <w:pPr>
        <w:jc w:val="center"/>
      </w:pPr>
      <w:r>
        <w:rPr>
          <w:rFonts w:ascii="Calibri" w:hAnsi="Calibri"/>
          <w:b w:val="0"/>
          <w:color w:val="6B7280"/>
          <w:sz w:val="18"/>
        </w:rPr>
        <w:t>Confidential — for internal demo  ·  The Hartford  ·  2026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  <w:pgBorders w:offsetFrom="page">
        <w:top w:val="single" w:sz="18" w:space="24" w:color="E4002B"/>
        <w:left w:val="single" w:sz="18" w:space="24" w:color="E4002B"/>
        <w:bottom w:val="single" w:sz="18" w:space="24" w:color="E4002B"/>
        <w:right w:val="single" w:sz="18" w:space="24" w:color="E4002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