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36"/>
        </w:rPr>
        <w:t>Airbnb Nightly Price Prediction</w:t>
      </w:r>
    </w:p>
    <w:p>
      <w:pPr>
        <w:spacing w:after="200"/>
        <w:jc w:val="center"/>
      </w:pPr>
      <w:r>
        <w:rPr>
          <w:rFonts w:ascii="Calibri" w:hAnsi="Calibri"/>
          <w:b w:val="0"/>
          <w:color w:val="595959"/>
          <w:sz w:val="22"/>
        </w:rPr>
        <w:t>CSEN 140 — Programming Report 2  |  Spring 2026</w:t>
      </w:r>
    </w:p>
    <w:p>
      <w:pPr>
        <w:spacing w:before="200" w:after="60"/>
      </w:pPr>
      <w:r>
        <w:rPr>
          <w:rFonts w:ascii="Calibri" w:hAnsi="Calibri"/>
          <w:b/>
          <w:color w:val="1F497D"/>
          <w:sz w:val="26"/>
        </w:rPr>
        <w:t>My Strategy</w:t>
      </w:r>
    </w:p>
    <w:p>
      <w:pPr>
        <w:spacing w:after="80"/>
      </w:pPr>
      <w:r>
        <w:rPr>
          <w:rFonts w:ascii="Calibri" w:hAnsi="Calibri"/>
          <w:b w:val="0"/>
          <w:sz w:val="21"/>
        </w:rPr>
        <w:t>To predict the nightly rental price of Airbnb listings and reach the top of the leaderboard, the strategy I approached was utilizing multiple diverse model architectures to break through the limitations of relying on just one. I utilized a 3-model family ensemble blending GPU-accelerated LightGBM, XGBoost, and a PyTorch MLP. A critical part of my strategy was engineering an implied price feature derived from booking-history columns already present in the provided dataset (estimated_revenue_l365d and estimated_occupancy_l365d), and completely avoiding target variable capping, which allowed the algorithm to accurately predict the expensive outlier listings that drive the leaderboard gap.</w:t>
      </w:r>
    </w:p>
    <w:p>
      <w:pPr>
        <w:spacing w:before="200" w:after="60"/>
      </w:pPr>
      <w:r>
        <w:rPr>
          <w:rFonts w:ascii="Calibri" w:hAnsi="Calibri"/>
          <w:b/>
          <w:color w:val="1F497D"/>
          <w:sz w:val="26"/>
        </w:rPr>
        <w:t>Preprocessing</w:t>
      </w:r>
    </w:p>
    <w:p>
      <w:pPr>
        <w:spacing w:before="120" w:after="40"/>
      </w:pPr>
      <w:r>
        <w:rPr>
          <w:rFonts w:ascii="Calibri" w:hAnsi="Calibri"/>
          <w:b/>
          <w:color w:val="1F497D"/>
          <w:sz w:val="22"/>
        </w:rPr>
        <w:t>Data Cleaning</w:t>
      </w:r>
    </w:p>
    <w:p>
      <w:pPr>
        <w:spacing w:after="80"/>
      </w:pPr>
      <w:r>
        <w:rPr>
          <w:rFonts w:ascii="Calibri" w:hAnsi="Calibri"/>
          <w:b w:val="0"/>
          <w:sz w:val="21"/>
        </w:rPr>
        <w:t>I parsed dollar and percentage string columns into numeric values. Columns with more than 60% missing values or identifier-like free text were dropped. I also created a has_revenue_data flag before imputing NaNs to distinguish genuine booking histories from listings that would be filled with the training median — this was essential to prevent a fake constant signal in the derived implied price feature.</w:t>
      </w:r>
    </w:p>
    <w:p>
      <w:pPr>
        <w:spacing w:before="120" w:after="40"/>
      </w:pPr>
      <w:r>
        <w:rPr>
          <w:rFonts w:ascii="Calibri" w:hAnsi="Calibri"/>
          <w:b/>
          <w:color w:val="1F497D"/>
          <w:sz w:val="22"/>
        </w:rPr>
        <w:t>Feature Encoding</w:t>
      </w:r>
    </w:p>
    <w:p>
      <w:pPr>
        <w:spacing w:after="80"/>
      </w:pPr>
      <w:r>
        <w:rPr>
          <w:rFonts w:ascii="Calibri" w:hAnsi="Calibri"/>
          <w:b w:val="0"/>
          <w:sz w:val="21"/>
        </w:rPr>
        <w:t>To manage categorical data, I applied Out-of-fold (OOF) Bayesian target encoding for high-cardinality categoricals to capture mean-price signals without causing target leakage. Low-cardinality categoricals were one-hot encoded, and remaining high-cardinality categoricals were frequency encoded.</w:t>
      </w:r>
    </w:p>
    <w:p>
      <w:pPr>
        <w:spacing w:before="120" w:after="40"/>
      </w:pPr>
      <w:r>
        <w:rPr>
          <w:rFonts w:ascii="Calibri" w:hAnsi="Calibri"/>
          <w:b/>
          <w:color w:val="1F497D"/>
          <w:sz w:val="22"/>
        </w:rPr>
        <w:t>Feature Engineering</w:t>
      </w:r>
    </w:p>
    <w:p>
      <w:pPr>
        <w:spacing w:after="80"/>
      </w:pPr>
      <w:r>
        <w:rPr>
          <w:rFonts w:ascii="Calibri" w:hAnsi="Calibri"/>
          <w:b w:val="0"/>
          <w:sz w:val="21"/>
        </w:rPr>
        <w:t>I created interaction features like accommodates-per-bedroom and quality-volume (review score × log reviews). Most importantly, I derived an implied_price_per_night feature by dividing estimated_revenue_l365d by estimated_occupancy_l365d — both columns already provided in the dataset. This ratio directly recovers the actual nightly price for listings with real booking history. To avoid noise for listings without data, the has_revenue_data flag (set before NaN imputation) zeroed out the implied price for those rows rather than using a misleading median-filled value.</w:t>
      </w:r>
    </w:p>
    <w:p>
      <w:pPr>
        <w:spacing w:before="120" w:after="40"/>
      </w:pPr>
      <w:r>
        <w:rPr>
          <w:rFonts w:ascii="Calibri" w:hAnsi="Calibri"/>
          <w:b/>
          <w:color w:val="1F497D"/>
          <w:sz w:val="22"/>
        </w:rPr>
        <w:t>Dimensionality Reduction</w:t>
      </w:r>
    </w:p>
    <w:p>
      <w:pPr>
        <w:spacing w:after="80"/>
      </w:pPr>
      <w:r>
        <w:rPr>
          <w:rFonts w:ascii="Calibri" w:hAnsi="Calibri"/>
          <w:b w:val="0"/>
          <w:sz w:val="21"/>
        </w:rPr>
        <w:t>After median imputation and standardization, features for the MLP were reduced via PCA, retaining 95% of the variance and compressing 86 columns down to roughly 70. The tree-based models operated on the raw scaled features.</w:t>
      </w:r>
    </w:p>
    <w:p>
      <w:pPr>
        <w:spacing w:before="200" w:after="60"/>
      </w:pPr>
      <w:r>
        <w:rPr>
          <w:rFonts w:ascii="Calibri" w:hAnsi="Calibri"/>
          <w:b/>
          <w:color w:val="1F497D"/>
          <w:sz w:val="26"/>
        </w:rPr>
        <w:t>The Models</w:t>
      </w:r>
    </w:p>
    <w:p>
      <w:pPr>
        <w:spacing w:after="80"/>
      </w:pPr>
      <w:r>
        <w:rPr>
          <w:rFonts w:ascii="Calibri" w:hAnsi="Calibri"/>
          <w:b w:val="0"/>
          <w:sz w:val="21"/>
        </w:rPr>
        <w:t>I created a combined ensemble architecture with the idea that the structural diversity of the neural network would complement the tree-based models.</w:t>
      </w:r>
    </w:p>
    <w:p>
      <w:pPr>
        <w:spacing w:before="120" w:after="40"/>
      </w:pPr>
      <w:r>
        <w:rPr>
          <w:rFonts w:ascii="Calibri" w:hAnsi="Calibri"/>
          <w:b/>
          <w:color w:val="1F497D"/>
          <w:sz w:val="22"/>
        </w:rPr>
        <w:t>LightGBM</w:t>
      </w:r>
    </w:p>
    <w:p>
      <w:pPr>
        <w:spacing w:after="80"/>
      </w:pPr>
      <w:r>
        <w:rPr>
          <w:rFonts w:ascii="Calibri" w:hAnsi="Calibri"/>
          <w:b w:val="0"/>
          <w:sz w:val="21"/>
        </w:rPr>
        <w:t>A GPU-accelerated histogram-based gradient boosting model running up to 5000 estimators with early stopping (patience=50), learning_rate=0.02, num_leaves=255, subsample=0.8, and colsample_bytree=0.7.</w:t>
      </w:r>
    </w:p>
    <w:p>
      <w:pPr>
        <w:spacing w:before="120" w:after="40"/>
      </w:pPr>
      <w:r>
        <w:rPr>
          <w:rFonts w:ascii="Calibri" w:hAnsi="Calibri"/>
          <w:b/>
          <w:color w:val="1F497D"/>
          <w:sz w:val="22"/>
        </w:rPr>
        <w:t>XGBoost</w:t>
      </w:r>
    </w:p>
    <w:p>
      <w:pPr>
        <w:spacing w:after="80"/>
      </w:pPr>
      <w:r>
        <w:rPr>
          <w:rFonts w:ascii="Calibri" w:hAnsi="Calibri"/>
          <w:b w:val="0"/>
          <w:sz w:val="21"/>
        </w:rPr>
        <w:t>CUDA-accelerated gradient boosted trees, also running up to 5000 estimators with early_stopping_rounds=50, learning_rate=0.02, max_depth=7, subsample=0.8, and colsample_bytree=0.7.</w:t>
      </w:r>
    </w:p>
    <w:p>
      <w:pPr>
        <w:spacing w:before="120" w:after="40"/>
      </w:pPr>
      <w:r>
        <w:rPr>
          <w:rFonts w:ascii="Calibri" w:hAnsi="Calibri"/>
          <w:b/>
          <w:color w:val="1F497D"/>
          <w:sz w:val="22"/>
        </w:rPr>
        <w:t>PyTorch MLP</w:t>
      </w:r>
    </w:p>
    <w:p>
      <w:pPr>
        <w:spacing w:after="80"/>
      </w:pPr>
      <w:r>
        <w:rPr>
          <w:rFonts w:ascii="Calibri" w:hAnsi="Calibri"/>
          <w:b w:val="0"/>
          <w:sz w:val="21"/>
        </w:rPr>
        <w:t>A feedforward network (512→256→128→64→1) with BatchNorm1d, GELU activations, and Dropout, trained on an RTX 5080 GPU using AdamW (lr=3e-3), HuberLoss(δ=0.5), and CosineAnnealingLR. To reduce variance from random initialization — a single run could vary by ±50 RMSE points — I trained three independent models across seeds 42, 123, and 456 and averaged their predictions, reducing the ensemble val RMSE from ~355 (single run) to ~349.</w:t>
      </w:r>
    </w:p>
    <w:p>
      <w:pPr>
        <w:spacing w:before="120" w:after="40"/>
      </w:pPr>
      <w:r>
        <w:rPr>
          <w:rFonts w:ascii="Calibri" w:hAnsi="Calibri"/>
          <w:b/>
          <w:color w:val="1F497D"/>
          <w:sz w:val="22"/>
        </w:rPr>
        <w:t>Baselines</w:t>
      </w:r>
    </w:p>
    <w:p>
      <w:pPr>
        <w:spacing w:after="80"/>
      </w:pPr>
      <w:r>
        <w:rPr>
          <w:rFonts w:ascii="Calibri" w:hAnsi="Calibri"/>
          <w:b w:val="0"/>
          <w:sz w:val="21"/>
        </w:rPr>
        <w:t>Random Forest and CatBoost were evaluated for ensemble inclusion but were ultimately dropped. Random Forest (val RMSE ~376) was too weak. CatBoost (val RMSE ~348) was individually competitive, but because it is also a gradient boosting tree method, its predictions were too correlated with LightGBM and XGBoost to add meaningful diversity — adding it raised the leaderboard RMSE from 1010.07 to 1013.55.</w:t>
      </w:r>
    </w:p>
    <w:p>
      <w:pPr>
        <w:spacing w:before="200" w:after="60"/>
      </w:pPr>
      <w:r>
        <w:rPr>
          <w:rFonts w:ascii="Calibri" w:hAnsi="Calibri"/>
          <w:b/>
          <w:color w:val="1F497D"/>
          <w:sz w:val="26"/>
        </w:rPr>
        <w:t>Optimizing and Actually Doing the Regression</w:t>
      </w:r>
    </w:p>
    <w:p>
      <w:pPr>
        <w:spacing w:before="120" w:after="40"/>
      </w:pPr>
      <w:r>
        <w:rPr>
          <w:rFonts w:ascii="Calibri" w:hAnsi="Calibri"/>
          <w:b/>
          <w:color w:val="1F497D"/>
          <w:sz w:val="22"/>
        </w:rPr>
        <w:t>Removing the Price Cap</w:t>
      </w:r>
    </w:p>
    <w:p>
      <w:pPr>
        <w:spacing w:after="80"/>
      </w:pPr>
      <w:r>
        <w:rPr>
          <w:rFonts w:ascii="Calibri" w:hAnsi="Calibri"/>
          <w:b w:val="0"/>
          <w:sz w:val="21"/>
        </w:rPr>
        <w:t>When testing, I realized that capping prices at the 99th percentile artificially lowered my local RMSE while keeping the leaderboard RMSE high, because tree models cannot extrapolate above the capped training maximum. The local RMSE appeared as low as ~133, masking a true leaderboard RMSE above 1055. Removing this cap was the single largest score improvement, dropping the leaderboard from 1055 to 1014.</w:t>
      </w:r>
    </w:p>
    <w:p>
      <w:pPr>
        <w:spacing w:before="120" w:after="40"/>
      </w:pPr>
      <w:r>
        <w:rPr>
          <w:rFonts w:ascii="Calibri" w:hAnsi="Calibri"/>
          <w:b/>
          <w:color w:val="1F497D"/>
          <w:sz w:val="22"/>
        </w:rPr>
        <w:t>Breaking Estimator Ceilings</w:t>
      </w:r>
    </w:p>
    <w:p>
      <w:pPr>
        <w:spacing w:after="80"/>
      </w:pPr>
      <w:r>
        <w:rPr>
          <w:rFonts w:ascii="Calibri" w:hAnsi="Calibri"/>
          <w:b w:val="0"/>
          <w:sz w:val="21"/>
        </w:rPr>
        <w:t>Early experiments showed that both LightGBM and XGBoost were reporting best_iteration ≈ 2990–2997 out of n_estimators=3000, meaning they never actually triggered early stopping — they simply ran out of trees. Raising the ceiling to 5000 allowed XGBoost to find its true optimum, improving its validation RMSE from 338.10 to 336.33. LightGBM showed less consistent improvement across runs, likely due to GPU non-determinism, but the principle held: always verify models are stopping early rather than hitting the estimator limit.</w:t>
      </w:r>
    </w:p>
    <w:p>
      <w:pPr>
        <w:spacing w:before="120" w:after="40"/>
      </w:pPr>
      <w:r>
        <w:rPr>
          <w:rFonts w:ascii="Calibri" w:hAnsi="Calibri"/>
          <w:b/>
          <w:color w:val="1F497D"/>
          <w:sz w:val="22"/>
        </w:rPr>
        <w:t>Score Level Blending</w:t>
      </w:r>
    </w:p>
    <w:p>
      <w:pPr>
        <w:spacing w:after="80"/>
      </w:pPr>
      <w:r>
        <w:rPr>
          <w:rFonts w:ascii="Calibri" w:hAnsi="Calibri"/>
          <w:b w:val="0"/>
          <w:sz w:val="21"/>
        </w:rPr>
        <w:t>Instead of a simple average, the final predictions combined the three primary models using inverse-RMSE² weighted averaging in log space, then applying expm1 to recover dollar values. Final blend weights were XGBoost ~0.344, LightGBM ~0.336, and MLP ensemble ~0.320. The PyTorch MLP was essential despite its weaker individual score — its architectural difference from the boosting models added genuine diversity, and removing it from the blend worsened the leaderboard RMSE from 1010 to 1015.</w:t>
      </w:r>
    </w:p>
    <w:p>
      <w:pPr>
        <w:spacing w:before="200" w:after="60"/>
      </w:pPr>
      <w:r>
        <w:rPr>
          <w:rFonts w:ascii="Calibri" w:hAnsi="Calibri"/>
          <w:b/>
          <w:color w:val="1F497D"/>
          <w:sz w:val="26"/>
        </w:rPr>
        <w:t>What I Learned</w:t>
      </w:r>
    </w:p>
    <w:p>
      <w:pPr>
        <w:pStyle w:val="ListBullet"/>
        <w:spacing w:after="40"/>
      </w:pPr>
      <w:r>
        <w:rPr>
          <w:rFonts w:ascii="Calibri" w:hAnsi="Calibri"/>
          <w:b w:val="0"/>
          <w:sz w:val="21"/>
        </w:rPr>
        <w:t>Never cap the target variable: Capping prices hides errors on expensive listings, masking a 3× local-to-leaderboard gap. The test set consistently contains more unusual and expensive listings than the training split.</w:t>
      </w:r>
    </w:p>
    <w:p>
      <w:pPr>
        <w:pStyle w:val="ListBullet"/>
        <w:spacing w:after="40"/>
      </w:pPr>
      <w:r>
        <w:rPr>
          <w:rFonts w:ascii="Calibri" w:hAnsi="Calibri"/>
          <w:b w:val="0"/>
          <w:sz w:val="21"/>
        </w:rPr>
        <w:t>Exploit booking-history columns already in the data: Deriving implied_price_per_night from the provided estimated_revenue_l365d and estimated_occupancy_l365d columns recovers the true nightly price and strongly targets the tail of the price distribution, which has an outsized impact on the leaderboard.</w:t>
      </w:r>
    </w:p>
    <w:p>
      <w:pPr>
        <w:pStyle w:val="ListBullet"/>
        <w:spacing w:after="40"/>
      </w:pPr>
      <w:r>
        <w:rPr>
          <w:rFonts w:ascii="Calibri" w:hAnsi="Calibri"/>
          <w:b w:val="0"/>
          <w:sz w:val="21"/>
        </w:rPr>
        <w:t>Check n_estimators ceilings: Always verify whether models are actually triggering early stopping or just running out of estimators. A best_iteration near the n_estimators limit is a sign the model needs more room to train.</w:t>
      </w:r>
    </w:p>
    <w:p>
      <w:pPr>
        <w:pStyle w:val="ListBullet"/>
        <w:spacing w:after="40"/>
      </w:pPr>
      <w:r>
        <w:rPr>
          <w:rFonts w:ascii="Calibri" w:hAnsi="Calibri"/>
          <w:b w:val="0"/>
          <w:sz w:val="21"/>
        </w:rPr>
        <w:t>MLP adds diversity but is variance-prone: A single MLP run can vary by ±50 RMSE points across random seeds due to random initialization. Using a multi-seed ensemble stabilizes predictions and is a reliable improvement.</w:t>
      </w:r>
    </w:p>
    <w:p>
      <w:pPr>
        <w:pStyle w:val="ListBullet"/>
        <w:spacing w:after="40"/>
      </w:pPr>
      <w:r>
        <w:rPr>
          <w:rFonts w:ascii="Calibri" w:hAnsi="Calibri"/>
          <w:b w:val="0"/>
          <w:sz w:val="21"/>
        </w:rPr>
        <w:t>Do not change regularization and capacity simultaneously: Changing num_leaves and reg_lambda at the same time made it impossible to isolate what helped, and the combination hurt test-set generalization on out-of-distribution listings even though the local validation score improved.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