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 Capture / NDA Addendum</w:t>
      </w:r>
    </w:p>
    <w:p>
      <w:pPr>
        <w:pStyle w:val="Subtitle"/>
      </w:pPr>
      <w:r>
        <w:t>Optional confidentiality terms for sensitive spatial-capture projects</w:t>
      </w:r>
    </w:p>
    <w:tbl>
      <w:tblPr>
        <w:tblW w:type="auto" w:w="0"/>
        <w:jc w:val="center"/>
        <w:tblLook w:firstColumn="1" w:firstRow="1" w:lastColumn="0" w:lastRow="0" w:noHBand="0" w:noVBand="1" w:val="04A0"/>
        <w:tblBorders>
          <w:top w:val="single" w:sz="5" w:space="0" w:color="D1C4A4"/>
          <w:left w:val="single" w:sz="5" w:space="0" w:color="D1C4A4"/>
          <w:bottom w:val="single" w:sz="5" w:space="0" w:color="D1C4A4"/>
          <w:right w:val="single" w:sz="5" w:space="0" w:color="D1C4A4"/>
          <w:insideH w:val="single" w:sz="5" w:space="0" w:color="D1C4A4"/>
          <w:insideV w:val="single" w:sz="5" w:space="0" w:color="D1C4A4"/>
        </w:tblBorders>
      </w:tblPr>
      <w:tblGrid>
        <w:gridCol w:w="10080"/>
      </w:tblGrid>
      <w:tr>
        <w:trPr>
          <w:cantSplit/>
        </w:trPr>
        <w:tc>
          <w:tcPr>
            <w:tcW w:type="dxa" w:w="10080"/>
            <w:shd w:fill="F6F0DF"/>
            <w:tcMar>
              <w:top w:w="70" w:type="dxa"/>
              <w:start w:w="100" w:type="dxa"/>
              <w:bottom w:w="70" w:type="dxa"/>
              <w:end w:w="100" w:type="dxa"/>
            </w:tcMar>
          </w:tcPr>
          <w:p>
            <w:pPr>
              <w:spacing w:after="0"/>
            </w:pPr>
            <w:r>
              <w:rPr>
                <w:b/>
                <w:sz w:val="17"/>
              </w:rPr>
              <w:t xml:space="preserve">ATTORNEY REVIEW DRAFT. </w:t>
            </w:r>
            <w:r>
              <w:rPr>
                <w:sz w:val="17"/>
              </w:rPr>
              <w:t>This optional addendum supplements the Yellow Umbrella Group LLC Spatial Capture Services Agreement and applicable Project / Capture Order.</w:t>
            </w:r>
          </w:p>
        </w:tc>
      </w:tr>
    </w:tbl>
    <w:p>
      <w:r>
        <w:t>This Confidential Capture / NDA Addendum (the “Addendum”) applies to the project identified below. It is intended for sites or projects where the existence, location, contents, imagery, spatial data, or resulting digital model should remain confidential beyond Yellow Umbrella Group LLC’s standard project terms.</w:t>
      </w:r>
    </w:p>
    <w:p>
      <w:pPr>
        <w:pStyle w:val="Heading1"/>
      </w:pPr>
      <w:r>
        <w:t>1. Project</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rPr>
          <w:cantSplit/>
        </w:trPr>
        <w:tc>
          <w:tcPr>
            <w:tcW w:type="dxa" w:w="2952"/>
            <w:shd w:fill="EEF4F2"/>
            <w:tcMar>
              <w:top w:w="70" w:type="dxa"/>
              <w:start w:w="85" w:type="dxa"/>
              <w:bottom w:w="70" w:type="dxa"/>
              <w:end w:w="85" w:type="dxa"/>
            </w:tcMar>
            <w:vAlign w:val="center"/>
          </w:tcPr>
          <w:p>
            <w:pPr>
              <w:spacing w:after="0"/>
            </w:pPr>
            <w:r>
              <w:rPr>
                <w:b/>
                <w:color w:val="364B45"/>
                <w:sz w:val="17"/>
              </w:rPr>
              <w:t>Project / Property</w:t>
            </w:r>
          </w:p>
        </w:tc>
        <w:tc>
          <w:tcPr>
            <w:tcW w:type="dxa" w:w="7272"/>
            <w:tcMar>
              <w:top w:w="70" w:type="dxa"/>
              <w:start w:w="85" w:type="dxa"/>
              <w:bottom w:w="70" w:type="dxa"/>
              <w:end w:w="85" w:type="dxa"/>
            </w:tcMar>
            <w:vAlign w:val="center"/>
          </w:tcPr>
          <w:p>
            <w:pPr>
              <w:spacing w:after="0"/>
            </w:pPr>
            <w:r>
              <w:t>[PROJECT OR PROPERTY NAME]</w:t>
            </w:r>
          </w:p>
        </w:tc>
      </w:tr>
      <w:tr>
        <w:trPr>
          <w:cantSplit/>
        </w:trPr>
        <w:tc>
          <w:tcPr>
            <w:tcW w:type="dxa" w:w="2952"/>
            <w:shd w:fill="EEF4F2"/>
            <w:tcMar>
              <w:top w:w="70" w:type="dxa"/>
              <w:start w:w="85" w:type="dxa"/>
              <w:bottom w:w="70" w:type="dxa"/>
              <w:end w:w="85" w:type="dxa"/>
            </w:tcMar>
            <w:vAlign w:val="center"/>
          </w:tcPr>
          <w:p>
            <w:pPr>
              <w:spacing w:after="0"/>
            </w:pPr>
            <w:r>
              <w:rPr>
                <w:b/>
                <w:color w:val="364B45"/>
                <w:sz w:val="17"/>
              </w:rPr>
              <w:t>Capture Order No.</w:t>
            </w:r>
          </w:p>
        </w:tc>
        <w:tc>
          <w:tcPr>
            <w:tcW w:type="dxa" w:w="7272"/>
            <w:tcMar>
              <w:top w:w="70" w:type="dxa"/>
              <w:start w:w="85" w:type="dxa"/>
              <w:bottom w:w="70" w:type="dxa"/>
              <w:end w:w="85" w:type="dxa"/>
            </w:tcMar>
            <w:vAlign w:val="center"/>
          </w:tcPr>
          <w:p>
            <w:pPr>
              <w:spacing w:after="0"/>
            </w:pPr>
            <w:r>
              <w:t>[YUG-YYYY-###]</w:t>
            </w:r>
          </w:p>
        </w:tc>
      </w:tr>
      <w:tr>
        <w:trPr>
          <w:cantSplit/>
        </w:trPr>
        <w:tc>
          <w:tcPr>
            <w:tcW w:type="dxa" w:w="2952"/>
            <w:shd w:fill="EEF4F2"/>
            <w:tcMar>
              <w:top w:w="70" w:type="dxa"/>
              <w:start w:w="85" w:type="dxa"/>
              <w:bottom w:w="70" w:type="dxa"/>
              <w:end w:w="85" w:type="dxa"/>
            </w:tcMar>
            <w:vAlign w:val="center"/>
          </w:tcPr>
          <w:p>
            <w:pPr>
              <w:spacing w:after="0"/>
            </w:pPr>
            <w:r>
              <w:rPr>
                <w:b/>
                <w:color w:val="364B45"/>
                <w:sz w:val="17"/>
              </w:rPr>
              <w:t>Client / Authorized Party</w:t>
            </w:r>
          </w:p>
        </w:tc>
        <w:tc>
          <w:tcPr>
            <w:tcW w:type="dxa" w:w="7272"/>
            <w:tcMar>
              <w:top w:w="70" w:type="dxa"/>
              <w:start w:w="85" w:type="dxa"/>
              <w:bottom w:w="70" w:type="dxa"/>
              <w:end w:w="85" w:type="dxa"/>
            </w:tcMar>
            <w:vAlign w:val="center"/>
          </w:tcPr>
          <w:p>
            <w:pPr>
              <w:spacing w:after="0"/>
            </w:pPr>
            <w:r>
              <w:t>[LEGAL NAME / ENTITY]</w:t>
            </w:r>
          </w:p>
        </w:tc>
      </w:tr>
      <w:tr>
        <w:trPr>
          <w:cantSplit/>
        </w:trPr>
        <w:tc>
          <w:tcPr>
            <w:tcW w:type="dxa" w:w="2952"/>
            <w:shd w:fill="EEF4F2"/>
            <w:tcMar>
              <w:top w:w="70" w:type="dxa"/>
              <w:start w:w="85" w:type="dxa"/>
              <w:bottom w:w="70" w:type="dxa"/>
              <w:end w:w="85" w:type="dxa"/>
            </w:tcMar>
            <w:vAlign w:val="center"/>
          </w:tcPr>
          <w:p>
            <w:pPr>
              <w:spacing w:after="0"/>
            </w:pPr>
            <w:r>
              <w:rPr>
                <w:b/>
                <w:color w:val="364B45"/>
                <w:sz w:val="17"/>
              </w:rPr>
              <w:t>Effective Date</w:t>
            </w:r>
          </w:p>
        </w:tc>
        <w:tc>
          <w:tcPr>
            <w:tcW w:type="dxa" w:w="7272"/>
            <w:tcMar>
              <w:top w:w="70" w:type="dxa"/>
              <w:start w:w="85" w:type="dxa"/>
              <w:bottom w:w="70" w:type="dxa"/>
              <w:end w:w="85" w:type="dxa"/>
            </w:tcMar>
            <w:vAlign w:val="center"/>
          </w:tcPr>
          <w:p>
            <w:pPr>
              <w:spacing w:after="0"/>
            </w:pPr>
            <w:r>
              <w:t>[DATE]</w:t>
            </w:r>
          </w:p>
        </w:tc>
      </w:tr>
    </w:tbl>
    <w:p>
      <w:pPr>
        <w:pStyle w:val="Heading1"/>
      </w:pPr>
      <w:r>
        <w:t>2. Confidential Information</w:t>
      </w:r>
    </w:p>
    <w:p>
      <w:r>
        <w:t>“Confidential Information” means non-public information disclosed to or captured by Yellow Umbrella Group LLC (“Provider”) in connection with the project, including the property’s non-public interior or exterior details, security-sensitive features, access procedures, project plans, unreleased creative or commercial material, captured imagery, spatial data, Gaussian-splat or LCC/LCC2 models, meshes, derived files, annotations, and other project materials designated confidential or reasonably understood to be confidential.</w:t>
      </w:r>
    </w:p>
    <w:p>
      <w:r>
        <w:t>Confidential Information does not include information that Provider can document was already lawfully known without confidentiality restriction, becomes public through no breach of this Addendum, is received lawfully from a third party without confidentiality duty, or is independently developed without use of the Confidential Information.</w:t>
      </w:r>
    </w:p>
    <w:p>
      <w:pPr>
        <w:pStyle w:val="Heading1"/>
      </w:pPr>
      <w:r>
        <w:t>3. Provider Confidentiality Obligations</w:t>
      </w:r>
    </w:p>
    <w:p>
      <w:r>
        <w:t>Provider will use Confidential Information only as reasonably necessary to perform, process, quality-check, deliver, support, archive, or administer the contracted project. Provider will not publicly display, market, publish, sell, distribute, or disclose Confidential Information to unrelated third parties except as permitted below or with Client’s written approval.</w:t>
      </w:r>
    </w:p>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080"/>
      </w:tblGrid>
      <w:tr>
        <w:trPr>
          <w:cantSplit/>
        </w:trPr>
        <w:tc>
          <w:tcPr>
            <w:tcW w:type="dxa" w:w="10080"/>
            <w:shd w:fill="F5F7F6"/>
            <w:tcMar>
              <w:top w:w="80" w:type="dxa"/>
              <w:start w:w="100" w:type="dxa"/>
              <w:bottom w:w="80" w:type="dxa"/>
              <w:end w:w="100" w:type="dxa"/>
            </w:tcMar>
          </w:tcPr>
          <w:p>
            <w:pPr>
              <w:spacing w:after="0"/>
            </w:pPr>
            <w:r>
              <w:t>If this Addendum is signed, any general portfolio/public-display permission for the same project is suspended unless the parties later approve public use in writing.</w:t>
            </w:r>
          </w:p>
        </w:tc>
      </w:tr>
    </w:tbl>
    <w:p>
      <w:pPr>
        <w:pStyle w:val="Heading1"/>
      </w:pPr>
      <w:r>
        <w:t>4. Permitted Access and Service Providers</w:t>
      </w:r>
    </w:p>
    <w:p>
      <w:r>
        <w:t>Provider may disclose Confidential Information to employees, contractors, professional advisers, insurers, and technology or infrastructure providers who reasonably need access for the project and who are subject to confidentiality obligations or customary professional duties. This may include approved cloud-processing, storage, hosting, file-transfer, backup, and delivery services used in Provider’s normal workflow.</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40"/>
        <w:gridCol w:w="5040"/>
      </w:tblGrid>
      <w:tr>
        <w:trPr>
          <w:cantSplit/>
        </w:trPr>
        <w:tc>
          <w:tcPr>
            <w:tcW w:type="dxa" w:w="5040"/>
            <w:tcMar>
              <w:top w:w="55" w:type="dxa"/>
              <w:start w:w="75" w:type="dxa"/>
              <w:bottom w:w="55" w:type="dxa"/>
              <w:end w:w="75" w:type="dxa"/>
            </w:tcMar>
          </w:tcPr>
          <w:p>
            <w:pPr>
              <w:spacing w:after="0"/>
            </w:pPr>
            <w:r>
              <w:t>[ ] Standard XGRIDS/LCC cloud processing permitted</w:t>
            </w:r>
          </w:p>
        </w:tc>
        <w:tc>
          <w:tcPr>
            <w:tcW w:type="dxa" w:w="5040"/>
            <w:tcMar>
              <w:top w:w="55" w:type="dxa"/>
              <w:start w:w="75" w:type="dxa"/>
              <w:bottom w:w="55" w:type="dxa"/>
              <w:end w:w="75" w:type="dxa"/>
            </w:tcMar>
          </w:tcPr>
          <w:p>
            <w:pPr>
              <w:spacing w:after="0"/>
            </w:pPr>
            <w:r>
              <w:t>[ ] Standard cloud storage / backup permitted</w:t>
            </w:r>
          </w:p>
        </w:tc>
      </w:tr>
      <w:tr>
        <w:trPr>
          <w:cantSplit/>
        </w:trPr>
        <w:tc>
          <w:tcPr>
            <w:tcW w:type="dxa" w:w="5040"/>
            <w:tcMar>
              <w:top w:w="55" w:type="dxa"/>
              <w:start w:w="75" w:type="dxa"/>
              <w:bottom w:w="55" w:type="dxa"/>
              <w:end w:w="75" w:type="dxa"/>
            </w:tcMar>
          </w:tcPr>
          <w:p>
            <w:pPr>
              <w:spacing w:after="0"/>
            </w:pPr>
            <w:r>
              <w:t>[ ] No public web viewer; private delivery only</w:t>
            </w:r>
          </w:p>
        </w:tc>
        <w:tc>
          <w:tcPr>
            <w:tcW w:type="dxa" w:w="5040"/>
            <w:tcMar>
              <w:top w:w="55" w:type="dxa"/>
              <w:start w:w="75" w:type="dxa"/>
              <w:bottom w:w="55" w:type="dxa"/>
              <w:end w:w="75" w:type="dxa"/>
            </w:tcMar>
          </w:tcPr>
          <w:p>
            <w:pPr>
              <w:spacing w:after="0"/>
            </w:pPr>
            <w:r>
              <w:t>[ ] Special processing restrictions attached</w:t>
            </w:r>
          </w:p>
        </w:tc>
      </w:tr>
    </w:tbl>
    <w:p>
      <w:pPr>
        <w:pStyle w:val="Heading1"/>
      </w:pPr>
      <w:r>
        <w:t>5. Security and Handling</w:t>
      </w:r>
    </w:p>
    <w:p>
      <w:r>
        <w:t>Provider will use commercially reasonable administrative and technical safeguards appropriate to the sensitivity of the project. Client acknowledges that no digital storage, transmission, or cloud system can be guaranteed completely secure. Provider will promptly notify Client after confirming a material unauthorized disclosure of project Confidential Information when notice is required by the Agreement or applicable law.</w:t>
      </w:r>
    </w:p>
    <w:p>
      <w:pPr>
        <w:pStyle w:val="Heading1"/>
      </w:pPr>
      <w:r>
        <w:t>6. Required Disclosure</w:t>
      </w:r>
    </w:p>
    <w:p>
      <w:r>
        <w:t>If Provider is legally compelled to disclose Confidential Information, Provider may make the required disclosure. To the extent legally permitted and reasonably practicable, Provider will give Client prompt notice so Client may seek a protective order or other remedy.</w:t>
      </w:r>
    </w:p>
    <w:p>
      <w:pPr>
        <w:pStyle w:val="Heading1"/>
      </w:pPr>
      <w:r>
        <w:t>7. Client Responsibilities</w:t>
      </w:r>
    </w:p>
    <w:p>
      <w:r>
        <w:t>Client will identify unusually sensitive areas, objects, security systems, records, people, or information before capture and will disclose any project-specific handling restrictions. Client is responsible for removing or concealing material that should not be captured when omission is reasonably practicable. Provider is not required to infer undisclosed restrictions from the appearance of a room, object, document, or system.</w:t>
      </w:r>
    </w:p>
    <w:p>
      <w:pPr>
        <w:pStyle w:val="Heading1"/>
      </w:pPr>
      <w:r>
        <w:t>8. Retention and Deletion</w:t>
      </w:r>
    </w:p>
    <w:p>
      <w:r>
        <w:t>Project data will be retained and deleted according to the Spatial Capture Services Agreement, Project / Capture Order, and any written project-specific retention instruction below. A request for accelerated deletion may affect Provider’s ability to provide support, revisions, recovery, or future exports and may require completion of outstanding payment obligations first.</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rPr>
          <w:cantSplit/>
        </w:trPr>
        <w:tc>
          <w:tcPr>
            <w:tcW w:type="dxa" w:w="2952"/>
            <w:shd w:fill="EEF4F2"/>
            <w:tcMar>
              <w:top w:w="70" w:type="dxa"/>
              <w:start w:w="85" w:type="dxa"/>
              <w:bottom w:w="70" w:type="dxa"/>
              <w:end w:w="85" w:type="dxa"/>
            </w:tcMar>
            <w:vAlign w:val="center"/>
          </w:tcPr>
          <w:p>
            <w:pPr>
              <w:spacing w:after="0"/>
            </w:pPr>
            <w:r>
              <w:rPr>
                <w:b/>
                <w:color w:val="364B45"/>
                <w:sz w:val="17"/>
              </w:rPr>
              <w:t>Special Retention Rule</w:t>
            </w:r>
          </w:p>
        </w:tc>
        <w:tc>
          <w:tcPr>
            <w:tcW w:type="dxa" w:w="7272"/>
            <w:tcMar>
              <w:top w:w="70" w:type="dxa"/>
              <w:start w:w="85" w:type="dxa"/>
              <w:bottom w:w="70" w:type="dxa"/>
              <w:end w:w="85" w:type="dxa"/>
            </w:tcMar>
            <w:vAlign w:val="center"/>
          </w:tcPr>
          <w:p>
            <w:pPr>
              <w:spacing w:after="0"/>
            </w:pPr>
            <w:r>
              <w:t>[STANDARD TERMS APPLY / DESCRIBE SPECIAL PERIOD]</w:t>
            </w:r>
          </w:p>
        </w:tc>
      </w:tr>
      <w:tr>
        <w:trPr>
          <w:cantSplit/>
        </w:trPr>
        <w:tc>
          <w:tcPr>
            <w:tcW w:type="dxa" w:w="2952"/>
            <w:shd w:fill="EEF4F2"/>
            <w:tcMar>
              <w:top w:w="70" w:type="dxa"/>
              <w:start w:w="85" w:type="dxa"/>
              <w:bottom w:w="70" w:type="dxa"/>
              <w:end w:w="85" w:type="dxa"/>
            </w:tcMar>
            <w:vAlign w:val="center"/>
          </w:tcPr>
          <w:p>
            <w:pPr>
              <w:spacing w:after="0"/>
            </w:pPr>
            <w:r>
              <w:rPr>
                <w:b/>
                <w:color w:val="364B45"/>
                <w:sz w:val="17"/>
              </w:rPr>
              <w:t>Deletion / Return Instruction</w:t>
            </w:r>
          </w:p>
        </w:tc>
        <w:tc>
          <w:tcPr>
            <w:tcW w:type="dxa" w:w="7272"/>
            <w:tcMar>
              <w:top w:w="70" w:type="dxa"/>
              <w:start w:w="85" w:type="dxa"/>
              <w:bottom w:w="70" w:type="dxa"/>
              <w:end w:w="85" w:type="dxa"/>
            </w:tcMar>
            <w:vAlign w:val="center"/>
          </w:tcPr>
          <w:p>
            <w:pPr>
              <w:spacing w:after="0"/>
            </w:pPr>
            <w:r>
              <w:t>[NONE / DESCRIBE]</w:t>
            </w:r>
          </w:p>
        </w:tc>
      </w:tr>
    </w:tbl>
    <w:p>
      <w:pPr>
        <w:pStyle w:val="Heading1"/>
      </w:pPr>
      <w:r>
        <w:t>9. Duration</w:t>
      </w:r>
    </w:p>
    <w:p>
      <w:r>
        <w:t>These confidentiality obligations begin on the Effective Date and continue for three (3) years after final project delivery, except that trade secrets, security credentials, access codes, or information protected for a longer period by applicable law will remain protected for so long as they retain that status. The parties may specify a different duration below.</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rPr>
          <w:cantSplit/>
        </w:trPr>
        <w:tc>
          <w:tcPr>
            <w:tcW w:type="dxa" w:w="2952"/>
            <w:shd w:fill="EEF4F2"/>
            <w:tcMar>
              <w:top w:w="70" w:type="dxa"/>
              <w:start w:w="85" w:type="dxa"/>
              <w:bottom w:w="70" w:type="dxa"/>
              <w:end w:w="85" w:type="dxa"/>
            </w:tcMar>
            <w:vAlign w:val="center"/>
          </w:tcPr>
          <w:p>
            <w:pPr>
              <w:spacing w:after="0"/>
            </w:pPr>
            <w:r>
              <w:rPr>
                <w:b/>
                <w:color w:val="364B45"/>
                <w:sz w:val="17"/>
              </w:rPr>
              <w:t>Alternate Duration</w:t>
            </w:r>
          </w:p>
        </w:tc>
        <w:tc>
          <w:tcPr>
            <w:tcW w:type="dxa" w:w="7272"/>
            <w:tcMar>
              <w:top w:w="70" w:type="dxa"/>
              <w:start w:w="85" w:type="dxa"/>
              <w:bottom w:w="70" w:type="dxa"/>
              <w:end w:w="85" w:type="dxa"/>
            </w:tcMar>
            <w:vAlign w:val="center"/>
          </w:tcPr>
          <w:p>
            <w:pPr>
              <w:spacing w:after="0"/>
            </w:pPr>
            <w:r>
              <w:t>[NONE / DESCRIBE IF DIFFERENT]</w:t>
            </w:r>
          </w:p>
        </w:tc>
      </w:tr>
    </w:tbl>
    <w:p>
      <w:pPr>
        <w:pStyle w:val="Heading1"/>
      </w:pPr>
      <w:r>
        <w:t>10. No Transfer of Rights</w:t>
      </w:r>
    </w:p>
    <w:p>
      <w:r>
        <w:t>This Addendum does not change ownership of project materials, grant Client ownership of Provider’s methods or tools, or grant Provider any public-display or promotional right. Ownership, licenses, source-file rights, and deliverables remain governed by the Spatial Capture Services Agreement, Project / Capture Order, and any Model Ownership &amp; License Schedule.</w:t>
      </w:r>
    </w:p>
    <w:p>
      <w:pPr>
        <w:pStyle w:val="Heading1"/>
      </w:pPr>
      <w:r>
        <w:t>11. Relationship to Agreement</w:t>
      </w:r>
    </w:p>
    <w:p>
      <w:r>
        <w:t>This Addendum supplements the parties’ existing project documents. If a direct conflict exists regarding confidentiality or public disclosure, this Addendum controls for the specific project. All other terms of the Spatial Capture Services Agreement remain in effect.</w:t>
      </w:r>
    </w:p>
    <w:p>
      <w:pPr>
        <w:pStyle w:val="Heading1"/>
      </w:pPr>
      <w:r>
        <w:t>12. Signatures</w:t>
      </w:r>
    </w:p>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080"/>
      </w:tblGrid>
      <w:tr>
        <w:trPr>
          <w:cantSplit/>
        </w:trPr>
        <w:tc>
          <w:tcPr>
            <w:tcW w:type="dxa" w:w="10080"/>
            <w:shd w:fill="EEF4F2"/>
            <w:tcMar>
              <w:top w:w="80" w:type="dxa"/>
              <w:start w:w="100" w:type="dxa"/>
              <w:bottom w:w="80" w:type="dxa"/>
              <w:end w:w="100" w:type="dxa"/>
            </w:tcMar>
          </w:tcPr>
          <w:p>
            <w:pPr>
              <w:spacing w:after="0"/>
            </w:pPr>
            <w:r>
              <w:t>The parties agree to the confidentiality terms above for the identified project.</w:t>
            </w:r>
          </w:p>
        </w:tc>
      </w:tr>
    </w:tbl>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rPr>
          <w:cantSplit/>
        </w:trPr>
        <w:tc>
          <w:tcPr>
            <w:tcW w:type="dxa" w:w="5040"/>
            <w:tcMar>
              <w:top w:w="65" w:type="dxa"/>
              <w:start w:w="80" w:type="dxa"/>
              <w:bottom w:w="65" w:type="dxa"/>
              <w:end w:w="80" w:type="dxa"/>
            </w:tcMar>
            <w:shd w:fill="2F6F63"/>
          </w:tcPr>
          <w:p>
            <w:pPr>
              <w:spacing w:after="0"/>
            </w:pPr>
            <w:r>
              <w:rPr>
                <w:b/>
                <w:color w:val="FFFFFF"/>
                <w:sz w:val="17"/>
              </w:rPr>
              <w:t>YELLOW UMBRELLA GROUP LLC</w:t>
            </w:r>
          </w:p>
        </w:tc>
        <w:tc>
          <w:tcPr>
            <w:tcW w:type="dxa" w:w="5040"/>
            <w:tcMar>
              <w:top w:w="65" w:type="dxa"/>
              <w:start w:w="80" w:type="dxa"/>
              <w:bottom w:w="65" w:type="dxa"/>
              <w:end w:w="80" w:type="dxa"/>
            </w:tcMar>
            <w:shd w:fill="2F6F63"/>
          </w:tcPr>
          <w:p>
            <w:pPr>
              <w:spacing w:after="0"/>
            </w:pPr>
            <w:r>
              <w:rPr>
                <w:b/>
                <w:color w:val="FFFFFF"/>
                <w:sz w:val="17"/>
              </w:rPr>
              <w:t>CLIENT / AUTHORIZED PARTY</w:t>
            </w:r>
          </w:p>
        </w:tc>
      </w:tr>
      <w:tr>
        <w:trPr>
          <w:cantSplit/>
        </w:trPr>
        <w:tc>
          <w:tcPr>
            <w:tcW w:type="dxa" w:w="5040"/>
            <w:tcMar>
              <w:top w:w="65" w:type="dxa"/>
              <w:start w:w="80" w:type="dxa"/>
              <w:bottom w:w="65" w:type="dxa"/>
              <w:end w:w="80" w:type="dxa"/>
            </w:tcMar>
          </w:tcPr>
          <w:p>
            <w:pPr>
              <w:spacing w:after="0"/>
            </w:pPr>
            <w:r>
              <w:t>Signature: __________________________________</w:t>
            </w:r>
          </w:p>
        </w:tc>
        <w:tc>
          <w:tcPr>
            <w:tcW w:type="dxa" w:w="5040"/>
            <w:tcMar>
              <w:top w:w="65" w:type="dxa"/>
              <w:start w:w="80" w:type="dxa"/>
              <w:bottom w:w="65" w:type="dxa"/>
              <w:end w:w="80" w:type="dxa"/>
            </w:tcMar>
          </w:tcPr>
          <w:p>
            <w:pPr>
              <w:spacing w:after="0"/>
            </w:pPr>
            <w:r>
              <w:t>Signature: __________________________________</w:t>
            </w:r>
          </w:p>
        </w:tc>
      </w:tr>
      <w:tr>
        <w:trPr>
          <w:cantSplit/>
        </w:trPr>
        <w:tc>
          <w:tcPr>
            <w:tcW w:type="dxa" w:w="5040"/>
            <w:tcMar>
              <w:top w:w="65" w:type="dxa"/>
              <w:start w:w="80" w:type="dxa"/>
              <w:bottom w:w="65" w:type="dxa"/>
              <w:end w:w="80" w:type="dxa"/>
            </w:tcMar>
          </w:tcPr>
          <w:p>
            <w:pPr>
              <w:spacing w:after="0"/>
            </w:pPr>
            <w:r>
              <w:t>Name / Title: _______________________________</w:t>
            </w:r>
          </w:p>
        </w:tc>
        <w:tc>
          <w:tcPr>
            <w:tcW w:type="dxa" w:w="5040"/>
            <w:tcMar>
              <w:top w:w="65" w:type="dxa"/>
              <w:start w:w="80" w:type="dxa"/>
              <w:bottom w:w="65" w:type="dxa"/>
              <w:end w:w="80" w:type="dxa"/>
            </w:tcMar>
          </w:tcPr>
          <w:p>
            <w:pPr>
              <w:spacing w:after="0"/>
            </w:pPr>
            <w:r>
              <w:t>Name / Title: _______________________________</w:t>
            </w:r>
          </w:p>
        </w:tc>
      </w:tr>
      <w:tr>
        <w:trPr>
          <w:cantSplit/>
        </w:trPr>
        <w:tc>
          <w:tcPr>
            <w:tcW w:type="dxa" w:w="5040"/>
            <w:tcMar>
              <w:top w:w="65" w:type="dxa"/>
              <w:start w:w="80" w:type="dxa"/>
              <w:bottom w:w="65" w:type="dxa"/>
              <w:end w:w="80" w:type="dxa"/>
            </w:tcMar>
          </w:tcPr>
          <w:p>
            <w:pPr>
              <w:spacing w:after="0"/>
            </w:pPr>
            <w:r>
              <w:t>Date: _______________________________________</w:t>
            </w:r>
          </w:p>
        </w:tc>
        <w:tc>
          <w:tcPr>
            <w:tcW w:type="dxa" w:w="5040"/>
            <w:tcMar>
              <w:top w:w="65" w:type="dxa"/>
              <w:start w:w="80" w:type="dxa"/>
              <w:bottom w:w="65" w:type="dxa"/>
              <w:end w:w="80" w:type="dxa"/>
            </w:tcMar>
          </w:tcPr>
          <w:p>
            <w:pPr>
              <w:spacing w:after="0"/>
            </w:pPr>
            <w:r>
              <w:t>Date: _______________________________________</w:t>
            </w:r>
          </w:p>
        </w:tc>
      </w:tr>
      <w:tr>
        <w:trPr>
          <w:cantSplit/>
        </w:trPr>
        <w:tc>
          <w:tcPr>
            <w:tcW w:type="dxa" w:w="5040"/>
            <w:tcMar>
              <w:top w:w="65" w:type="dxa"/>
              <w:start w:w="80" w:type="dxa"/>
              <w:bottom w:w="65" w:type="dxa"/>
              <w:end w:w="80" w:type="dxa"/>
            </w:tcMar>
          </w:tcPr>
          <w:p>
            <w:pPr>
              <w:spacing w:after="0"/>
            </w:pPr>
            <w:r>
              <w:t>Capture Order: ______________________________</w:t>
            </w:r>
          </w:p>
        </w:tc>
        <w:tc>
          <w:tcPr>
            <w:tcW w:type="dxa" w:w="5040"/>
            <w:tcMar>
              <w:top w:w="65" w:type="dxa"/>
              <w:start w:w="80" w:type="dxa"/>
              <w:bottom w:w="65" w:type="dxa"/>
              <w:end w:w="80" w:type="dxa"/>
            </w:tcMar>
          </w:tcPr>
          <w:p>
            <w:pPr>
              <w:spacing w:after="0"/>
            </w:pPr>
            <w:r>
              <w:t>Entity: _____________________________________</w:t>
            </w:r>
          </w:p>
        </w:tc>
      </w:tr>
    </w:tbl>
    <w:sectPr w:rsidR="00FC693F" w:rsidRPr="0006063C" w:rsidSect="00034616">
      <w:footerReference w:type="default" r:id="rId9"/>
      <w:headerReference w:type="default" r:id="rId10"/>
      <w:pgSz w:w="12240" w:h="15840"/>
      <w:pgMar w:top="835"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5"/>
      </w:rPr>
      <w:t>Yellow Umbrella Group LLC  |  Confidential Capture / NDA Addendum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A5A5A"/>
        <w:sz w:val="16"/>
      </w:rPr>
      <w:t>YELLOW UMBRELLA GROUP LLC   |   Spatial Capture Services   |   Confidential Capture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8"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30" w:after="50"/>
      <w:outlineLvl w:val="0"/>
    </w:pPr>
    <w:rPr>
      <w:rFonts w:asciiTheme="majorHAnsi" w:eastAsiaTheme="majorEastAsia" w:hAnsiTheme="majorHAnsi" w:cstheme="majorBidi" w:ascii="Aptos Display" w:hAnsi="Aptos Display"/>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202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F5F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