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Ownership &amp; License Schedule</w:t>
      </w:r>
    </w:p>
    <w:p>
      <w:pPr>
        <w:pStyle w:val="Subtitle"/>
      </w:pPr>
      <w:r>
        <w:t>Project-specific ownership, delivery, and usage rights for spatial capture assets and derivatives</w:t>
      </w:r>
    </w:p>
    <w:tbl>
      <w:tblPr>
        <w:tblW w:type="auto" w:w="0"/>
        <w:jc w:val="center"/>
        <w:tblLook w:firstColumn="1" w:firstRow="1" w:lastColumn="0" w:lastRow="0" w:noHBand="0" w:noVBand="1" w:val="04A0"/>
        <w:tblBorders>
          <w:top w:val="single" w:sz="5" w:space="0" w:color="D1C4A4"/>
          <w:left w:val="single" w:sz="5" w:space="0" w:color="D1C4A4"/>
          <w:bottom w:val="single" w:sz="5" w:space="0" w:color="D1C4A4"/>
          <w:right w:val="single" w:sz="5" w:space="0" w:color="D1C4A4"/>
          <w:insideH w:val="single" w:sz="5" w:space="0" w:color="D1C4A4"/>
          <w:insideV w:val="single" w:sz="5" w:space="0" w:color="D1C4A4"/>
        </w:tblBorders>
      </w:tblPr>
      <w:tblGrid>
        <w:gridCol w:w="10166"/>
      </w:tblGrid>
      <w:tr>
        <w:tc>
          <w:tcPr>
            <w:tcW w:type="dxa" w:w="10166"/>
            <w:shd w:fill="F6F0DF"/>
            <w:tcMar>
              <w:top w:w="70" w:type="dxa"/>
              <w:start w:w="95" w:type="dxa"/>
              <w:bottom w:w="70" w:type="dxa"/>
              <w:end w:w="95" w:type="dxa"/>
            </w:tcMar>
          </w:tcPr>
          <w:p>
            <w:pPr>
              <w:spacing w:after="0"/>
            </w:pPr>
            <w:r>
              <w:rPr>
                <w:b/>
                <w:sz w:val="16"/>
              </w:rPr>
              <w:t xml:space="preserve">ATTORNEY REVIEW DRAFT. </w:t>
            </w:r>
            <w:r>
              <w:rPr>
                <w:sz w:val="16"/>
              </w:rPr>
              <w:t>This Schedule is designed to attach to Yellow Umbrella Group LLC's Spatial Capture Services Agreement and Project / Capture Order. It separates ownership of production assets from the client's permission to use the purchased deliverables.</w:t>
            </w:r>
          </w:p>
        </w:tc>
      </w:tr>
    </w:tbl>
    <w:p>
      <w:pPr>
        <w:pStyle w:val="Heading1"/>
      </w:pPr>
      <w:r>
        <w:t>1. Project Reference</w:t>
      </w:r>
    </w:p>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83"/>
        <w:gridCol w:w="5083"/>
      </w:tblGrid>
      <w:tr>
        <w:tc>
          <w:tcPr>
            <w:tcW w:type="dxa" w:w="2952"/>
            <w:shd w:fill="EEF4F2"/>
            <w:tcMar>
              <w:top w:w="55" w:type="dxa"/>
              <w:start w:w="75" w:type="dxa"/>
              <w:bottom w:w="55" w:type="dxa"/>
              <w:end w:w="75" w:type="dxa"/>
            </w:tcMar>
            <w:vAlign w:val="center"/>
          </w:tcPr>
          <w:p>
            <w:pPr>
              <w:spacing w:after="0"/>
            </w:pPr>
            <w:r>
              <w:rPr>
                <w:b/>
                <w:color w:val="364B45"/>
                <w:sz w:val="16"/>
              </w:rPr>
              <w:t>Capture Order No.</w:t>
            </w:r>
          </w:p>
        </w:tc>
        <w:tc>
          <w:tcPr>
            <w:tcW w:type="dxa" w:w="7344"/>
            <w:tcMar>
              <w:top w:w="55" w:type="dxa"/>
              <w:start w:w="75" w:type="dxa"/>
              <w:bottom w:w="55" w:type="dxa"/>
              <w:end w:w="75" w:type="dxa"/>
            </w:tcMar>
            <w:vAlign w:val="center"/>
          </w:tcPr>
          <w:p>
            <w:pPr>
              <w:spacing w:after="0"/>
            </w:pPr>
            <w:r>
              <w:rPr>
                <w:sz w:val="17"/>
              </w:rPr>
              <w:t>[YUG-YYYY-###]</w:t>
            </w:r>
          </w:p>
        </w:tc>
      </w:tr>
      <w:tr>
        <w:tc>
          <w:tcPr>
            <w:tcW w:type="dxa" w:w="2952"/>
            <w:shd w:fill="EEF4F2"/>
            <w:tcMar>
              <w:top w:w="55" w:type="dxa"/>
              <w:start w:w="75" w:type="dxa"/>
              <w:bottom w:w="55" w:type="dxa"/>
              <w:end w:w="75" w:type="dxa"/>
            </w:tcMar>
            <w:vAlign w:val="center"/>
          </w:tcPr>
          <w:p>
            <w:pPr>
              <w:spacing w:after="0"/>
            </w:pPr>
            <w:r>
              <w:rPr>
                <w:b/>
                <w:color w:val="364B45"/>
                <w:sz w:val="16"/>
              </w:rPr>
              <w:t>Project / Property</w:t>
            </w:r>
          </w:p>
        </w:tc>
        <w:tc>
          <w:tcPr>
            <w:tcW w:type="dxa" w:w="7344"/>
            <w:tcMar>
              <w:top w:w="55" w:type="dxa"/>
              <w:start w:w="75" w:type="dxa"/>
              <w:bottom w:w="55" w:type="dxa"/>
              <w:end w:w="75" w:type="dxa"/>
            </w:tcMar>
            <w:vAlign w:val="center"/>
          </w:tcPr>
          <w:p>
            <w:pPr>
              <w:spacing w:after="0"/>
            </w:pPr>
            <w:r>
              <w:rPr>
                <w:sz w:val="17"/>
              </w:rPr>
              <w:t>[PROJECT OR PROPERTY NAME]</w:t>
            </w:r>
          </w:p>
        </w:tc>
      </w:tr>
      <w:tr>
        <w:tc>
          <w:tcPr>
            <w:tcW w:type="dxa" w:w="2952"/>
            <w:shd w:fill="EEF4F2"/>
            <w:tcMar>
              <w:top w:w="55" w:type="dxa"/>
              <w:start w:w="75" w:type="dxa"/>
              <w:bottom w:w="55" w:type="dxa"/>
              <w:end w:w="75" w:type="dxa"/>
            </w:tcMar>
            <w:vAlign w:val="center"/>
          </w:tcPr>
          <w:p>
            <w:pPr>
              <w:spacing w:after="0"/>
            </w:pPr>
            <w:r>
              <w:rPr>
                <w:b/>
                <w:color w:val="364B45"/>
                <w:sz w:val="16"/>
              </w:rPr>
              <w:t>Client</w:t>
            </w:r>
          </w:p>
        </w:tc>
        <w:tc>
          <w:tcPr>
            <w:tcW w:type="dxa" w:w="7344"/>
            <w:tcMar>
              <w:top w:w="55" w:type="dxa"/>
              <w:start w:w="75" w:type="dxa"/>
              <w:bottom w:w="55" w:type="dxa"/>
              <w:end w:w="75" w:type="dxa"/>
            </w:tcMar>
            <w:vAlign w:val="center"/>
          </w:tcPr>
          <w:p>
            <w:pPr>
              <w:spacing w:after="0"/>
            </w:pPr>
            <w:r>
              <w:rPr>
                <w:sz w:val="17"/>
              </w:rPr>
              <w:t>[CLIENT LEGAL NAME]</w:t>
            </w:r>
          </w:p>
        </w:tc>
      </w:tr>
      <w:tr>
        <w:tc>
          <w:tcPr>
            <w:tcW w:type="dxa" w:w="2952"/>
            <w:shd w:fill="EEF4F2"/>
            <w:tcMar>
              <w:top w:w="55" w:type="dxa"/>
              <w:start w:w="75" w:type="dxa"/>
              <w:bottom w:w="55" w:type="dxa"/>
              <w:end w:w="75" w:type="dxa"/>
            </w:tcMar>
            <w:vAlign w:val="center"/>
          </w:tcPr>
          <w:p>
            <w:pPr>
              <w:spacing w:after="0"/>
            </w:pPr>
            <w:r>
              <w:rPr>
                <w:b/>
                <w:color w:val="364B45"/>
                <w:sz w:val="16"/>
              </w:rPr>
              <w:t>Effective Date</w:t>
            </w:r>
          </w:p>
        </w:tc>
        <w:tc>
          <w:tcPr>
            <w:tcW w:type="dxa" w:w="7344"/>
            <w:tcMar>
              <w:top w:w="55" w:type="dxa"/>
              <w:start w:w="75" w:type="dxa"/>
              <w:bottom w:w="55" w:type="dxa"/>
              <w:end w:w="75" w:type="dxa"/>
            </w:tcMar>
            <w:vAlign w:val="center"/>
          </w:tcPr>
          <w:p>
            <w:pPr>
              <w:spacing w:after="0"/>
            </w:pPr>
            <w:r>
              <w:rPr>
                <w:sz w:val="17"/>
              </w:rPr>
              <w:t>[DATE]</w:t>
            </w:r>
          </w:p>
        </w:tc>
      </w:tr>
    </w:tbl>
    <w:p>
      <w:pPr>
        <w:pStyle w:val="Heading1"/>
      </w:pPr>
      <w:r>
        <w:t>2. Ownership Framework</w:t>
      </w:r>
    </w:p>
    <w:p>
      <w:r>
        <w:t>Unless this Schedule expressly states otherwise, ownership and usage rights are allocated as follows:</w:t>
      </w:r>
    </w:p>
    <w:p>
      <w:pPr>
        <w:pStyle w:val="ListBullet"/>
        <w:spacing w:after="32"/>
        <w:ind w:left="259" w:hanging="173"/>
      </w:pPr>
      <w:r>
        <w:rPr>
          <w:sz w:val="17"/>
        </w:rPr>
        <w:t>The client retains all rights it already holds in the property, trademarks, artwork, photographs, documents, and other pre-existing client or third-party content visible at the site.</w:t>
      </w:r>
    </w:p>
    <w:p>
      <w:pPr>
        <w:pStyle w:val="ListBullet"/>
        <w:spacing w:after="32"/>
        <w:ind w:left="259" w:hanging="173"/>
      </w:pPr>
      <w:r>
        <w:rPr>
          <w:sz w:val="17"/>
        </w:rPr>
        <w:t>Yellow Umbrella retains ownership of its capture workflows, templates, code, processing methods, reusable viewer components, know-how, and other tools that are not unique to the client.</w:t>
      </w:r>
    </w:p>
    <w:p>
      <w:pPr>
        <w:pStyle w:val="ListBullet"/>
        <w:spacing w:after="32"/>
        <w:ind w:left="259" w:hanging="173"/>
      </w:pPr>
      <w:r>
        <w:rPr>
          <w:sz w:val="17"/>
        </w:rPr>
        <w:t>Yellow Umbrella retains ownership of project production assets and source materials that it creates or records, including raw capture data, reconstruction/project files, and working files, except to the extent an item is expressly transferred below.</w:t>
      </w:r>
    </w:p>
    <w:p>
      <w:pPr>
        <w:pStyle w:val="ListBullet"/>
        <w:spacing w:after="32"/>
        <w:ind w:left="259" w:hanging="173"/>
      </w:pPr>
      <w:r>
        <w:rPr>
          <w:sz w:val="17"/>
        </w:rPr>
        <w:t>Ownership of a production asset does not itself grant Yellow Umbrella permission to publicly display, advertise, sell, or otherwise disclose the client's property-specific content. Public/portfolio use requires separate authorization.</w:t>
      </w:r>
    </w:p>
    <w:tbl>
      <w:tblPr>
        <w:tblW w:type="auto" w:w="0"/>
        <w:jc w:val="center"/>
        <w:tblLook w:firstColumn="1" w:firstRow="1" w:lastColumn="0" w:lastRow="0" w:noHBand="0" w:noVBand="1" w:val="04A0"/>
        <w:tblBorders>
          <w:top w:val="single" w:sz="4" w:space="0" w:color="CBD7D3"/>
          <w:left w:val="single" w:sz="4" w:space="0" w:color="CBD7D3"/>
          <w:bottom w:val="single" w:sz="4" w:space="0" w:color="CBD7D3"/>
          <w:right w:val="single" w:sz="4" w:space="0" w:color="CBD7D3"/>
          <w:insideH w:val="single" w:sz="4" w:space="0" w:color="CBD7D3"/>
          <w:insideV w:val="single" w:sz="4" w:space="0" w:color="CBD7D3"/>
        </w:tblBorders>
      </w:tblPr>
      <w:tblGrid>
        <w:gridCol w:w="10166"/>
      </w:tblGrid>
      <w:tr>
        <w:tc>
          <w:tcPr>
            <w:tcW w:type="dxa" w:w="10166"/>
            <w:shd w:fill="EEF4F2"/>
            <w:tcMar>
              <w:top w:w="74" w:type="dxa"/>
              <w:start w:w="96" w:type="dxa"/>
              <w:bottom w:w="74" w:type="dxa"/>
              <w:end w:w="96" w:type="dxa"/>
            </w:tcMar>
          </w:tcPr>
          <w:p>
            <w:pPr>
              <w:spacing w:after="0"/>
            </w:pPr>
            <w:r>
              <w:rPr>
                <w:sz w:val="17"/>
              </w:rPr>
              <w:t>Default practical effect: Yellow Umbrella may keep the files needed to operate, support, archive, and service the project, while the client receives the rights needed to use the purchased deliverables. Confidentiality, privacy, and portfolio restrictions remain fully applicable.</w:t>
            </w:r>
          </w:p>
        </w:tc>
      </w:tr>
    </w:tbl>
    <w:p>
      <w:pPr>
        <w:pStyle w:val="Heading1"/>
      </w:pPr>
      <w:r>
        <w:t>3. Asset-by-Asset Allocation</w:t>
      </w:r>
    </w:p>
    <w:tbl>
      <w:tblPr>
        <w:tblW w:type="auto" w:w="0"/>
        <w:jc w:val="center"/>
        <w:tblLayout w:type="fixed"/>
        <w:tblLook w:firstColumn="1" w:firstRow="1" w:lastColumn="0" w:lastRow="0" w:noHBand="0" w:noVBand="1" w:val="04A0"/>
        <w:tblBorders>
          <w:top w:val="single" w:sz="4" w:space="0" w:color="BFCBC7"/>
          <w:left w:val="single" w:sz="4" w:space="0" w:color="BFCBC7"/>
          <w:bottom w:val="single" w:sz="4" w:space="0" w:color="BFCBC7"/>
          <w:right w:val="single" w:sz="4" w:space="0" w:color="BFCBC7"/>
          <w:insideH w:val="single" w:sz="4" w:space="0" w:color="BFCBC7"/>
          <w:insideV w:val="single" w:sz="4" w:space="0" w:color="BFCBC7"/>
        </w:tblBorders>
      </w:tblPr>
      <w:tblGrid>
        <w:gridCol w:w="3389"/>
        <w:gridCol w:w="3389"/>
        <w:gridCol w:w="3389"/>
      </w:tblGrid>
      <w:tr>
        <w:tc>
          <w:tcPr>
            <w:tcW w:type="dxa" w:w="3384"/>
            <w:shd w:fill="2F6F63"/>
            <w:tcMar>
              <w:top w:w="58" w:type="dxa"/>
              <w:start w:w="68" w:type="dxa"/>
              <w:bottom w:w="58" w:type="dxa"/>
              <w:end w:w="68" w:type="dxa"/>
            </w:tcMar>
          </w:tcPr>
          <w:p>
            <w:pPr>
              <w:spacing w:after="0"/>
            </w:pPr>
            <w:r>
              <w:rPr>
                <w:b/>
                <w:color w:val="FFFFFF"/>
                <w:sz w:val="16"/>
              </w:rPr>
              <w:t>Asset / Output</w:t>
            </w:r>
          </w:p>
        </w:tc>
        <w:tc>
          <w:tcPr>
            <w:tcW w:type="dxa" w:w="2376"/>
            <w:shd w:fill="2F6F63"/>
            <w:tcMar>
              <w:top w:w="58" w:type="dxa"/>
              <w:start w:w="68" w:type="dxa"/>
              <w:bottom w:w="58" w:type="dxa"/>
              <w:end w:w="68" w:type="dxa"/>
            </w:tcMar>
          </w:tcPr>
          <w:p>
            <w:pPr>
              <w:spacing w:after="0"/>
            </w:pPr>
            <w:r>
              <w:rPr>
                <w:b/>
                <w:color w:val="FFFFFF"/>
                <w:sz w:val="16"/>
              </w:rPr>
              <w:t>Default Ownership</w:t>
            </w:r>
          </w:p>
        </w:tc>
        <w:tc>
          <w:tcPr>
            <w:tcW w:type="dxa" w:w="4579"/>
            <w:shd w:fill="2F6F63"/>
            <w:tcMar>
              <w:top w:w="58" w:type="dxa"/>
              <w:start w:w="68" w:type="dxa"/>
              <w:bottom w:w="58" w:type="dxa"/>
              <w:end w:w="68" w:type="dxa"/>
            </w:tcMar>
          </w:tcPr>
          <w:p>
            <w:pPr>
              <w:spacing w:after="0"/>
            </w:pPr>
            <w:r>
              <w:rPr>
                <w:b/>
                <w:color w:val="FFFFFF"/>
                <w:sz w:val="16"/>
              </w:rPr>
              <w:t>Client Delivery / Rights</w:t>
            </w:r>
          </w:p>
        </w:tc>
      </w:tr>
      <w:tr>
        <w:tc>
          <w:tcPr>
            <w:tcW w:type="dxa" w:w="3384"/>
            <w:tcMar>
              <w:top w:w="48" w:type="dxa"/>
              <w:start w:w="62" w:type="dxa"/>
              <w:bottom w:w="48" w:type="dxa"/>
              <w:end w:w="62" w:type="dxa"/>
            </w:tcMar>
            <w:vAlign w:val="center"/>
          </w:tcPr>
          <w:p>
            <w:pPr>
              <w:spacing w:after="0"/>
            </w:pPr>
            <w:r>
              <w:rPr>
                <w:b/>
                <w:sz w:val="15"/>
              </w:rPr>
              <w:t>Raw PortalCam / sensor capture</w:t>
            </w:r>
          </w:p>
        </w:tc>
        <w:tc>
          <w:tcPr>
            <w:tcW w:type="dxa" w:w="2376"/>
            <w:tcMar>
              <w:top w:w="48" w:type="dxa"/>
              <w:start w:w="62" w:type="dxa"/>
              <w:bottom w:w="48" w:type="dxa"/>
              <w:end w:w="62" w:type="dxa"/>
            </w:tcMar>
            <w:vAlign w:val="center"/>
            <w:shd w:fill="EEF4F2"/>
          </w:tcPr>
          <w:p>
            <w:pPr>
              <w:spacing w:after="0"/>
            </w:pPr>
            <w:r>
              <w:rPr>
                <w:sz w:val="15"/>
              </w:rPr>
              <w:t>Yellow Umbrella</w:t>
            </w:r>
          </w:p>
        </w:tc>
        <w:tc>
          <w:tcPr>
            <w:tcW w:type="dxa" w:w="4579"/>
            <w:tcMar>
              <w:top w:w="48" w:type="dxa"/>
              <w:start w:w="62" w:type="dxa"/>
              <w:bottom w:w="48" w:type="dxa"/>
              <w:end w:w="62" w:type="dxa"/>
            </w:tcMar>
            <w:vAlign w:val="center"/>
          </w:tcPr>
          <w:p>
            <w:pPr>
              <w:spacing w:after="0"/>
            </w:pPr>
            <w:r>
              <w:rPr>
                <w:sz w:val="15"/>
              </w:rPr>
              <w:t>Not delivered unless selected below</w:t>
            </w:r>
          </w:p>
        </w:tc>
      </w:tr>
      <w:tr>
        <w:tc>
          <w:tcPr>
            <w:tcW w:type="dxa" w:w="3384"/>
            <w:tcMar>
              <w:top w:w="48" w:type="dxa"/>
              <w:start w:w="62" w:type="dxa"/>
              <w:bottom w:w="48" w:type="dxa"/>
              <w:end w:w="62" w:type="dxa"/>
            </w:tcMar>
            <w:vAlign w:val="center"/>
          </w:tcPr>
          <w:p>
            <w:pPr>
              <w:spacing w:after="0"/>
            </w:pPr>
            <w:r>
              <w:rPr>
                <w:b/>
                <w:sz w:val="15"/>
              </w:rPr>
              <w:t>LCC / LCC2 reconstruction</w:t>
            </w:r>
          </w:p>
        </w:tc>
        <w:tc>
          <w:tcPr>
            <w:tcW w:type="dxa" w:w="2376"/>
            <w:tcMar>
              <w:top w:w="48" w:type="dxa"/>
              <w:start w:w="62" w:type="dxa"/>
              <w:bottom w:w="48" w:type="dxa"/>
              <w:end w:w="62" w:type="dxa"/>
            </w:tcMar>
            <w:vAlign w:val="center"/>
            <w:shd w:fill="EEF4F2"/>
          </w:tcPr>
          <w:p>
            <w:pPr>
              <w:spacing w:after="0"/>
            </w:pPr>
            <w:r>
              <w:rPr>
                <w:sz w:val="15"/>
              </w:rPr>
              <w:t>Yellow Umbrella</w:t>
            </w:r>
          </w:p>
        </w:tc>
        <w:tc>
          <w:tcPr>
            <w:tcW w:type="dxa" w:w="4579"/>
            <w:tcMar>
              <w:top w:w="48" w:type="dxa"/>
              <w:start w:w="62" w:type="dxa"/>
              <w:bottom w:w="48" w:type="dxa"/>
              <w:end w:w="62" w:type="dxa"/>
            </w:tcMar>
            <w:vAlign w:val="center"/>
          </w:tcPr>
          <w:p>
            <w:pPr>
              <w:spacing w:after="0"/>
            </w:pPr>
            <w:r>
              <w:rPr>
                <w:sz w:val="15"/>
              </w:rPr>
              <w:t>Use license if included as a deliverable</w:t>
            </w:r>
          </w:p>
        </w:tc>
      </w:tr>
      <w:tr>
        <w:tc>
          <w:tcPr>
            <w:tcW w:type="dxa" w:w="3384"/>
            <w:tcMar>
              <w:top w:w="48" w:type="dxa"/>
              <w:start w:w="62" w:type="dxa"/>
              <w:bottom w:w="48" w:type="dxa"/>
              <w:end w:w="62" w:type="dxa"/>
            </w:tcMar>
            <w:vAlign w:val="center"/>
          </w:tcPr>
          <w:p>
            <w:pPr>
              <w:spacing w:after="0"/>
            </w:pPr>
            <w:r>
              <w:rPr>
                <w:b/>
                <w:sz w:val="15"/>
              </w:rPr>
              <w:t>Gaussian-splat model</w:t>
            </w:r>
          </w:p>
        </w:tc>
        <w:tc>
          <w:tcPr>
            <w:tcW w:type="dxa" w:w="2376"/>
            <w:tcMar>
              <w:top w:w="48" w:type="dxa"/>
              <w:start w:w="62" w:type="dxa"/>
              <w:bottom w:w="48" w:type="dxa"/>
              <w:end w:w="62" w:type="dxa"/>
            </w:tcMar>
            <w:vAlign w:val="center"/>
            <w:shd w:fill="EEF4F2"/>
          </w:tcPr>
          <w:p>
            <w:pPr>
              <w:spacing w:after="0"/>
            </w:pPr>
            <w:r>
              <w:rPr>
                <w:sz w:val="15"/>
              </w:rPr>
              <w:t>Yellow Umbrella</w:t>
            </w:r>
          </w:p>
        </w:tc>
        <w:tc>
          <w:tcPr>
            <w:tcW w:type="dxa" w:w="4579"/>
            <w:tcMar>
              <w:top w:w="48" w:type="dxa"/>
              <w:start w:w="62" w:type="dxa"/>
              <w:bottom w:w="48" w:type="dxa"/>
              <w:end w:w="62" w:type="dxa"/>
            </w:tcMar>
            <w:vAlign w:val="center"/>
          </w:tcPr>
          <w:p>
            <w:pPr>
              <w:spacing w:after="0"/>
            </w:pPr>
            <w:r>
              <w:rPr>
                <w:sz w:val="15"/>
              </w:rPr>
              <w:t>Use license if included as a deliverable</w:t>
            </w:r>
          </w:p>
        </w:tc>
      </w:tr>
      <w:tr>
        <w:tc>
          <w:tcPr>
            <w:tcW w:type="dxa" w:w="3384"/>
            <w:tcMar>
              <w:top w:w="48" w:type="dxa"/>
              <w:start w:w="62" w:type="dxa"/>
              <w:bottom w:w="48" w:type="dxa"/>
              <w:end w:w="62" w:type="dxa"/>
            </w:tcMar>
            <w:vAlign w:val="center"/>
          </w:tcPr>
          <w:p>
            <w:pPr>
              <w:spacing w:after="0"/>
            </w:pPr>
            <w:r>
              <w:rPr>
                <w:b/>
                <w:sz w:val="15"/>
              </w:rPr>
              <w:t>Generated / collision mesh</w:t>
            </w:r>
          </w:p>
        </w:tc>
        <w:tc>
          <w:tcPr>
            <w:tcW w:type="dxa" w:w="2376"/>
            <w:tcMar>
              <w:top w:w="48" w:type="dxa"/>
              <w:start w:w="62" w:type="dxa"/>
              <w:bottom w:w="48" w:type="dxa"/>
              <w:end w:w="62" w:type="dxa"/>
            </w:tcMar>
            <w:vAlign w:val="center"/>
            <w:shd w:fill="EEF4F2"/>
          </w:tcPr>
          <w:p>
            <w:pPr>
              <w:spacing w:after="0"/>
            </w:pPr>
            <w:r>
              <w:rPr>
                <w:sz w:val="15"/>
              </w:rPr>
              <w:t>Yellow Umbrella</w:t>
            </w:r>
          </w:p>
        </w:tc>
        <w:tc>
          <w:tcPr>
            <w:tcW w:type="dxa" w:w="4579"/>
            <w:tcMar>
              <w:top w:w="48" w:type="dxa"/>
              <w:start w:w="62" w:type="dxa"/>
              <w:bottom w:w="48" w:type="dxa"/>
              <w:end w:w="62" w:type="dxa"/>
            </w:tcMar>
            <w:vAlign w:val="center"/>
          </w:tcPr>
          <w:p>
            <w:pPr>
              <w:spacing w:after="0"/>
            </w:pPr>
            <w:r>
              <w:rPr>
                <w:sz w:val="15"/>
              </w:rPr>
              <w:t>Use license if included as a deliverable</w:t>
            </w:r>
          </w:p>
        </w:tc>
      </w:tr>
      <w:tr>
        <w:tc>
          <w:tcPr>
            <w:tcW w:type="dxa" w:w="3384"/>
            <w:tcMar>
              <w:top w:w="48" w:type="dxa"/>
              <w:start w:w="62" w:type="dxa"/>
              <w:bottom w:w="48" w:type="dxa"/>
              <w:end w:w="62" w:type="dxa"/>
            </w:tcMar>
            <w:vAlign w:val="center"/>
          </w:tcPr>
          <w:p>
            <w:pPr>
              <w:spacing w:after="0"/>
            </w:pPr>
            <w:r>
              <w:rPr>
                <w:b/>
                <w:sz w:val="15"/>
              </w:rPr>
              <w:t>Cleaned Blender / DCC project files</w:t>
            </w:r>
          </w:p>
        </w:tc>
        <w:tc>
          <w:tcPr>
            <w:tcW w:type="dxa" w:w="2376"/>
            <w:tcMar>
              <w:top w:w="48" w:type="dxa"/>
              <w:start w:w="62" w:type="dxa"/>
              <w:bottom w:w="48" w:type="dxa"/>
              <w:end w:w="62" w:type="dxa"/>
            </w:tcMar>
            <w:vAlign w:val="center"/>
            <w:shd w:fill="EEF4F2"/>
          </w:tcPr>
          <w:p>
            <w:pPr>
              <w:spacing w:after="0"/>
            </w:pPr>
            <w:r>
              <w:rPr>
                <w:sz w:val="15"/>
              </w:rPr>
              <w:t>Yellow Umbrella</w:t>
            </w:r>
          </w:p>
        </w:tc>
        <w:tc>
          <w:tcPr>
            <w:tcW w:type="dxa" w:w="4579"/>
            <w:tcMar>
              <w:top w:w="48" w:type="dxa"/>
              <w:start w:w="62" w:type="dxa"/>
              <w:bottom w:w="48" w:type="dxa"/>
              <w:end w:w="62" w:type="dxa"/>
            </w:tcMar>
            <w:vAlign w:val="center"/>
          </w:tcPr>
          <w:p>
            <w:pPr>
              <w:spacing w:after="0"/>
            </w:pPr>
            <w:r>
              <w:rPr>
                <w:sz w:val="15"/>
              </w:rPr>
              <w:t>Only if expressly purchased</w:t>
            </w:r>
          </w:p>
        </w:tc>
      </w:tr>
      <w:tr>
        <w:tc>
          <w:tcPr>
            <w:tcW w:type="dxa" w:w="3384"/>
            <w:tcMar>
              <w:top w:w="48" w:type="dxa"/>
              <w:start w:w="62" w:type="dxa"/>
              <w:bottom w:w="48" w:type="dxa"/>
              <w:end w:w="62" w:type="dxa"/>
            </w:tcMar>
            <w:vAlign w:val="center"/>
          </w:tcPr>
          <w:p>
            <w:pPr>
              <w:spacing w:after="0"/>
            </w:pPr>
            <w:r>
              <w:rPr>
                <w:b/>
                <w:sz w:val="15"/>
              </w:rPr>
              <w:t>Web viewer / hosting configuration</w:t>
            </w:r>
          </w:p>
        </w:tc>
        <w:tc>
          <w:tcPr>
            <w:tcW w:type="dxa" w:w="2376"/>
            <w:tcMar>
              <w:top w:w="48" w:type="dxa"/>
              <w:start w:w="62" w:type="dxa"/>
              <w:bottom w:w="48" w:type="dxa"/>
              <w:end w:w="62" w:type="dxa"/>
            </w:tcMar>
            <w:vAlign w:val="center"/>
            <w:shd w:fill="EEF4F2"/>
          </w:tcPr>
          <w:p>
            <w:pPr>
              <w:spacing w:after="0"/>
            </w:pPr>
            <w:r>
              <w:rPr>
                <w:sz w:val="15"/>
              </w:rPr>
              <w:t>Yellow Umbrella</w:t>
            </w:r>
          </w:p>
        </w:tc>
        <w:tc>
          <w:tcPr>
            <w:tcW w:type="dxa" w:w="4579"/>
            <w:tcMar>
              <w:top w:w="48" w:type="dxa"/>
              <w:start w:w="62" w:type="dxa"/>
              <w:bottom w:w="48" w:type="dxa"/>
              <w:end w:w="62" w:type="dxa"/>
            </w:tcMar>
            <w:vAlign w:val="center"/>
          </w:tcPr>
          <w:p>
            <w:pPr>
              <w:spacing w:after="0"/>
            </w:pPr>
            <w:r>
              <w:rPr>
                <w:sz w:val="15"/>
              </w:rPr>
              <w:t>Access/use during purchased hosting term</w:t>
            </w:r>
          </w:p>
        </w:tc>
      </w:tr>
      <w:tr>
        <w:tc>
          <w:tcPr>
            <w:tcW w:type="dxa" w:w="3384"/>
            <w:tcMar>
              <w:top w:w="48" w:type="dxa"/>
              <w:start w:w="62" w:type="dxa"/>
              <w:bottom w:w="48" w:type="dxa"/>
              <w:end w:w="62" w:type="dxa"/>
            </w:tcMar>
            <w:vAlign w:val="center"/>
          </w:tcPr>
          <w:p>
            <w:pPr>
              <w:spacing w:after="0"/>
            </w:pPr>
            <w:r>
              <w:rPr>
                <w:b/>
                <w:sz w:val="15"/>
              </w:rPr>
              <w:t>Custom viewer code / reusable components</w:t>
            </w:r>
          </w:p>
        </w:tc>
        <w:tc>
          <w:tcPr>
            <w:tcW w:type="dxa" w:w="2376"/>
            <w:tcMar>
              <w:top w:w="48" w:type="dxa"/>
              <w:start w:w="62" w:type="dxa"/>
              <w:bottom w:w="48" w:type="dxa"/>
              <w:end w:w="62" w:type="dxa"/>
            </w:tcMar>
            <w:vAlign w:val="center"/>
            <w:shd w:fill="EEF4F2"/>
          </w:tcPr>
          <w:p>
            <w:pPr>
              <w:spacing w:after="0"/>
            </w:pPr>
            <w:r>
              <w:rPr>
                <w:sz w:val="15"/>
              </w:rPr>
              <w:t>Yellow Umbrella</w:t>
            </w:r>
          </w:p>
        </w:tc>
        <w:tc>
          <w:tcPr>
            <w:tcW w:type="dxa" w:w="4579"/>
            <w:tcMar>
              <w:top w:w="48" w:type="dxa"/>
              <w:start w:w="62" w:type="dxa"/>
              <w:bottom w:w="48" w:type="dxa"/>
              <w:end w:w="62" w:type="dxa"/>
            </w:tcMar>
            <w:vAlign w:val="center"/>
          </w:tcPr>
          <w:p>
            <w:pPr>
              <w:spacing w:after="0"/>
            </w:pPr>
            <w:r>
              <w:rPr>
                <w:sz w:val="15"/>
              </w:rPr>
              <w:t>Object-code/use rights only unless stated otherwise</w:t>
            </w:r>
          </w:p>
        </w:tc>
      </w:tr>
      <w:tr>
        <w:tc>
          <w:tcPr>
            <w:tcW w:type="dxa" w:w="3384"/>
            <w:tcMar>
              <w:top w:w="48" w:type="dxa"/>
              <w:start w:w="62" w:type="dxa"/>
              <w:bottom w:w="48" w:type="dxa"/>
              <w:end w:w="62" w:type="dxa"/>
            </w:tcMar>
            <w:vAlign w:val="center"/>
          </w:tcPr>
          <w:p>
            <w:pPr>
              <w:spacing w:after="0"/>
            </w:pPr>
            <w:r>
              <w:rPr>
                <w:b/>
                <w:sz w:val="15"/>
              </w:rPr>
              <w:t>Unity / Unreal packaged project or asset</w:t>
            </w:r>
          </w:p>
        </w:tc>
        <w:tc>
          <w:tcPr>
            <w:tcW w:type="dxa" w:w="2376"/>
            <w:tcMar>
              <w:top w:w="48" w:type="dxa"/>
              <w:start w:w="62" w:type="dxa"/>
              <w:bottom w:w="48" w:type="dxa"/>
              <w:end w:w="62" w:type="dxa"/>
            </w:tcMar>
            <w:vAlign w:val="center"/>
            <w:shd w:fill="EEF4F2"/>
          </w:tcPr>
          <w:p>
            <w:pPr>
              <w:spacing w:after="0"/>
            </w:pPr>
            <w:r>
              <w:rPr>
                <w:sz w:val="15"/>
              </w:rPr>
              <w:t>Yellow Umbrella</w:t>
            </w:r>
          </w:p>
        </w:tc>
        <w:tc>
          <w:tcPr>
            <w:tcW w:type="dxa" w:w="4579"/>
            <w:tcMar>
              <w:top w:w="48" w:type="dxa"/>
              <w:start w:w="62" w:type="dxa"/>
              <w:bottom w:w="48" w:type="dxa"/>
              <w:end w:w="62" w:type="dxa"/>
            </w:tcMar>
            <w:vAlign w:val="center"/>
          </w:tcPr>
          <w:p>
            <w:pPr>
              <w:spacing w:after="0"/>
            </w:pPr>
            <w:r>
              <w:rPr>
                <w:sz w:val="15"/>
              </w:rPr>
              <w:t>Use rights as stated in Capture Order</w:t>
            </w:r>
          </w:p>
        </w:tc>
      </w:tr>
      <w:tr>
        <w:tc>
          <w:tcPr>
            <w:tcW w:type="dxa" w:w="3384"/>
            <w:tcMar>
              <w:top w:w="48" w:type="dxa"/>
              <w:start w:w="62" w:type="dxa"/>
              <w:bottom w:w="48" w:type="dxa"/>
              <w:end w:w="62" w:type="dxa"/>
            </w:tcMar>
            <w:vAlign w:val="center"/>
          </w:tcPr>
          <w:p>
            <w:pPr>
              <w:spacing w:after="0"/>
            </w:pPr>
            <w:r>
              <w:rPr>
                <w:b/>
                <w:sz w:val="15"/>
              </w:rPr>
              <w:t>Rendered stills / video</w:t>
            </w:r>
          </w:p>
        </w:tc>
        <w:tc>
          <w:tcPr>
            <w:tcW w:type="dxa" w:w="2376"/>
            <w:tcMar>
              <w:top w:w="48" w:type="dxa"/>
              <w:start w:w="62" w:type="dxa"/>
              <w:bottom w:w="48" w:type="dxa"/>
              <w:end w:w="62" w:type="dxa"/>
            </w:tcMar>
            <w:vAlign w:val="center"/>
            <w:shd w:fill="EEF4F2"/>
          </w:tcPr>
          <w:p>
            <w:pPr>
              <w:spacing w:after="0"/>
            </w:pPr>
            <w:r>
              <w:rPr>
                <w:sz w:val="15"/>
              </w:rPr>
              <w:t>Yellow Umbrella</w:t>
            </w:r>
          </w:p>
        </w:tc>
        <w:tc>
          <w:tcPr>
            <w:tcW w:type="dxa" w:w="4579"/>
            <w:tcMar>
              <w:top w:w="48" w:type="dxa"/>
              <w:start w:w="62" w:type="dxa"/>
              <w:bottom w:w="48" w:type="dxa"/>
              <w:end w:w="62" w:type="dxa"/>
            </w:tcMar>
            <w:vAlign w:val="center"/>
          </w:tcPr>
          <w:p>
            <w:pPr>
              <w:spacing w:after="0"/>
            </w:pPr>
            <w:r>
              <w:rPr>
                <w:sz w:val="15"/>
              </w:rPr>
              <w:t>Client license to final delivered media</w:t>
            </w:r>
          </w:p>
        </w:tc>
      </w:tr>
      <w:tr>
        <w:tc>
          <w:tcPr>
            <w:tcW w:type="dxa" w:w="3384"/>
            <w:tcMar>
              <w:top w:w="48" w:type="dxa"/>
              <w:start w:w="62" w:type="dxa"/>
              <w:bottom w:w="48" w:type="dxa"/>
              <w:end w:w="62" w:type="dxa"/>
            </w:tcMar>
            <w:vAlign w:val="center"/>
          </w:tcPr>
          <w:p>
            <w:pPr>
              <w:spacing w:after="0"/>
            </w:pPr>
            <w:r>
              <w:rPr>
                <w:b/>
                <w:sz w:val="15"/>
              </w:rPr>
              <w:t>3D-printable derivative files</w:t>
            </w:r>
          </w:p>
        </w:tc>
        <w:tc>
          <w:tcPr>
            <w:tcW w:type="dxa" w:w="2376"/>
            <w:tcMar>
              <w:top w:w="48" w:type="dxa"/>
              <w:start w:w="62" w:type="dxa"/>
              <w:bottom w:w="48" w:type="dxa"/>
              <w:end w:w="62" w:type="dxa"/>
            </w:tcMar>
            <w:vAlign w:val="center"/>
            <w:shd w:fill="EEF4F2"/>
          </w:tcPr>
          <w:p>
            <w:pPr>
              <w:spacing w:after="0"/>
            </w:pPr>
            <w:r>
              <w:rPr>
                <w:sz w:val="15"/>
              </w:rPr>
              <w:t>Yellow Umbrella</w:t>
            </w:r>
          </w:p>
        </w:tc>
        <w:tc>
          <w:tcPr>
            <w:tcW w:type="dxa" w:w="4579"/>
            <w:tcMar>
              <w:top w:w="48" w:type="dxa"/>
              <w:start w:w="62" w:type="dxa"/>
              <w:bottom w:w="48" w:type="dxa"/>
              <w:end w:w="62" w:type="dxa"/>
            </w:tcMar>
            <w:vAlign w:val="center"/>
          </w:tcPr>
          <w:p>
            <w:pPr>
              <w:spacing w:after="0"/>
            </w:pPr>
            <w:r>
              <w:rPr>
                <w:sz w:val="15"/>
              </w:rPr>
              <w:t>Client license to delivered printable files</w:t>
            </w:r>
          </w:p>
        </w:tc>
      </w:tr>
    </w:tbl>
    <w:p>
      <w:r>
        <w:br w:type="page"/>
      </w:r>
    </w:p>
    <w:p>
      <w:pPr>
        <w:pStyle w:val="Heading1"/>
      </w:pPr>
      <w:r>
        <w:t>4. Client License - Standard Default</w:t>
      </w:r>
    </w:p>
    <w:p>
      <w:r>
        <w:t>For each final deliverable identified in the Capture Order, and after payment of all amounts due, Yellow Umbrella grants the client a perpetual, worldwide, non-exclusive license to use, reproduce, display, distribute, and internally modify that deliverable for the client's own operations, marketing, documentation, presentations, location scouting, preservation, interactive experiences, and other lawful project purposes, subject to the limitations in this Schedule and the Services Agreement.</w:t>
      </w:r>
    </w:p>
    <w:p>
      <w:r>
        <w:t>Unless expanded below, the Standard License does not include the right to sell the underlying spatial model, source data, or Yellow Umbrella production files as a standalone stock asset, data product, software product, template, or competing scanning deliverable.</w:t>
      </w:r>
    </w:p>
    <w:p>
      <w:pPr>
        <w:pStyle w:val="Heading1"/>
      </w:pPr>
      <w:r>
        <w:t>5. Select the Applicable License / Transfer Option</w:t>
      </w:r>
    </w:p>
    <w:tbl>
      <w:tblPr>
        <w:tblW w:type="auto" w:w="0"/>
        <w:jc w:val="center"/>
        <w:tblLayout w:type="fixed"/>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5083"/>
        <w:gridCol w:w="5083"/>
      </w:tblGrid>
      <w:tr>
        <w:tc>
          <w:tcPr>
            <w:tcW w:type="dxa" w:w="5083"/>
            <w:tcMar>
              <w:top w:w="52" w:type="dxa"/>
              <w:start w:w="72" w:type="dxa"/>
              <w:bottom w:w="52" w:type="dxa"/>
              <w:end w:w="72" w:type="dxa"/>
            </w:tcMar>
            <w:vAlign w:val="center"/>
          </w:tcPr>
          <w:p>
            <w:pPr>
              <w:spacing w:after="0"/>
            </w:pPr>
            <w:r>
              <w:rPr>
                <w:sz w:val="17"/>
              </w:rPr>
              <w:t>[ ] STANDARD LICENSE - default rights described above</w:t>
            </w:r>
          </w:p>
        </w:tc>
        <w:tc>
          <w:tcPr>
            <w:tcW w:type="dxa" w:w="5083"/>
            <w:tcMar>
              <w:top w:w="52" w:type="dxa"/>
              <w:start w:w="72" w:type="dxa"/>
              <w:bottom w:w="52" w:type="dxa"/>
              <w:end w:w="72" w:type="dxa"/>
            </w:tcMar>
            <w:vAlign w:val="center"/>
          </w:tcPr>
          <w:p>
            <w:pPr>
              <w:spacing w:after="0"/>
            </w:pPr>
            <w:r>
              <w:rPr>
                <w:sz w:val="17"/>
              </w:rPr>
              <w:t>[ ] PRIVATE / RESTRICTED LICENSE - use limited to named users or internal purposes</w:t>
            </w:r>
          </w:p>
        </w:tc>
      </w:tr>
      <w:tr>
        <w:tc>
          <w:tcPr>
            <w:tcW w:type="dxa" w:w="5083"/>
            <w:tcMar>
              <w:top w:w="52" w:type="dxa"/>
              <w:start w:w="72" w:type="dxa"/>
              <w:bottom w:w="52" w:type="dxa"/>
              <w:end w:w="72" w:type="dxa"/>
            </w:tcMar>
            <w:vAlign w:val="center"/>
          </w:tcPr>
          <w:p>
            <w:pPr>
              <w:spacing w:after="0"/>
            </w:pPr>
            <w:r>
              <w:rPr>
                <w:sz w:val="17"/>
              </w:rPr>
              <w:t>[ ] PUBLIC COMMERCIAL LICENSE - client may publicly publish and commercially exploit delivered model</w:t>
            </w:r>
          </w:p>
        </w:tc>
        <w:tc>
          <w:tcPr>
            <w:tcW w:type="dxa" w:w="5083"/>
            <w:tcMar>
              <w:top w:w="52" w:type="dxa"/>
              <w:start w:w="72" w:type="dxa"/>
              <w:bottom w:w="52" w:type="dxa"/>
              <w:end w:w="72" w:type="dxa"/>
            </w:tcMar>
            <w:vAlign w:val="center"/>
          </w:tcPr>
          <w:p>
            <w:pPr>
              <w:spacing w:after="0"/>
            </w:pPr>
            <w:r>
              <w:rPr>
                <w:sz w:val="17"/>
              </w:rPr>
              <w:t>[ ] SOURCE-ASSET LICENSE - specified raw / project files delivered with expanded modification rights</w:t>
            </w:r>
          </w:p>
        </w:tc>
      </w:tr>
      <w:tr>
        <w:tc>
          <w:tcPr>
            <w:tcW w:type="dxa" w:w="5083"/>
            <w:tcMar>
              <w:top w:w="52" w:type="dxa"/>
              <w:start w:w="72" w:type="dxa"/>
              <w:bottom w:w="52" w:type="dxa"/>
              <w:end w:w="72" w:type="dxa"/>
            </w:tcMar>
            <w:vAlign w:val="center"/>
          </w:tcPr>
          <w:p>
            <w:pPr>
              <w:spacing w:after="0"/>
            </w:pPr>
            <w:r>
              <w:rPr>
                <w:sz w:val="17"/>
              </w:rPr>
              <w:t>[ ] EXCLUSIVE PROJECT LICENSE - Yellow Umbrella will not license the same property-specific deliverable to others</w:t>
            </w:r>
          </w:p>
        </w:tc>
        <w:tc>
          <w:tcPr>
            <w:tcW w:type="dxa" w:w="5083"/>
            <w:tcMar>
              <w:top w:w="52" w:type="dxa"/>
              <w:start w:w="72" w:type="dxa"/>
              <w:bottom w:w="52" w:type="dxa"/>
              <w:end w:w="72" w:type="dxa"/>
            </w:tcMar>
            <w:vAlign w:val="center"/>
          </w:tcPr>
          <w:p>
            <w:pPr>
              <w:spacing w:after="0"/>
            </w:pPr>
            <w:r>
              <w:rPr>
                <w:sz w:val="17"/>
              </w:rPr>
              <w:t>[ ] FULL ASSIGNMENT / BUYOUT - specified assets transferred to client upon full payment</w:t>
            </w:r>
          </w:p>
        </w:tc>
      </w:tr>
    </w:tbl>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83"/>
        <w:gridCol w:w="5083"/>
      </w:tblGrid>
      <w:tr>
        <w:tc>
          <w:tcPr>
            <w:tcW w:type="dxa" w:w="2952"/>
            <w:shd w:fill="EEF4F2"/>
            <w:tcMar>
              <w:top w:w="55" w:type="dxa"/>
              <w:start w:w="75" w:type="dxa"/>
              <w:bottom w:w="55" w:type="dxa"/>
              <w:end w:w="75" w:type="dxa"/>
            </w:tcMar>
            <w:vAlign w:val="center"/>
          </w:tcPr>
          <w:p>
            <w:pPr>
              <w:spacing w:after="0"/>
            </w:pPr>
            <w:r>
              <w:rPr>
                <w:b/>
                <w:color w:val="364B45"/>
                <w:sz w:val="16"/>
              </w:rPr>
              <w:t>Selected Option</w:t>
            </w:r>
          </w:p>
        </w:tc>
        <w:tc>
          <w:tcPr>
            <w:tcW w:type="dxa" w:w="7344"/>
            <w:tcMar>
              <w:top w:w="55" w:type="dxa"/>
              <w:start w:w="75" w:type="dxa"/>
              <w:bottom w:w="55" w:type="dxa"/>
              <w:end w:w="75" w:type="dxa"/>
            </w:tcMar>
            <w:vAlign w:val="center"/>
          </w:tcPr>
          <w:p>
            <w:pPr>
              <w:spacing w:after="0"/>
            </w:pPr>
            <w:r>
              <w:rPr>
                <w:sz w:val="17"/>
              </w:rPr>
              <w:t>[CHECK ABOVE AND DESCRIBE IF NEEDED]</w:t>
            </w:r>
          </w:p>
        </w:tc>
      </w:tr>
      <w:tr>
        <w:tc>
          <w:tcPr>
            <w:tcW w:type="dxa" w:w="2952"/>
            <w:shd w:fill="EEF4F2"/>
            <w:tcMar>
              <w:top w:w="55" w:type="dxa"/>
              <w:start w:w="75" w:type="dxa"/>
              <w:bottom w:w="55" w:type="dxa"/>
              <w:end w:w="75" w:type="dxa"/>
            </w:tcMar>
            <w:vAlign w:val="center"/>
          </w:tcPr>
          <w:p>
            <w:pPr>
              <w:spacing w:after="0"/>
            </w:pPr>
            <w:r>
              <w:rPr>
                <w:b/>
                <w:color w:val="364B45"/>
                <w:sz w:val="16"/>
              </w:rPr>
              <w:t>Additional Fee</w:t>
            </w:r>
          </w:p>
        </w:tc>
        <w:tc>
          <w:tcPr>
            <w:tcW w:type="dxa" w:w="7344"/>
            <w:tcMar>
              <w:top w:w="55" w:type="dxa"/>
              <w:start w:w="75" w:type="dxa"/>
              <w:bottom w:w="55" w:type="dxa"/>
              <w:end w:w="75" w:type="dxa"/>
            </w:tcMar>
            <w:vAlign w:val="center"/>
          </w:tcPr>
          <w:p>
            <w:pPr>
              <w:spacing w:after="0"/>
            </w:pPr>
            <w:r>
              <w:rPr>
                <w:sz w:val="17"/>
              </w:rPr>
              <w:t>[$ / INCLUDED]</w:t>
            </w:r>
          </w:p>
        </w:tc>
      </w:tr>
      <w:tr>
        <w:tc>
          <w:tcPr>
            <w:tcW w:type="dxa" w:w="2952"/>
            <w:shd w:fill="EEF4F2"/>
            <w:tcMar>
              <w:top w:w="55" w:type="dxa"/>
              <w:start w:w="75" w:type="dxa"/>
              <w:bottom w:w="55" w:type="dxa"/>
              <w:end w:w="75" w:type="dxa"/>
            </w:tcMar>
            <w:vAlign w:val="center"/>
          </w:tcPr>
          <w:p>
            <w:pPr>
              <w:spacing w:after="0"/>
            </w:pPr>
            <w:r>
              <w:rPr>
                <w:b/>
                <w:color w:val="364B45"/>
                <w:sz w:val="16"/>
              </w:rPr>
              <w:t>Authorized Users / Entities</w:t>
            </w:r>
          </w:p>
        </w:tc>
        <w:tc>
          <w:tcPr>
            <w:tcW w:type="dxa" w:w="7344"/>
            <w:tcMar>
              <w:top w:w="55" w:type="dxa"/>
              <w:start w:w="75" w:type="dxa"/>
              <w:bottom w:w="55" w:type="dxa"/>
              <w:end w:w="75" w:type="dxa"/>
            </w:tcMar>
            <w:vAlign w:val="center"/>
          </w:tcPr>
          <w:p>
            <w:pPr>
              <w:spacing w:after="0"/>
            </w:pPr>
            <w:r>
              <w:rPr>
                <w:sz w:val="17"/>
              </w:rPr>
              <w:t>[IF RESTRICTED]</w:t>
            </w:r>
          </w:p>
        </w:tc>
      </w:tr>
      <w:tr>
        <w:tc>
          <w:tcPr>
            <w:tcW w:type="dxa" w:w="2952"/>
            <w:shd w:fill="EEF4F2"/>
            <w:tcMar>
              <w:top w:w="55" w:type="dxa"/>
              <w:start w:w="75" w:type="dxa"/>
              <w:bottom w:w="55" w:type="dxa"/>
              <w:end w:w="75" w:type="dxa"/>
            </w:tcMar>
            <w:vAlign w:val="center"/>
          </w:tcPr>
          <w:p>
            <w:pPr>
              <w:spacing w:after="0"/>
            </w:pPr>
            <w:r>
              <w:rPr>
                <w:b/>
                <w:color w:val="364B45"/>
                <w:sz w:val="16"/>
              </w:rPr>
              <w:t>Term / Expiration</w:t>
            </w:r>
          </w:p>
        </w:tc>
        <w:tc>
          <w:tcPr>
            <w:tcW w:type="dxa" w:w="7344"/>
            <w:tcMar>
              <w:top w:w="55" w:type="dxa"/>
              <w:start w:w="75" w:type="dxa"/>
              <w:bottom w:w="55" w:type="dxa"/>
              <w:end w:w="75" w:type="dxa"/>
            </w:tcMar>
            <w:vAlign w:val="center"/>
          </w:tcPr>
          <w:p>
            <w:pPr>
              <w:spacing w:after="0"/>
            </w:pPr>
            <w:r>
              <w:rPr>
                <w:sz w:val="17"/>
              </w:rPr>
              <w:t>[PERPETUAL UNLESS OTHERWISE STATED]</w:t>
            </w:r>
          </w:p>
        </w:tc>
      </w:tr>
    </w:tbl>
    <w:p>
      <w:pPr>
        <w:pStyle w:val="Heading1"/>
      </w:pPr>
      <w:r>
        <w:t>6. Source Files &amp; Transfer Items</w:t>
      </w:r>
    </w:p>
    <w:p>
      <w:r>
        <w:t>Only the items checked below are required to be delivered as source or editable assets. A checked item does not change ownership unless the selected license or transfer option above expressly says so.</w:t>
      </w:r>
    </w:p>
    <w:tbl>
      <w:tblPr>
        <w:tblW w:type="auto" w:w="0"/>
        <w:jc w:val="center"/>
        <w:tblLayout w:type="fixed"/>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5083"/>
        <w:gridCol w:w="5083"/>
      </w:tblGrid>
      <w:tr>
        <w:tc>
          <w:tcPr>
            <w:tcW w:type="dxa" w:w="5083"/>
            <w:tcMar>
              <w:top w:w="52" w:type="dxa"/>
              <w:start w:w="72" w:type="dxa"/>
              <w:bottom w:w="52" w:type="dxa"/>
              <w:end w:w="72" w:type="dxa"/>
            </w:tcMar>
            <w:vAlign w:val="center"/>
          </w:tcPr>
          <w:p>
            <w:pPr>
              <w:spacing w:after="0"/>
            </w:pPr>
            <w:r>
              <w:rPr>
                <w:sz w:val="17"/>
              </w:rPr>
              <w:t>[ ] Raw PortalCam capture / project folder</w:t>
            </w:r>
          </w:p>
        </w:tc>
        <w:tc>
          <w:tcPr>
            <w:tcW w:type="dxa" w:w="5083"/>
            <w:tcMar>
              <w:top w:w="52" w:type="dxa"/>
              <w:start w:w="72" w:type="dxa"/>
              <w:bottom w:w="52" w:type="dxa"/>
              <w:end w:w="72" w:type="dxa"/>
            </w:tcMar>
            <w:vAlign w:val="center"/>
          </w:tcPr>
          <w:p>
            <w:pPr>
              <w:spacing w:after="0"/>
            </w:pPr>
            <w:r>
              <w:rPr>
                <w:sz w:val="17"/>
              </w:rPr>
              <w:t>[ ] LCC / LCC2 files</w:t>
            </w:r>
          </w:p>
        </w:tc>
      </w:tr>
      <w:tr>
        <w:tc>
          <w:tcPr>
            <w:tcW w:type="dxa" w:w="5083"/>
            <w:tcMar>
              <w:top w:w="52" w:type="dxa"/>
              <w:start w:w="72" w:type="dxa"/>
              <w:bottom w:w="52" w:type="dxa"/>
              <w:end w:w="72" w:type="dxa"/>
            </w:tcMar>
            <w:vAlign w:val="center"/>
          </w:tcPr>
          <w:p>
            <w:pPr>
              <w:spacing w:after="0"/>
            </w:pPr>
            <w:r>
              <w:rPr>
                <w:sz w:val="17"/>
              </w:rPr>
              <w:t>[ ] Gaussian PLY / other interchange format, if available</w:t>
            </w:r>
          </w:p>
        </w:tc>
        <w:tc>
          <w:tcPr>
            <w:tcW w:type="dxa" w:w="5083"/>
            <w:tcMar>
              <w:top w:w="52" w:type="dxa"/>
              <w:start w:w="72" w:type="dxa"/>
              <w:bottom w:w="52" w:type="dxa"/>
              <w:end w:w="72" w:type="dxa"/>
            </w:tcMar>
            <w:vAlign w:val="center"/>
          </w:tcPr>
          <w:p>
            <w:pPr>
              <w:spacing w:after="0"/>
            </w:pPr>
            <w:r>
              <w:rPr>
                <w:sz w:val="17"/>
              </w:rPr>
              <w:t>[ ] Generated / collision mesh</w:t>
            </w:r>
          </w:p>
        </w:tc>
      </w:tr>
      <w:tr>
        <w:tc>
          <w:tcPr>
            <w:tcW w:type="dxa" w:w="5083"/>
            <w:tcMar>
              <w:top w:w="52" w:type="dxa"/>
              <w:start w:w="72" w:type="dxa"/>
              <w:bottom w:w="52" w:type="dxa"/>
              <w:end w:w="72" w:type="dxa"/>
            </w:tcMar>
            <w:vAlign w:val="center"/>
          </w:tcPr>
          <w:p>
            <w:pPr>
              <w:spacing w:after="0"/>
            </w:pPr>
            <w:r>
              <w:rPr>
                <w:sz w:val="17"/>
              </w:rPr>
              <w:t>[ ] Cleaned OBJ / FBX / GLB / other mesh</w:t>
            </w:r>
          </w:p>
        </w:tc>
        <w:tc>
          <w:tcPr>
            <w:tcW w:type="dxa" w:w="5083"/>
            <w:tcMar>
              <w:top w:w="52" w:type="dxa"/>
              <w:start w:w="72" w:type="dxa"/>
              <w:bottom w:w="52" w:type="dxa"/>
              <w:end w:w="72" w:type="dxa"/>
            </w:tcMar>
            <w:vAlign w:val="center"/>
          </w:tcPr>
          <w:p>
            <w:pPr>
              <w:spacing w:after="0"/>
            </w:pPr>
            <w:r>
              <w:rPr>
                <w:sz w:val="17"/>
              </w:rPr>
              <w:t>[ ] Blender / DCC working file</w:t>
            </w:r>
          </w:p>
        </w:tc>
      </w:tr>
      <w:tr>
        <w:tc>
          <w:tcPr>
            <w:tcW w:type="dxa" w:w="5083"/>
            <w:tcMar>
              <w:top w:w="52" w:type="dxa"/>
              <w:start w:w="72" w:type="dxa"/>
              <w:bottom w:w="52" w:type="dxa"/>
              <w:end w:w="72" w:type="dxa"/>
            </w:tcMar>
            <w:vAlign w:val="center"/>
          </w:tcPr>
          <w:p>
            <w:pPr>
              <w:spacing w:after="0"/>
            </w:pPr>
            <w:r>
              <w:rPr>
                <w:sz w:val="17"/>
              </w:rPr>
              <w:t>[ ] Unity project / package</w:t>
            </w:r>
          </w:p>
        </w:tc>
        <w:tc>
          <w:tcPr>
            <w:tcW w:type="dxa" w:w="5083"/>
            <w:tcMar>
              <w:top w:w="52" w:type="dxa"/>
              <w:start w:w="72" w:type="dxa"/>
              <w:bottom w:w="52" w:type="dxa"/>
              <w:end w:w="72" w:type="dxa"/>
            </w:tcMar>
            <w:vAlign w:val="center"/>
          </w:tcPr>
          <w:p>
            <w:pPr>
              <w:spacing w:after="0"/>
            </w:pPr>
            <w:r>
              <w:rPr>
                <w:sz w:val="17"/>
              </w:rPr>
              <w:t>[ ] Unreal project / package</w:t>
            </w:r>
          </w:p>
        </w:tc>
      </w:tr>
      <w:tr>
        <w:tc>
          <w:tcPr>
            <w:tcW w:type="dxa" w:w="5083"/>
            <w:tcMar>
              <w:top w:w="52" w:type="dxa"/>
              <w:start w:w="72" w:type="dxa"/>
              <w:bottom w:w="52" w:type="dxa"/>
              <w:end w:w="72" w:type="dxa"/>
            </w:tcMar>
            <w:vAlign w:val="center"/>
          </w:tcPr>
          <w:p>
            <w:pPr>
              <w:spacing w:after="0"/>
            </w:pPr>
            <w:r>
              <w:rPr>
                <w:sz w:val="17"/>
              </w:rPr>
              <w:t>[ ] Web viewer build / deployment package</w:t>
            </w:r>
          </w:p>
        </w:tc>
        <w:tc>
          <w:tcPr>
            <w:tcW w:type="dxa" w:w="5083"/>
            <w:tcMar>
              <w:top w:w="52" w:type="dxa"/>
              <w:start w:w="72" w:type="dxa"/>
              <w:bottom w:w="52" w:type="dxa"/>
              <w:end w:w="72" w:type="dxa"/>
            </w:tcMar>
            <w:vAlign w:val="center"/>
          </w:tcPr>
          <w:p>
            <w:pPr>
              <w:spacing w:after="0"/>
            </w:pPr>
            <w:r>
              <w:rPr>
                <w:sz w:val="17"/>
              </w:rPr>
              <w:t>[ ] 3D-printable STL / 3MF / other derivative</w:t>
            </w:r>
          </w:p>
        </w:tc>
      </w:tr>
    </w:tbl>
    <w:tbl>
      <w:tblPr>
        <w:tblW w:type="auto" w:w="0"/>
        <w:jc w:val="center"/>
        <w:tblLook w:firstColumn="1" w:firstRow="1" w:lastColumn="0" w:lastRow="0" w:noHBand="0" w:noVBand="1" w:val="04A0"/>
        <w:tblBorders>
          <w:top w:val="single" w:sz="4" w:space="0" w:color="CBD7D3"/>
          <w:left w:val="single" w:sz="4" w:space="0" w:color="CBD7D3"/>
          <w:bottom w:val="single" w:sz="4" w:space="0" w:color="CBD7D3"/>
          <w:right w:val="single" w:sz="4" w:space="0" w:color="CBD7D3"/>
          <w:insideH w:val="single" w:sz="4" w:space="0" w:color="CBD7D3"/>
          <w:insideV w:val="single" w:sz="4" w:space="0" w:color="CBD7D3"/>
        </w:tblBorders>
      </w:tblPr>
      <w:tblGrid>
        <w:gridCol w:w="10166"/>
      </w:tblGrid>
      <w:tr>
        <w:tc>
          <w:tcPr>
            <w:tcW w:type="dxa" w:w="10166"/>
            <w:shd w:fill="F5F7F6"/>
            <w:tcMar>
              <w:top w:w="74" w:type="dxa"/>
              <w:start w:w="96" w:type="dxa"/>
              <w:bottom w:w="74" w:type="dxa"/>
              <w:end w:w="96" w:type="dxa"/>
            </w:tcMar>
          </w:tcPr>
          <w:p>
            <w:pPr>
              <w:spacing w:after="0"/>
            </w:pPr>
            <w:r>
              <w:rPr>
                <w:sz w:val="17"/>
              </w:rPr>
              <w:t>Third-party software, proprietary formats, plugins, cloud accounts, codecs, fonts, libraries, or licensed components are not transferred merely because they are used in producing a deliverable. Their separate license terms continue to apply.</w:t>
            </w:r>
          </w:p>
        </w:tc>
      </w:tr>
    </w:tbl>
    <w:p>
      <w:pPr>
        <w:pStyle w:val="Heading1"/>
      </w:pPr>
      <w:r>
        <w:t>7. Property-Specific Reuse by Yellow Umbrella</w:t>
      </w:r>
    </w:p>
    <w:p>
      <w:r>
        <w:t>Unless a separate written authorization permits broader use, Yellow Umbrella may use property-specific project files only as reasonably necessary to perform the services, maintain backups and archives, troubleshoot or support the client, comply with law, and protect or enforce contractual rights. Public portfolio, social-media, demonstration, training-data, stock-asset, or promotional use is not authorized by this Schedule alone.</w:t>
      </w:r>
    </w:p>
    <w:p>
      <w:pPr>
        <w:pStyle w:val="Heading1"/>
      </w:pPr>
      <w:r>
        <w:t>8. Client Modifications &amp; Derivative Works</w:t>
      </w:r>
    </w:p>
    <w:p>
      <w:r>
        <w:t>To the extent the selected license permits modification, the client may crop, annotate, combine, optimize, convert, render, game-enable, or otherwise create derivatives of delivered assets. Yellow Umbrella is not responsible for errors, artifacts, compatibility problems, or measurement changes introduced after delivery by the client or a third party. Removal of Yellow Umbrella branding or attribution is permitted unless a Capture Order expressly requires attribution.</w:t>
      </w:r>
    </w:p>
    <w:p>
      <w:r>
        <w:br w:type="page"/>
      </w:r>
    </w:p>
    <w:p>
      <w:pPr>
        <w:pStyle w:val="Heading1"/>
      </w:pPr>
      <w:r>
        <w:t>9. Hosting, Access &amp; Format Lifecycle</w:t>
      </w:r>
    </w:p>
    <w:p>
      <w:r>
        <w:t>A perpetual license to a delivered file does not create a perpetual hosting obligation. Hosted viewers, cloud links, web applications, or account-based access remain subject to the hosting term and fees stated in the Capture Order. File formats, third-party viewers, plugins, engines, and cloud services may change or become unsupported over time; migration or re-export work is a separate service unless included in writing.</w:t>
      </w:r>
    </w:p>
    <w:p>
      <w:pPr>
        <w:pStyle w:val="Heading1"/>
      </w:pPr>
      <w:r>
        <w:t>10. Third-Party Rights</w:t>
      </w:r>
    </w:p>
    <w:p>
      <w:r>
        <w:t>The client is responsible for obtaining rights necessary for client-directed uses of third-party artwork, trademarks, photographs, exhibits, tenant property, or other protected material visible in the captured environment. Yellow Umbrella does not transfer ownership of any third-party intellectual property merely because it appears in a spatial model or derivative.</w:t>
      </w:r>
    </w:p>
    <w:p>
      <w:pPr>
        <w:pStyle w:val="Heading1"/>
      </w:pPr>
      <w:r>
        <w:t>11. Project-Specific Overrides</w:t>
      </w:r>
    </w:p>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83"/>
        <w:gridCol w:w="5083"/>
      </w:tblGrid>
      <w:tr>
        <w:tc>
          <w:tcPr>
            <w:tcW w:type="dxa" w:w="2952"/>
            <w:shd w:fill="EEF4F2"/>
            <w:tcMar>
              <w:top w:w="55" w:type="dxa"/>
              <w:start w:w="75" w:type="dxa"/>
              <w:bottom w:w="55" w:type="dxa"/>
              <w:end w:w="75" w:type="dxa"/>
            </w:tcMar>
            <w:vAlign w:val="center"/>
          </w:tcPr>
          <w:p>
            <w:pPr>
              <w:spacing w:after="0"/>
            </w:pPr>
            <w:r>
              <w:rPr>
                <w:b/>
                <w:color w:val="364B45"/>
                <w:sz w:val="16"/>
              </w:rPr>
              <w:t>Assets Transferred to Client</w:t>
            </w:r>
          </w:p>
        </w:tc>
        <w:tc>
          <w:tcPr>
            <w:tcW w:type="dxa" w:w="7344"/>
            <w:tcMar>
              <w:top w:w="55" w:type="dxa"/>
              <w:start w:w="75" w:type="dxa"/>
              <w:bottom w:w="55" w:type="dxa"/>
              <w:end w:w="75" w:type="dxa"/>
            </w:tcMar>
            <w:vAlign w:val="center"/>
          </w:tcPr>
          <w:p>
            <w:pPr>
              <w:spacing w:after="0"/>
            </w:pPr>
            <w:r>
              <w:rPr>
                <w:sz w:val="17"/>
              </w:rPr>
              <w:t>[NONE UNLESS LISTED]</w:t>
            </w:r>
          </w:p>
        </w:tc>
      </w:tr>
      <w:tr>
        <w:tc>
          <w:tcPr>
            <w:tcW w:type="dxa" w:w="2952"/>
            <w:shd w:fill="EEF4F2"/>
            <w:tcMar>
              <w:top w:w="55" w:type="dxa"/>
              <w:start w:w="75" w:type="dxa"/>
              <w:bottom w:w="55" w:type="dxa"/>
              <w:end w:w="75" w:type="dxa"/>
            </w:tcMar>
            <w:vAlign w:val="center"/>
          </w:tcPr>
          <w:p>
            <w:pPr>
              <w:spacing w:after="0"/>
            </w:pPr>
            <w:r>
              <w:rPr>
                <w:b/>
                <w:color w:val="364B45"/>
                <w:sz w:val="16"/>
              </w:rPr>
              <w:t>Assets Excluded from Delivery</w:t>
            </w:r>
          </w:p>
        </w:tc>
        <w:tc>
          <w:tcPr>
            <w:tcW w:type="dxa" w:w="7344"/>
            <w:tcMar>
              <w:top w:w="55" w:type="dxa"/>
              <w:start w:w="75" w:type="dxa"/>
              <w:bottom w:w="55" w:type="dxa"/>
              <w:end w:w="75" w:type="dxa"/>
            </w:tcMar>
            <w:vAlign w:val="center"/>
          </w:tcPr>
          <w:p>
            <w:pPr>
              <w:spacing w:after="0"/>
            </w:pPr>
            <w:r>
              <w:rPr>
                <w:sz w:val="17"/>
              </w:rPr>
              <w:t>[NONE / LIST]</w:t>
            </w:r>
          </w:p>
        </w:tc>
      </w:tr>
      <w:tr>
        <w:tc>
          <w:tcPr>
            <w:tcW w:type="dxa" w:w="2952"/>
            <w:shd w:fill="EEF4F2"/>
            <w:tcMar>
              <w:top w:w="55" w:type="dxa"/>
              <w:start w:w="75" w:type="dxa"/>
              <w:bottom w:w="55" w:type="dxa"/>
              <w:end w:w="75" w:type="dxa"/>
            </w:tcMar>
            <w:vAlign w:val="center"/>
          </w:tcPr>
          <w:p>
            <w:pPr>
              <w:spacing w:after="0"/>
            </w:pPr>
            <w:r>
              <w:rPr>
                <w:b/>
                <w:color w:val="364B45"/>
                <w:sz w:val="16"/>
              </w:rPr>
              <w:t>Special Use Rights</w:t>
            </w:r>
          </w:p>
        </w:tc>
        <w:tc>
          <w:tcPr>
            <w:tcW w:type="dxa" w:w="7344"/>
            <w:tcMar>
              <w:top w:w="55" w:type="dxa"/>
              <w:start w:w="75" w:type="dxa"/>
              <w:bottom w:w="55" w:type="dxa"/>
              <w:end w:w="75" w:type="dxa"/>
            </w:tcMar>
            <w:vAlign w:val="center"/>
          </w:tcPr>
          <w:p>
            <w:pPr>
              <w:spacing w:after="0"/>
            </w:pPr>
            <w:r>
              <w:rPr>
                <w:sz w:val="17"/>
              </w:rPr>
              <w:t>[NONE / DESCRIBE]</w:t>
            </w:r>
          </w:p>
        </w:tc>
      </w:tr>
      <w:tr>
        <w:tc>
          <w:tcPr>
            <w:tcW w:type="dxa" w:w="2952"/>
            <w:shd w:fill="EEF4F2"/>
            <w:tcMar>
              <w:top w:w="55" w:type="dxa"/>
              <w:start w:w="75" w:type="dxa"/>
              <w:bottom w:w="55" w:type="dxa"/>
              <w:end w:w="75" w:type="dxa"/>
            </w:tcMar>
            <w:vAlign w:val="center"/>
          </w:tcPr>
          <w:p>
            <w:pPr>
              <w:spacing w:after="0"/>
            </w:pPr>
            <w:r>
              <w:rPr>
                <w:b/>
                <w:color w:val="364B45"/>
                <w:sz w:val="16"/>
              </w:rPr>
              <w:t>Attribution Requirement</w:t>
            </w:r>
          </w:p>
        </w:tc>
        <w:tc>
          <w:tcPr>
            <w:tcW w:type="dxa" w:w="7344"/>
            <w:tcMar>
              <w:top w:w="55" w:type="dxa"/>
              <w:start w:w="75" w:type="dxa"/>
              <w:bottom w:w="55" w:type="dxa"/>
              <w:end w:w="75" w:type="dxa"/>
            </w:tcMar>
            <w:vAlign w:val="center"/>
          </w:tcPr>
          <w:p>
            <w:pPr>
              <w:spacing w:after="0"/>
            </w:pPr>
            <w:r>
              <w:rPr>
                <w:sz w:val="17"/>
              </w:rPr>
              <w:t>[NONE / DESCRIBE]</w:t>
            </w:r>
          </w:p>
        </w:tc>
      </w:tr>
      <w:tr>
        <w:tc>
          <w:tcPr>
            <w:tcW w:type="dxa" w:w="2952"/>
            <w:shd w:fill="EEF4F2"/>
            <w:tcMar>
              <w:top w:w="55" w:type="dxa"/>
              <w:start w:w="75" w:type="dxa"/>
              <w:bottom w:w="55" w:type="dxa"/>
              <w:end w:w="75" w:type="dxa"/>
            </w:tcMar>
            <w:vAlign w:val="center"/>
          </w:tcPr>
          <w:p>
            <w:pPr>
              <w:spacing w:after="0"/>
            </w:pPr>
            <w:r>
              <w:rPr>
                <w:b/>
                <w:color w:val="364B45"/>
                <w:sz w:val="16"/>
              </w:rPr>
              <w:t>Resale / Sublicensing Rights</w:t>
            </w:r>
          </w:p>
        </w:tc>
        <w:tc>
          <w:tcPr>
            <w:tcW w:type="dxa" w:w="7344"/>
            <w:tcMar>
              <w:top w:w="55" w:type="dxa"/>
              <w:start w:w="75" w:type="dxa"/>
              <w:bottom w:w="55" w:type="dxa"/>
              <w:end w:w="75" w:type="dxa"/>
            </w:tcMar>
            <w:vAlign w:val="center"/>
          </w:tcPr>
          <w:p>
            <w:pPr>
              <w:spacing w:after="0"/>
            </w:pPr>
            <w:r>
              <w:rPr>
                <w:sz w:val="17"/>
              </w:rPr>
              <w:t>[STANDARD: NO STANDALONE RESALE / DESCRIBE OVERRIDE]</w:t>
            </w:r>
          </w:p>
        </w:tc>
      </w:tr>
      <w:tr>
        <w:tc>
          <w:tcPr>
            <w:tcW w:type="dxa" w:w="2952"/>
            <w:shd w:fill="EEF4F2"/>
            <w:tcMar>
              <w:top w:w="55" w:type="dxa"/>
              <w:start w:w="75" w:type="dxa"/>
              <w:bottom w:w="55" w:type="dxa"/>
              <w:end w:w="75" w:type="dxa"/>
            </w:tcMar>
            <w:vAlign w:val="center"/>
          </w:tcPr>
          <w:p>
            <w:pPr>
              <w:spacing w:after="0"/>
            </w:pPr>
            <w:r>
              <w:rPr>
                <w:b/>
                <w:color w:val="364B45"/>
                <w:sz w:val="16"/>
              </w:rPr>
              <w:t>Other Restrictions</w:t>
            </w:r>
          </w:p>
        </w:tc>
        <w:tc>
          <w:tcPr>
            <w:tcW w:type="dxa" w:w="7344"/>
            <w:tcMar>
              <w:top w:w="55" w:type="dxa"/>
              <w:start w:w="75" w:type="dxa"/>
              <w:bottom w:w="55" w:type="dxa"/>
              <w:end w:w="75" w:type="dxa"/>
            </w:tcMar>
            <w:vAlign w:val="center"/>
          </w:tcPr>
          <w:p>
            <w:pPr>
              <w:spacing w:after="0"/>
            </w:pPr>
            <w:r>
              <w:rPr>
                <w:sz w:val="17"/>
              </w:rPr>
              <w:t>[NONE / DESCRIBE]</w:t>
            </w:r>
          </w:p>
        </w:tc>
      </w:tr>
    </w:tbl>
    <w:p>
      <w:pPr>
        <w:pStyle w:val="Heading1"/>
      </w:pPr>
      <w:r>
        <w:t>12. Priority &amp; Acceptance</w:t>
      </w:r>
    </w:p>
    <w:p>
      <w:r>
        <w:t>This Schedule supplements the applicable Spatial Capture Services Agreement and Project / Capture Order. If there is a direct conflict concerning ownership or licensing of a listed project asset, the most specific signed project term controls for that asset. All other provisions of the Services Agreement remain in effect.</w:t>
      </w:r>
    </w:p>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83"/>
        <w:gridCol w:w="5083"/>
      </w:tblGrid>
      <w:tr>
        <w:tc>
          <w:tcPr>
            <w:tcW w:type="dxa" w:w="5083"/>
            <w:shd w:fill="EEF4F2"/>
            <w:tcMar>
              <w:top w:w="62" w:type="dxa"/>
              <w:start w:w="82" w:type="dxa"/>
              <w:bottom w:w="62" w:type="dxa"/>
              <w:end w:w="82" w:type="dxa"/>
            </w:tcMar>
          </w:tcPr>
          <w:p>
            <w:pPr>
              <w:spacing w:after="0"/>
            </w:pPr>
            <w:r>
              <w:rPr>
                <w:b/>
                <w:color w:val="364B45"/>
                <w:sz w:val="16"/>
              </w:rPr>
              <w:t>Client Legal Name</w:t>
            </w:r>
          </w:p>
        </w:tc>
        <w:tc>
          <w:tcPr>
            <w:tcW w:type="dxa" w:w="5083"/>
            <w:tcMar>
              <w:top w:w="62" w:type="dxa"/>
              <w:start w:w="82" w:type="dxa"/>
              <w:bottom w:w="62" w:type="dxa"/>
              <w:end w:w="82" w:type="dxa"/>
            </w:tcMar>
          </w:tcPr>
          <w:p>
            <w:pPr>
              <w:spacing w:after="0"/>
            </w:pPr>
            <w:r>
              <w:rPr>
                <w:sz w:val="17"/>
              </w:rPr>
              <w:t>[CLIENT LEGAL NAME]</w:t>
            </w:r>
          </w:p>
        </w:tc>
      </w:tr>
      <w:tr>
        <w:tc>
          <w:tcPr>
            <w:tcW w:type="dxa" w:w="5083"/>
            <w:shd w:fill="EEF4F2"/>
            <w:tcMar>
              <w:top w:w="62" w:type="dxa"/>
              <w:start w:w="82" w:type="dxa"/>
              <w:bottom w:w="62" w:type="dxa"/>
              <w:end w:w="82" w:type="dxa"/>
            </w:tcMar>
          </w:tcPr>
          <w:p>
            <w:pPr>
              <w:spacing w:after="0"/>
            </w:pPr>
            <w:r>
              <w:rPr>
                <w:b/>
                <w:color w:val="364B45"/>
                <w:sz w:val="16"/>
              </w:rPr>
              <w:t>Client Representative</w:t>
            </w:r>
          </w:p>
        </w:tc>
        <w:tc>
          <w:tcPr>
            <w:tcW w:type="dxa" w:w="5083"/>
            <w:tcMar>
              <w:top w:w="62" w:type="dxa"/>
              <w:start w:w="82" w:type="dxa"/>
              <w:bottom w:w="62" w:type="dxa"/>
              <w:end w:w="82" w:type="dxa"/>
            </w:tcMar>
          </w:tcPr>
          <w:p>
            <w:pPr>
              <w:spacing w:after="0"/>
            </w:pPr>
            <w:r>
              <w:rPr>
                <w:sz w:val="17"/>
              </w:rPr>
              <w:t>[PRINT NAME / TITLE]</w:t>
            </w:r>
          </w:p>
        </w:tc>
      </w:tr>
      <w:tr>
        <w:tc>
          <w:tcPr>
            <w:tcW w:type="dxa" w:w="5083"/>
            <w:shd w:fill="EEF4F2"/>
            <w:tcMar>
              <w:top w:w="62" w:type="dxa"/>
              <w:start w:w="82" w:type="dxa"/>
              <w:bottom w:w="62" w:type="dxa"/>
              <w:end w:w="82" w:type="dxa"/>
            </w:tcMar>
          </w:tcPr>
          <w:p>
            <w:pPr>
              <w:spacing w:after="0"/>
            </w:pPr>
            <w:r>
              <w:rPr>
                <w:b/>
                <w:color w:val="364B45"/>
                <w:sz w:val="16"/>
              </w:rPr>
              <w:t>Client Signature / Date</w:t>
            </w:r>
          </w:p>
        </w:tc>
        <w:tc>
          <w:tcPr>
            <w:tcW w:type="dxa" w:w="5083"/>
            <w:tcMar>
              <w:top w:w="62" w:type="dxa"/>
              <w:start w:w="82" w:type="dxa"/>
              <w:bottom w:w="62" w:type="dxa"/>
              <w:end w:w="82" w:type="dxa"/>
            </w:tcMar>
          </w:tcPr>
          <w:p>
            <w:pPr>
              <w:spacing w:after="0"/>
            </w:pPr>
            <w:r>
              <w:rPr>
                <w:sz w:val="17"/>
              </w:rPr>
              <w:t>__________________________________    ____________</w:t>
            </w:r>
          </w:p>
        </w:tc>
      </w:tr>
      <w:tr>
        <w:tc>
          <w:tcPr>
            <w:tcW w:type="dxa" w:w="5083"/>
            <w:shd w:fill="EEF4F2"/>
            <w:tcMar>
              <w:top w:w="62" w:type="dxa"/>
              <w:start w:w="82" w:type="dxa"/>
              <w:bottom w:w="62" w:type="dxa"/>
              <w:end w:w="82" w:type="dxa"/>
            </w:tcMar>
          </w:tcPr>
          <w:p>
            <w:pPr>
              <w:spacing w:after="0"/>
            </w:pPr>
            <w:r>
              <w:rPr>
                <w:b/>
                <w:color w:val="364B45"/>
                <w:sz w:val="16"/>
              </w:rPr>
              <w:t>Yellow Umbrella Representative</w:t>
            </w:r>
          </w:p>
        </w:tc>
        <w:tc>
          <w:tcPr>
            <w:tcW w:type="dxa" w:w="5083"/>
            <w:tcMar>
              <w:top w:w="62" w:type="dxa"/>
              <w:start w:w="82" w:type="dxa"/>
              <w:bottom w:w="62" w:type="dxa"/>
              <w:end w:w="82" w:type="dxa"/>
            </w:tcMar>
          </w:tcPr>
          <w:p>
            <w:pPr>
              <w:spacing w:after="0"/>
            </w:pPr>
            <w:r>
              <w:rPr>
                <w:sz w:val="17"/>
              </w:rPr>
              <w:t>[PRINT NAME / TITLE]</w:t>
            </w:r>
          </w:p>
        </w:tc>
      </w:tr>
      <w:tr>
        <w:tc>
          <w:tcPr>
            <w:tcW w:type="dxa" w:w="5083"/>
            <w:shd w:fill="EEF4F2"/>
            <w:tcMar>
              <w:top w:w="62" w:type="dxa"/>
              <w:start w:w="82" w:type="dxa"/>
              <w:bottom w:w="62" w:type="dxa"/>
              <w:end w:w="82" w:type="dxa"/>
            </w:tcMar>
          </w:tcPr>
          <w:p>
            <w:pPr>
              <w:spacing w:after="0"/>
            </w:pPr>
            <w:r>
              <w:rPr>
                <w:b/>
                <w:color w:val="364B45"/>
                <w:sz w:val="16"/>
              </w:rPr>
              <w:t>Yellow Umbrella Signature / Date</w:t>
            </w:r>
          </w:p>
        </w:tc>
        <w:tc>
          <w:tcPr>
            <w:tcW w:type="dxa" w:w="5083"/>
            <w:tcMar>
              <w:top w:w="62" w:type="dxa"/>
              <w:start w:w="82" w:type="dxa"/>
              <w:bottom w:w="62" w:type="dxa"/>
              <w:end w:w="82" w:type="dxa"/>
            </w:tcMar>
          </w:tcPr>
          <w:p>
            <w:pPr>
              <w:spacing w:after="0"/>
            </w:pPr>
            <w:r>
              <w:rPr>
                <w:sz w:val="17"/>
              </w:rPr>
              <w:t>__________________________________    ____________</w:t>
            </w:r>
          </w:p>
        </w:tc>
      </w:tr>
    </w:tbl>
    <w:tbl>
      <w:tblPr>
        <w:tblW w:type="auto" w:w="0"/>
        <w:jc w:val="center"/>
        <w:tblLook w:firstColumn="1" w:firstRow="1" w:lastColumn="0" w:lastRow="0" w:noHBand="0" w:noVBand="1" w:val="04A0"/>
        <w:tblBorders>
          <w:top w:val="single" w:sz="4" w:space="0" w:color="CBD7D3"/>
          <w:left w:val="single" w:sz="4" w:space="0" w:color="CBD7D3"/>
          <w:bottom w:val="single" w:sz="4" w:space="0" w:color="CBD7D3"/>
          <w:right w:val="single" w:sz="4" w:space="0" w:color="CBD7D3"/>
          <w:insideH w:val="single" w:sz="4" w:space="0" w:color="CBD7D3"/>
          <w:insideV w:val="single" w:sz="4" w:space="0" w:color="CBD7D3"/>
        </w:tblBorders>
      </w:tblPr>
      <w:tblGrid>
        <w:gridCol w:w="10166"/>
      </w:tblGrid>
      <w:tr>
        <w:tc>
          <w:tcPr>
            <w:tcW w:type="dxa" w:w="10166"/>
            <w:shd w:fill="F6F0DF"/>
            <w:tcMar>
              <w:top w:w="74" w:type="dxa"/>
              <w:start w:w="96" w:type="dxa"/>
              <w:bottom w:w="74" w:type="dxa"/>
              <w:end w:w="96" w:type="dxa"/>
            </w:tcMar>
          </w:tcPr>
          <w:p>
            <w:pPr>
              <w:spacing w:after="0"/>
            </w:pPr>
            <w:r>
              <w:rPr>
                <w:sz w:val="17"/>
              </w:rPr>
              <w:t>Internal note for attorney review: confirm the preferred default ownership/license structure, the enforceability of standalone-resale restrictions, and whether any project categories should use a work-made-for-hire or assignment structure instead.</w:t>
            </w:r>
          </w:p>
        </w:tc>
      </w:tr>
    </w:tbl>
    <w:sectPr w:rsidR="00FC693F" w:rsidRPr="0006063C" w:rsidSect="00034616">
      <w:headerReference w:type="default" r:id="rId9"/>
      <w:footerReference w:type="default" r:id="rId10"/>
      <w:pgSz w:w="12240" w:h="15840"/>
      <w:pgMar w:top="835"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8063"/>
        </w:tcPr>
        <w:p>
          <w:pPr>
            <w:jc w:val="left"/>
          </w:pPr>
          <w:r>
            <w:rPr>
              <w:sz w:val="15"/>
            </w:rPr>
            <w:t>ATTORNEY REVIEW DRAFT  •  Yellow Umbrella Group LLC</w:t>
          </w:r>
        </w:p>
      </w:tc>
      <w:tc>
        <w:tcPr>
          <w:tcW w:type="dxa" w:w="1440"/>
        </w:tcPr>
        <w:p>
          <w:pPr>
            <w:jc w:val="right"/>
          </w:pPr>
          <w:r>
            <w:rPr>
              <w:sz w:val="15"/>
            </w:rPr>
            <w:t xml:space="preserve">Page </w:t>
            <w:fldChar w:fldCharType="begin"/>
            <w:instrText xml:space="preserve">PAGE</w:instrText>
            <w:fldChar w:fldCharType="end"/>
          </w:r>
        </w:p>
      </w:tc>
    </w:tr>
  </w:tbl>
  <w:p>
    <w:pPr>
      <w:spacing w:after="0" w:before="0" w:line="120" w:lineRule="auto"/>
      <w:jc w:val="center"/>
    </w:pPr>
    <w:r>
      <w:rPr>
        <w:rFonts w:ascii="Aptos" w:hAnsi="Aptos"/>
        <w:color w:val="787878"/>
        <w:sz w:val="14"/>
      </w:rPr>
      <w:t>Yellow Umbrella Group LLC  |  Model Ownership &amp; License Schedule  |  Attorney Review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8" w:space="1" w:color="D9A514"/>
      </w:pBdr>
    </w:pPr>
    <w:r>
      <w:rPr>
        <w:rFonts w:ascii="Aptos" w:hAnsi="Aptos"/>
        <w:color w:val="5A5A5A"/>
        <w:sz w:val="16"/>
      </w:rPr>
      <w:t>YELLOW UMBRELLA GROUP LLC   |   Spatial Capture Services   |   Ownership &amp;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2"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4" w:after="48"/>
      <w:outlineLvl w:val="0"/>
    </w:pPr>
    <w:rPr>
      <w:rFonts w:asciiTheme="majorHAnsi" w:eastAsiaTheme="majorEastAsia" w:hAnsiTheme="majorHAnsi" w:cstheme="majorBidi" w:ascii="Aptos Display" w:hAnsi="Aptos Display"/>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C3C3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b/>
      <w:color w:val="202020"/>
      <w:spacing w:val="5"/>
      <w:kern w:val="28"/>
      <w:sz w:val="4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555555"/>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ePrint">
    <w:name w:val="Fine Print"/>
    <w:pPr>
      <w:spacing w:after="40"/>
    </w:pPr>
    <w:rPr>
      <w:rFonts w:ascii="Aptos" w:hAnsi="Aptos"/>
      <w:color w:val="5F5F5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Access &amp; Spatial Capture Authorization</dc:title>
  <dc:subject>Yellow Umbrella Group LLC spatial capture site authorization form</dc:subject>
  <dc:creator>Yellow Umbrella Group LLC</dc:creator>
  <cp:keywords>spatial capture, property authorization, LiDAR, Gaussian splat, reality capture</cp:keywords>
  <dc:description>Attorney review draft template.</dc:description>
  <cp:lastModifiedBy>Yellow Umbrella Group LLC</cp:lastModifiedBy>
  <cp:revision>1</cp:revision>
  <dcterms:created xsi:type="dcterms:W3CDTF">2013-12-23T23:15:00Z</dcterms:created>
  <dcterms:modified xsi:type="dcterms:W3CDTF">2013-12-23T23:15:00Z</dcterms:modified>
  <cp:category/>
</cp:coreProperties>
</file>