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1E2761"/>
          <w:sz w:val="52"/>
          <w:szCs w:val="52"/>
        </w:rPr>
        <w:t xml:space="preserve">Sovereign AI Substrate for Skill India Digital</w:t>
      </w:r>
    </w:p>
    <w:p>
      <w:pPr>
        <w:spacing w:after="160"/>
        <w:jc w:val="center"/>
      </w:pPr>
      <w:r>
        <w:rPr>
          <w:color w:val="1D2430"/>
          <w:sz w:val="30"/>
          <w:szCs w:val="30"/>
        </w:rPr>
        <w:t xml:space="preserve">Technical Approach &amp; Proof-of-Concept Evidence</w:t>
      </w:r>
    </w:p>
    <w:p>
      <w:pPr>
        <w:spacing w:after="1400"/>
        <w:jc w:val="center"/>
      </w:pPr>
      <w:r>
        <w:rPr>
          <w:color w:val="66707D"/>
          <w:sz w:val="22"/>
          <w:szCs w:val="22"/>
        </w:rPr>
        <w:t xml:space="preserve">RFP BID NO GEM/2026/B/7635371 — Part B, Additional Scope (§4.B)</w:t>
      </w:r>
    </w:p>
    <w:p>
      <w:pPr>
        <w:jc w:val="center"/>
      </w:pPr>
      <w:r>
        <w:rPr>
          <w:color w:val="66707D"/>
          <w:sz w:val="20"/>
          <w:szCs w:val="20"/>
        </w:rPr>
        <w:t xml:space="preserve">Draft v0.9 · 19 July 2026 · Prepared from working PoC `nsdc-substrate-poc`</w:t>
      </w:r>
    </w:p>
    <w:p>
      <w:pPr>
        <w:spacing w:before="200"/>
        <w:jc w:val="center"/>
      </w:pPr>
      <w:r>
        <w:rPr>
          <w:i/>
          <w:iCs/>
          <w:color w:val="66707D"/>
          <w:sz w:val="18"/>
          <w:szCs w:val="18"/>
        </w:rPr>
        <w:t xml:space="preserve">CONFIDENTIAL — pre-bid working draft. Verify all SEED-derived figures against official documents before submission.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1. Executive summary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Part B of the SIDH RFP asks for a sovereign AI platform layer — a substrate of knowledge, retrieval, governance and evaluation infrastructure on which eleven AI application surfaces run. Our approach treats the substrate as the load-bearing deliverable: the RFP's hard guarantees (100% retrieval citations, hallucination thresholds, DPDP purpose-binding, complete auditability) are enforced once in the platform layer and inherited by every surface.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This volume is evidenced by a working proof of concept, not projections. The PoC runs today, fully offline, and demonstrates: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Grounded Graph-RAG answers in English and Hindi with per-claim citations bound to chunk IDs and knowledge-graph nodes — measured 100% citation completeness on a versioned gold 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Honest refusals decided by retrieval evidence before the model composes; 93.8% refusal correctness, zero fabricated entities observed.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Role- and jurisdiction-scoped access enforced inside the retrieval layer and analytics engine — 100% refusal on adversarial RBAC and injection probes run through the real authenticated API.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Ed25519-signed, hash-chained audit and consent ledgers with live chain verification; deterministic, content-addressed index manifests (RFP 4.B.1c).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Maker-checker officer workflows, SME content-quality gates, and a failure-to-evaluation feedback flywheel.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The PoC extends a hardened multi-agent platform our team has already built on Sarvam models (30B/105B, Saaras ASR, Bulbul TTS) with DPDP-oriented controls — meaning voice, WhatsApp, consent, audit and PII-redaction capabilities are working assets, not roadmap items.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2. Measured evidence against RFP KPIs (§7.2)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Baseline run of 19 July 2026 — 40-item versioned gold set; adversarial categories executed through the authenticated HTTP API; offline floor configuration (keyword retrieval, extractive composition).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3560"/>
      </w:tblGrid>
      <w:tr>
        <w:tc>
          <w:tcPr>
            <w:tcW w:type="dxa" w:w="32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1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RFP KPI</w:t>
            </w:r>
          </w:p>
        </w:tc>
        <w:tc>
          <w:tcPr>
            <w:tcW w:type="dxa" w:w="1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6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Retrieval citation completeness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7.2.4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100%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Refusal correctness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≥90%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93.8%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RBAC + injection refusal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100%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Retrieval must-cite hit rate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92.3%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Pipeline latency p50 / p95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7.2.1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&lt;1s at GA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15 ms / 39 ms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Hallucination rate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7.2.2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&lt;2% at GA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Judge activates with live model; enforcement gate demonstrated</w:t>
            </w:r>
          </w:p>
        </w:tc>
      </w:tr>
    </w:tbl>
    <w:p>
      <w:pPr>
        <w:spacing w:after="120" w:line="300"/>
      </w:pPr>
      <w:r>
        <w:rPr>
          <w:color w:val="1D2430"/>
          <w:sz w:val="21"/>
          <w:szCs w:val="21"/>
        </w:rPr>
        <w:t xml:space="preserve"/>
      </w:r>
    </w:p>
    <w:p>
      <w:pPr>
        <w:spacing w:after="120" w:line="300"/>
      </w:pPr>
      <w:r>
        <w:rPr>
          <w:i/>
          <w:iCs/>
          <w:color w:val="1D2430"/>
          <w:sz w:val="21"/>
          <w:szCs w:val="21"/>
        </w:rPr>
        <w:t xml:space="preserve">Failure analysis is published, attributed and tracked: 10 of 12 residual gold-set failures are Hindi/recall items that close when the multilingual vector leg activates; the remainder are claim-policy refinements. The system's failure mode is conservative refusal, never fabrication.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3. Architecture (mapping to §4.B)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3.1 Layers 2–3 — Data, knowledge &amp; intelligence (§4.B.1)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Canonical Skilling Knowledge Graph: 13 node types (Sector→SSC→QP→NOS→Skill→Competency; JobRole, Course, Provider/Centre, Scheme, EligibilityRule, AssessmentItem); hash-versioned releases; Cypher/OpenAPI exposure. PoC: implemented with golden-path healthcare QPs.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Register-driven corpora: no document ingested without provenance (source, version, license, sensitivity, allowed roles/purposes); fail-closed validation; injection-payload quarantine at ingestion. PoC: implemented and red-team planted.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Vector stores with in-store RBAC filtering; deterministic content-addressed index manifests — every answer carries the manifest ID that produced it. PoC: manifests live; vector leg code-complete.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Graph-RAG runtime: three-leg hybrid retrieval (vector + keyword + KG traversal), reciprocal-rank fusion, full assertion-level traceability. PoC: live.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DPDP governance: Ed25519-signed consent ledger; purpose-bound, time-bound, revocable tokens on every call; source-to-embedding lineage. PoC: live.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Transactional skilling-intelligence layer: canonical event schema with consent token per event; feature-store path for predictive agents. PoC: schema + synthetic generator + scoped analytics.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Super-taxonomies: NSQF, Bloom, DGT and ESCO/O*NET crosswalks as first-class KG citizens. PoC: healthcare crosswalk sample.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3.2 Layer 4 — Sovereign models (§4.B.2)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Provider-abstracted model layer with Sarvam 30B/105B primary, per-agent overrides, quantised edge models for ITI/offline deployment, and a zero-egress mock mode. Fine-tuning roadmap: LoRA adapters per scheme/sector on India-resident GPU from Q1 forking to Q3 first production adapters; SSC/DGT/NCVET SLM family phased per §4.B.2.1. All model changes gated by SAICR (Section 5).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3.3 Safety &amp; Responsible AI (§4.B.3)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Defence in depth on the request path: safety gate (discriminatory-selection and PII-harvest refusals, bilingual) → evidence gate (refusals decided on retrieval scores) → citation hard gate (uncited claims block; anti-citation-spoofing) → asynchronous LLM-judge groundedness scoring on all traffic. Around the path: versioned gold-set evaluation per change, red-team suite including a permanent injection plant, and user-feedback capture that auto-queues evaluation candidates.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3.4 Layer 5 — AI application surfaces (§4.B.4)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Surfaces are thin, role-scoped clients inheriting substrate guarantees. The PoC ships three: AI Skill Mentor (learner; EN+HI; citations and KG pathways), Officer Copilot (jurisdiction-scoped analytics; maker-checker draft notes), and Content QA (NOS-level coverage checks; Bloom-tagged item drafts pending SME sign-off). Voice (Saaras/Bulbul/LiveKit), WhatsApp and vision/OCR stacks exist in the base platform for Q3–Q4 surface expansion; PASE, predictive dashboards and remaining surfaces mount on the same contracts per the milestone plan.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3.5 Layer 6 — Orchestration &amp; trust (§4.B.5–4.B.6)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Q5 scope: multi-agent runtime, DID-based agent identity with HSM-backed signing, MCP/A2A interoperability (an MCP client with India-only egress governance already exists in the base), and the Action Gateway with maker-checker and per-action consent — the PoC's draft-note flow demonstrates the pattern. Credential migration to W3C VC 2.0 / SD-JWT with BBS+ selective disclosure follows §4.B.6 milestones.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4. Security, privacy &amp; data sovereignty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Role and jurisdiction come only from verified signed tokens; client-supplied claims are never trusted. Sensitivity clearance overrides role listings (defence in depth).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The analytics engine never lets a model write SQL: natural-language questions map to vetted templates; jurisdiction scope is injected by the platform; personal identifiers are pattern-refused and logged.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Zero real learner data in the PoC — the event schema physically rejects non-synthetic learner identifiers.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Audit: append-only, hash-chained, Ed25519-signed with daily Merkle roots and operator-visible chain verification. Delivery replaces the file log with the RFP's Kafka audit stream.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India residency for models, embeddings, corpora, ledgers and inference; cross-border processing only with explicit NSDC/GoI authorisation; the offline mock mode demonstrates zero-egress operation.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Q1 hardening programme per §4.B.7: CVD/security.txt, TLS 1.3/HSTS, S3 and third-party-script audits, .gov.in migration, CERT-In engagement, OWASP ASVS/MASVS baselines, DPDP Phase 1 (DPO, RoPA, DPIA, DSR, breach runbook).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5. Change governance — SAICR (§4.B.11d)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Every model, adapter, index, knowledge-graph, prompt-contract or gate-threshold change passes the Sovereign AI Change Review before deployment. The gate requires: version evidence (content-addressed manifest and KG hashes), a full gold-set evaluation run with hard blocks (citation completeness below 100% or RBAC/injection refusal below 100% cannot ship), bias and language evidence, a rollback plan, independent Responsible-AI approval, and an audit anchor. The PoC already produces every artefact the gate consumes; delivery adds the formal approval workflow and NSDC sign-off integration.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6. Compliance traceability (extract)</w:t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The full 27-row matrix (RFP reference → requirement → implementation → KPI → status → evidence) accompanies this volume as a workbook. Status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66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Demonstrated in PoC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14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Working code with tests and measured results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Designed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Documented pattern, base-platform asset or code-complete pending infrastructure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Planned per milestone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2430"/>
                <w:sz w:val="18"/>
                <w:szCs w:val="18"/>
              </w:rPr>
              <w:t xml:space="preserve">Delivery-phase build mapped to Q1–Y3 milestones</w:t>
            </w:r>
          </w:p>
        </w:tc>
      </w:tr>
    </w:tbl>
    <w:p>
      <w:pPr>
        <w:spacing w:after="120" w:line="300"/>
      </w:pPr>
      <w:r>
        <w:rPr>
          <w:color w:val="1D2430"/>
          <w:sz w:val="21"/>
          <w:szCs w:val="21"/>
        </w:rPr>
        <w:t xml:space="preserve"/>
      </w:r>
    </w:p>
    <w:p>
      <w:pPr>
        <w:spacing w:after="120" w:line="300"/>
      </w:pPr>
      <w:r>
        <w:rPr>
          <w:color w:val="1D2430"/>
          <w:sz w:val="21"/>
          <w:szCs w:val="21"/>
        </w:rPr>
        <w:t xml:space="preserve">Every 'planned' row is anchored to the quarterly milestone calendar in §6 of the RFP; no requirement is unaddressed.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7. Delivery roadmap &amp; immediate next steps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7.1 From PoC to Q1–Q6 foundation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Q1: security/governance hardening programme; DPDP Phase 1; sovereign-AI architecture blueprint (this volume's Section 3, finalised); model forking; canonical event schema in production ingestion.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Q2: Knowledge Graph v1 and super-taxonomies v1 (hash-versioned); corpora v1; embeddings and Graph-RAG production-live; consent manager Phase 2; verifiable-credential migration.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Q3: AI Skill Mentor Beta (12+ languages); Officer Copilot Beta (3 schemes); first production LoRA adapters; cognitive assessment Beta; voice Beta.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Q4–Q6: GA at scale (22 languages), Skill Passport v1, predictive surfaces, orchestration runtime, end-of-foundation acceptance per §4.B.1–4.B.6.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7.2 Immediate pre-bid actions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Activate live Sarvam composition and the groundedness judge (first hallucination-rate measurement) — one API-key validation away.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Replace SEED corpus extracts with the eleven registered official documents and re-verify the gold 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Bring up the vector and knowledge-graph services (single docker-compose) — closes the measured Hindi retrieval gap.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D2430"/>
          <w:sz w:val="21"/>
          <w:szCs w:val="21"/>
        </w:rPr>
        <w:t xml:space="preserve">Internal pilot: 5–8 testers through the scripted demo scenes; gold set expansion to 80 items with SME rubrics.</w:t>
      </w:r>
    </w:p>
    <w:sectPr>
      <w:headerReference w:type="default" r:id="rId7"/>
      <w:footerReference w:type="default" r:id="rId8"/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707D"/>
        <w:sz w:val="16"/>
        <w:szCs w:val="16"/>
      </w:rPr>
      <w:t xml:space="preserve">NSDC SIDH Part B — Sovereign AI Substrate · Technical Volume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2026-07-19T08:23:32.722Z</dcterms:created>
  <dcterms:modified xsi:type="dcterms:W3CDTF">2026-07-19T08:23:32.722Z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