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ENTERPRISE KNOWLEDGE GRAPH</w:t>
      </w:r>
    </w:p>
    <w:p>
      <w:pPr>
        <w:spacing w:after="10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System Entity Enrichment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Rackspace Technology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February 28,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Thomas Jones, Global Head of Security + GRC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CDAIO Knowledge Graph Program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completion of the first phase of the CDAIO Enterprise Knowledge Graph enrichment program: comprehensive attribute enrichment across all 164 system entities in the Rackspace Technology enterprise graph. The work was executed across 5 autonomous sessions using schema-validated Pydantic models, defensible inferences from public documentation and graph context, and explicit data gap documentation with prioritized remediation plans.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graph now contains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2908 entities</w:t>
      </w:r>
      <w:r>
        <w:rPr>
          <w:rFonts w:ascii="Arial" w:cs="Arial" w:eastAsia="Arial" w:hAnsi="Arial"/>
          <w:sz w:val="22"/>
          <w:szCs w:val="22"/>
        </w:rPr>
        <w:t xml:space="preserve"> connected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6978 relationships</w:t>
      </w:r>
      <w:r>
        <w:rPr>
          <w:rFonts w:ascii="Arial" w:cs="Arial" w:eastAsia="Arial" w:hAnsi="Arial"/>
          <w:sz w:val="22"/>
          <w:szCs w:val="22"/>
        </w:rPr>
        <w:t xml:space="preserve">. System entities were prioritized first as the worst-performing entity type at 22.7% attribute completeness pre-enrichment. Each system now has populated security architecture, business impact quantification, operational design, and provenance metadata with documented confidence levels.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The enrichment process surfaced 28 Critical-priority and 67 High-priority data gaps across 34 unique attribute categories. The most significant cluster involves four foundational Genestack infrastructure systems (dubbed the "Fatal Four") with combined hourly outage impact exceeding $1.8M and confirmed Critical encryption gaps. Immediate remediation is recommended.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Scope and Methodology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Enrichment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enriched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164 of 164 (100%)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autonomous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entities per batch (parallel fetch, parallel update)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Schema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~119 attributes across 7 groups (Identity, Technical, Operational, Financial, Strategic, Security, Ownership)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Schema-validated via Pydantic BaseModel (copy-validate-write pattern)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Confidence Tiers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enriched attribute was assigned a confidence tier based on source quality. The hc-enterprise-kg confidence scoring model uses the following hierarchy: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 – 0.9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User-provided, rule-based, structured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– 0.7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Educated inference from graph context + public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 – 0.5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estimates, vendor defaults, industry norms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Runtime telemetry fields (capacity utilization, incident history, SLA actuals, performance metrics) were intentionally left null — these require live system instrumentation and cannot be defensibly inferred.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Data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sources used across the enrichment program: Rackspace Genestack GitHub repositories (rackerlabs/genestack, rackerlabs/understack), Rackspace public documentation (docs.rackspacecloud.com), vendor documentation (HashiCorp, ServiceNow, Microsoft, Elastic, etc.), Rackspace SOC 3 FY2024 report, Rackspace press releases and newsroom, FAIR AI Practice publications, and graph relationship context (dependency chains, integration patterns, hosting topology).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Systems by Criticality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MariaDB Galera, RabbitMQ, Keystone, Vault Enterprise, Microsoft Sentinel, Envoy Gateway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Memcached, Longhorn Storage, cert-manager, AlertManager, MetalLB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RITA, ICE, Cloud Feeds, Snowflake, PagerDuty, Terraform Cloud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SNMP Exporter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Set (pre-enrichment)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 — criticality populated during enrichment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Top 10 Systems by Financial 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Financial impact estimates represent hourly revenue/operational loss if the system becomes completely unavailable. Estimates are based on dependency chain analysis, affected capabilities, and Rackspace revenue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1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Crit. Gaps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HashiCorp Vault 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of trust — ALL secrets, PKI,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Envoy Gateway API 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Sole internet ingress/egress for all Genestack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MariaDB Galera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OpenStack service state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RabbitMQ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OpenStack inter-service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OVN Networking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tenant/provider network connectivity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MetalLB Load Balancer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Bare metal service exposure for K8s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Sentinel (XDR)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SIEM/SOAR — security visibility for entire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Identity (Keystone)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for ALL OpenStack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Memcached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Keystone token caching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Longhorn Distributed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$300K/hr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volume storage for K8s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Critical Security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findings represent the highest-priority risks identified during the enrichment process. Each finding was surfaced through attribute analysis, dependency chain evaluation, and gap documentation rather than active security testing.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 The Fatal Four: Genestack Infrastructure SPOFs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MariaDB Galera (sys-141), RabbitMQ (sys-142), OVN (sys-143), and Memcached (sys-183) each represent total-platform-outage single points of failure. Combined hourly impact exceeds $1.8M. All four have Critical encryption gaps — data-at-rest and/or data-in-transit encryption not confirmed. Memcached specifically has NO authentication mechanism and transmits Keystone tokens in cleartext.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Remediation: </w:t>
      </w:r>
      <w:r>
        <w:rPr>
          <w:rFonts w:ascii="Arial" w:cs="Arial" w:eastAsia="Arial" w:hAnsi="Arial"/>
          <w:sz w:val="22"/>
          <w:szCs w:val="22"/>
        </w:rPr>
        <w:t xml:space="preserve">Commission encryption audit across all four systems. Memcached: enable SASL authentication and TLS immediately. MariaDB: verify InnoDB tablespace encryption. RabbitMQ: confirm inter-node TLS. OVN: validate Geneve tunnel encryption.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 Vault Enterprise: Root of Trust Without Verified DR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HashiCorp Vault manages ALL secrets, PKI certificates, and credentials for the entire Genestack platform. At $750K/hr impact, it is the highest-value target. Backup/DR configuration and security architecture review status are both unknown.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Remediation: </w:t>
      </w:r>
      <w:r>
        <w:rPr>
          <w:rFonts w:ascii="Arial" w:cs="Arial" w:eastAsia="Arial" w:hAnsi="Arial"/>
          <w:sz w:val="22"/>
          <w:szCs w:val="22"/>
        </w:rPr>
        <w:t xml:space="preserve">Validate Raft snapshot schedule and test full restore. Commission security architecture review covering seal mechanism, auto-unseal trust chain, namespace isolation, and Sentinel governance.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 Envoy Gateway: Front Door Without Hardened TLS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Envoy is the sole internet-facing ingress controller for ALL Genestack traffic ($750K/hr). TLS cipher suite hardening status and container vulnerability scanning are unconfirmed. A compromise here exposes every service behind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Remediation: </w:t>
      </w:r>
      <w:r>
        <w:rPr>
          <w:rFonts w:ascii="Arial" w:cs="Arial" w:eastAsia="Arial" w:hAnsi="Arial"/>
          <w:sz w:val="22"/>
          <w:szCs w:val="22"/>
        </w:rPr>
        <w:t xml:space="preserve">Audit TLS cipher suites against Mozilla Modern profile. Implement container image vulnerability scanning in CI/CD pipeline.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 cert-manager: TLS Keys Potentially Stored in Cleartext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cert-manager stores ALL TLS private keys as Kubernetes Secrets in etcd. If etcd encryption-at-rest is not enabled, every TLS private key in the platform is stored in cleartext.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Remediation: </w:t>
      </w:r>
      <w:r>
        <w:rPr>
          <w:rFonts w:ascii="Arial" w:cs="Arial" w:eastAsia="Arial" w:hAnsi="Arial"/>
          <w:sz w:val="22"/>
          <w:szCs w:val="22"/>
        </w:rPr>
        <w:t xml:space="preserve">Verify etcd encryption-at-rest configuration. If not enabled, implement immediately — this is a single-action fix with platform-wide security impact.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 AI Products Deployed Without Security Architecture Reviews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Anywhere (sys-180) and AI Launchpad (sys-169) are both new products (Nov 2025) with customer-facing deployments — including a healthcare customer (Compass) with HIPAA implications. Neither has a documented security architecture review. AI Anywhere handles GPU isolation on customer/colo infrastructure with no confirmed encryption profile.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Remediation: </w:t>
      </w:r>
      <w:r>
        <w:rPr>
          <w:rFonts w:ascii="Arial" w:cs="Arial" w:eastAsia="Arial" w:hAnsi="Arial"/>
          <w:sz w:val="22"/>
          <w:szCs w:val="22"/>
        </w:rPr>
        <w:t xml:space="preserve">Commission security architecture reviews for both AI products before further customer deployments. AI Anywhere: validate GPU isolation, encryption, and multi-tenant separation. AI Launchpad: validate HIPAA compliance controls for healthcare workloads.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 Terraform Cloud: State Files May Contain Embedded Secrets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HCP Terraform Cloud manages infrastructure-as-code state files that may embed sensitive values (database passwords, API keys, cloud credentials). State file encryption and secret scrubbing status unconfirmed.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Remediation: </w:t>
      </w:r>
      <w:r>
        <w:rPr>
          <w:rFonts w:ascii="Arial" w:cs="Arial" w:eastAsia="Arial" w:hAnsi="Arial"/>
          <w:sz w:val="22"/>
          <w:szCs w:val="22"/>
        </w:rPr>
        <w:t xml:space="preserve">Audit Terraform state files for embedded secrets. Enable state file encryption. Implement secret detection in CI/CD pipeline for Terraform plans.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Data Gap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Across all 164 systems, 152 documented data gaps were recorded with structured remediation plans. Every gap includes the specific attribute name, a description of what is missing and why it matters, a concrete remediation plan, and a priority rating.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encryption_profile, backup_status, security_architecture_review,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total_cost_of_ownership, vulnerability_profile, current_version_info, lifecycle_stage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current_users, license_details, penetration_test_status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change_velocity, maintenance_windows, capacity_headroom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Attributes Enriched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attribute groups were systematically populated across all 164 systems where defensible inference was possible: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encryption_profile (data-at-rest, in-transit, key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authentication_mechanisms (mechanism, protocol, MFA support/enforcement)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access_control_model (RBAC, ACL, policy-based)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availability_design (architecture, redundancy, failover, designed uptime)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business_impact_if_unavailable (description, financial impact/hr, affected capabilities)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cyber_exposure (attack surface type, threat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backup_status (frequency, type, retention)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containerized (platform, 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infrastructure_as_code (tool, coverage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observability_stack (logging, monitoring, tracing, alerting — tool + coverage)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support_model (provider, tier, hours, escalation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provenance (confidence level, accuracy, methodology, assessed by/date)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known_data_gaps (attribute, description, remediation plan,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temporal (review dates, change reason, schema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deployment_model, criticality, is_internet_facing corrections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Recommended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actions are recommended in priority order to maximize the security and data quality posture of the enterprise knowledge graph: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Execute Critical gap remediation for Fatal Four + Vault + Envoy (6 systems, 12 Critical gaps)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Commission security architecture reviews for AI Anywhere and AI Launchpad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etcd encryption-at-rest for cert-manager TLS key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Terraform state files for embedded secrets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lifecycle status of legacy Cloud products (Cloud Feeds, Cloud Metrics, Intelligence Dashboard)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Enrich next entity types: Persons (24.2% completeness), Data Assets (34.8%), Policies (35.2%)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Establish recurring attestation cycle — first review due Q2 2026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Integrate runtime telemetry (APM, capacity, incident history) from operational systems</w:t>
      </w:r>
    </w:p>
    <w:p>
      <w:pPr>
        <w:spacing w:after="80"/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Technical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Bug fix applied: Four UUID-based entities (Snowflake, PagerDuty, Terraform Cloud, Vault Enterprise) were ingested via a separate pipeline and had non-standard fields including numeric osint_confidence scores and string-based tier/confidentiality/integrity/availability values. The Vault Enterprise entity additionally had a version field containing "1.15+" which caused the MCP engine update method to fail (int() parsing). This was resolved by including a clean version value in the update payload.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correction: sys-182 (Envoy Gateway API Proxy) had is_internet_facing incorrectly set to false despite its description explicitly stating it handles all Internet ingress/egress. This was corrected to true during enrichment.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Provenance corrections: Four UUID-based entities had non-standard provenance values (numeric confidence_level and accuracy_confidence scores instead of enum strings). These were corrected to schema-valid values during enrichment.</w:t>
      </w:r>
    </w:p>
    <w:p>
      <w:pPr>
        <w:spacing w:after="80"/>
      </w:pPr>
    </w:p>
    <w:p>
      <w:pPr>
        <w:pBdr>
          <w:bottom w:val="single" w:color="1B3A5C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Report</w:t>
      </w:r>
    </w:p>
    <w:p>
      <w:pPr>
        <w:spacing w:after="12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Generated: February 28, 2026 | Graph: 2908 entities, 6978 relationships | Systems: 164/164 enriched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— Rackspace Technology CDAIO KG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2026-02-28T16:54:10.726Z</dcterms:created>
  <dcterms:modified xsi:type="dcterms:W3CDTF">2026-02-28T16:54:10.727Z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