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B3A5C"/>
          <w:sz w:val="60"/>
          <w:szCs w:val="60"/>
        </w:rPr>
        <w:t xml:space="preserve">DCAM v2 Capability 4</w:t>
      </w:r>
    </w:p>
    <w:p>
      <w:pPr>
        <w:spacing w:after="200"/>
        <w:jc w:val="center"/>
      </w:pPr>
      <w:r>
        <w:rPr>
          <w:rFonts w:ascii="Arial" w:cs="Arial" w:eastAsia="Arial" w:hAnsi="Arial"/>
          <w:b/>
          <w:bCs/>
          <w:color w:val="2E75B6"/>
          <w:sz w:val="48"/>
          <w:szCs w:val="48"/>
        </w:rPr>
        <w:t xml:space="preserve">Data Architecture and Integration</w:t>
      </w:r>
    </w:p>
    <w:p>
      <w:pPr>
        <w:spacing w:after="200"/>
        <w:jc w:val="center"/>
      </w:pPr>
      <w:r>
        <w:rPr>
          <w:rFonts w:ascii="Arial" w:cs="Arial" w:eastAsia="Arial" w:hAnsi="Arial"/>
          <w:color w:val="333333"/>
          <w:sz w:val="36"/>
          <w:szCs w:val="36"/>
        </w:rPr>
        <w:t xml:space="preserve">Deep-Dive Assessment</w:t>
      </w:r>
    </w:p>
    <w:p>
      <w:pPr>
        <w:spacing w:after="200" w:before="600"/>
        <w:jc w:val="center"/>
      </w:pPr>
      <w:r>
        <w:rPr>
          <w:rFonts w:ascii="Arial" w:cs="Arial" w:eastAsia="Arial" w:hAnsi="Arial"/>
          <w:b/>
          <w:bCs/>
          <w:color w:val="2E75B6"/>
          <w:sz w:val="32"/>
          <w:szCs w:val="32"/>
        </w:rPr>
        <w:t xml:space="preserve">Maturity Score: 3 (Defined)</w:t>
      </w:r>
    </w:p>
    <w:p>
      <w:pPr>
        <w:spacing w:after="800" w:before="400"/>
        <w:jc w:val="center"/>
      </w:pPr>
      <w:r>
        <w:rPr>
          <w:rFonts w:ascii="Arial" w:cs="Arial" w:eastAsia="Arial" w:hAnsi="Arial"/>
          <w:i/>
          <w:iCs/>
          <w:color w:val="333333"/>
          <w:sz w:val="24"/>
          <w:szCs w:val="24"/>
        </w:rPr>
        <w:t xml:space="preserve">Enterprise Data Architecture Standards</w:t>
      </w:r>
    </w:p>
    <w:p>
      <w:pPr>
        <w:spacing w:after="600"/>
        <w:jc w:val="center"/>
      </w:pPr>
      <w:r>
        <w:rPr>
          <w:rFonts w:ascii="Arial" w:cs="Arial" w:eastAsia="Arial" w:hAnsi="Arial"/>
          <w:i/>
          <w:iCs/>
          <w:color w:val="333333"/>
          <w:sz w:val="24"/>
          <w:szCs w:val="24"/>
        </w:rPr>
        <w:t xml:space="preserve">Data Modeling and Design</w:t>
      </w:r>
    </w:p>
    <w:p>
      <w:pPr>
        <w:spacing w:after="600"/>
        <w:jc w:val="center"/>
      </w:pPr>
      <w:r>
        <w:rPr>
          <w:rFonts w:ascii="Arial" w:cs="Arial" w:eastAsia="Arial" w:hAnsi="Arial"/>
          <w:i/>
          <w:iCs/>
          <w:color w:val="333333"/>
          <w:sz w:val="24"/>
          <w:szCs w:val="24"/>
        </w:rPr>
        <w:t xml:space="preserve">Data Integration Architecture</w:t>
      </w:r>
    </w:p>
    <w:p>
      <w:pPr>
        <w:spacing w:after="1200"/>
        <w:jc w:val="center"/>
      </w:pPr>
      <w:r>
        <w:rPr>
          <w:rFonts w:ascii="Arial" w:cs="Arial" w:eastAsia="Arial" w:hAnsi="Arial"/>
          <w:i/>
          <w:iCs/>
          <w:color w:val="333333"/>
          <w:sz w:val="24"/>
          <w:szCs w:val="24"/>
        </w:rPr>
        <w:t xml:space="preserve">Reference Architecture and Technology Standards</w:t>
      </w:r>
    </w:p>
    <w:p>
      <w:pPr>
        <w:spacing w:after="200" w:before="800"/>
        <w:jc w:val="center"/>
      </w:pPr>
      <w:r>
        <w:rPr>
          <w:rFonts w:ascii="Arial" w:cs="Arial" w:eastAsia="Arial" w:hAnsi="Arial"/>
          <w:color w:val="666666"/>
          <w:sz w:val="22"/>
          <w:szCs w:val="22"/>
        </w:rPr>
        <w:t xml:space="preserve">March 2026</w:t>
      </w:r>
    </w:p>
    <w:p>
      <w:pPr>
        <w:spacing w:after="600"/>
        <w:jc w:val="center"/>
      </w:pPr>
      <w:r>
        <w:rPr>
          <w:rFonts w:ascii="Arial" w:cs="Arial" w:eastAsia="Arial" w:hAnsi="Arial"/>
          <w:i/>
          <w:iCs/>
          <w:color w:val="666666"/>
          <w:sz w:val="20"/>
          <w:szCs w:val="20"/>
        </w:rPr>
        <w:t xml:space="preserve">Knowledge Graph Evidence Analysis</w:t>
      </w:r>
    </w:p>
    <w:p>
      <w:r>
        <w:br w:type="page"/>
      </w:r>
    </w:p>
    <w:p>
      <w:pPr>
        <w:pStyle w:val="Heading1"/>
        <w:spacing w:after="200" w:before="300"/>
      </w:pPr>
      <w:r>
        <w:rPr>
          <w:rFonts w:ascii="Arial" w:cs="Arial" w:eastAsia="Arial" w:hAnsi="Arial"/>
        </w:rPr>
        <w:t xml:space="preserve">Executive Context: Architecture Governance and Integration at Scale</w:t>
      </w:r>
    </w:p>
    <w:p>
      <w:pPr>
        <w:spacing w:after="160" w:line="300"/>
      </w:pPr>
      <w:r>
        <w:rPr>
          <w:rFonts w:ascii="Arial" w:cs="Arial" w:eastAsia="Arial" w:hAnsi="Arial"/>
          <w:b w:val="false"/>
          <w:bCs w:val="false"/>
          <w:i w:val="false"/>
          <w:iCs w:val="false"/>
          <w:color w:val="333333"/>
          <w:sz w:val="22"/>
          <w:szCs w:val="22"/>
        </w:rPr>
        <w:t xml:space="preserve">Capability 4 assesses the maturity of Rackspace's data architecture governance, establishing the organizational structures, policies, standards, and enforcing mechanisms through which the enterprise makes decisions about how data flows, integrates, and is modeled across systems and business units. At a maturity score of 3 (Defined), the organization has documented data architecture standards (POL-073: Data Architecture and Modeling Standards Policy), created architectural governance controls (CTL-304: Data Architecture Standards Enforcement), and deployed roles with explicit architectural responsibilities (role-148: Data Architect, role-160: Lead Data Engineer, role-283: Application Integration Architect). However, the assessment reveals substantial operational gaps between documented capability and actual architectural governance practices, particularly in the management of a massive 378-integration portfolio with minimal standardized governance framework and the incomplete integration of eight-year-old acquisitions that continue to persist as separate technical silos.</w:t>
      </w:r>
    </w:p>
    <w:p>
      <w:pPr>
        <w:spacing w:after="160" w:line="300"/>
      </w:pPr>
      <w:r>
        <w:rPr>
          <w:rFonts w:ascii="Arial" w:cs="Arial" w:eastAsia="Arial" w:hAnsi="Arial"/>
          <w:b w:val="false"/>
          <w:bCs w:val="false"/>
          <w:i w:val="false"/>
          <w:iCs w:val="false"/>
          <w:color w:val="333333"/>
          <w:sz w:val="22"/>
          <w:szCs w:val="22"/>
        </w:rPr>
        <w:t xml:space="preserve">The organization maintains sophisticated data architecture capability at the services layer: Solutions Architecture (dept-031, 126 headcount, $22.1M) delivers pre-sales cloud architecture to customers; Data Modernization (dept-069, 10 headcount, $1.56M) architects customer data lake and migration projects; and Application Integration (dept-213, 5 headcount, $780K) manages thousands of customer integrations through API-based request-response patterns. These departments represent mature architectural disciplines deployed on behalf of external customers. The central challenge is that equivalent enterprise-grade data architecture governance infrastructure is organizationally subordinate: the Data Architect role (role-148) sits within the Database Administration Department (dept-072, 50 headcount, $8.45M) rather than in a dedicated strategic enterprise architecture function. This organizational positioning reflects a discipline embedded in operational database management rather than a strategic architectural practice.</w:t>
      </w:r>
    </w:p>
    <w:p>
      <w:pPr>
        <w:spacing w:after="160" w:line="300"/>
      </w:pPr>
      <w:r>
        <w:rPr>
          <w:rFonts w:ascii="Arial" w:cs="Arial" w:eastAsia="Arial" w:hAnsi="Arial"/>
          <w:b w:val="false"/>
          <w:bCs w:val="false"/>
          <w:i w:val="false"/>
          <w:iCs w:val="false"/>
          <w:color w:val="333333"/>
          <w:sz w:val="22"/>
          <w:szCs w:val="22"/>
        </w:rPr>
        <w:t xml:space="preserve">The 378 total integrations documented in the knowledge graph represent a portfolio of extraordinary complexity, predominantly API-based (Request-Response pattern), with recent additions including bidirectional real-time integrations with Sema4.ai Enterprise AI Agent Platform (int-0374) and Palantir Foundry &amp; AIP (int-0375, deployed February 2026). This integration landscape should be governed by architectural standards, API management frameworks, integration patterns, and enterprise reference architecture documentation. Instead, the governance stack consists of a single policy (POL-073) with universally null compliance_measurement fields, a single control (CTL-304) with null KPIs and undefined testing_approach, and no documented integration governance framework. The Knowledge Graph evidence reveals low-confidence architectural governance: CTL-304 enforces POL-073 at confidence 0.8 and weight 0.6 (the lowest weight observed in the governance portfolio), suggesting uncertainty about architectural enforcement mechanisms even in the formal KG representation.</w:t>
      </w:r>
    </w:p>
    <w:p>
      <w:pPr>
        <w:spacing w:after="160" w:line="300"/>
      </w:pPr>
      <w:r>
        <w:rPr>
          <w:rFonts w:ascii="Arial" w:cs="Arial" w:eastAsia="Arial" w:hAnsi="Arial"/>
          <w:b w:val="false"/>
          <w:bCs w:val="false"/>
          <w:i w:val="false"/>
          <w:iCs w:val="false"/>
          <w:color w:val="333333"/>
          <w:sz w:val="22"/>
          <w:szCs w:val="22"/>
        </w:rPr>
        <w:t xml:space="preserve">Integration complexity is compounded by the multi-acquisition integration challenge: Rackspace completed acquisitions totaling $1.7B (Datapipe $1B in 2017, Onica $316M, RelationEdge $65M, TriCore $335M) with integration estimated at only 50% complete as of 2026. Eight+ years after the first acquisition, separate legal entities persist, duplicate systems remain operational, and the Datapipe legacy DNS infrastructure (sys-048) continues in production under partial integration status. The organization faces a choice between completing the remaining 50% of integration (estimated $50-100M capex) or accepting a permanent 20-30% cost penalty. This integration backlog creates persistent architectural fragmentation: data models, integration patterns, and governance frameworks remain acquisition-specific rather than enterprise-unified, limiting the scalability and coherence of the data architecture discipline itself.</w:t>
      </w:r>
    </w:p>
    <w:p>
      <w:pPr>
        <w:spacing w:after="200"/>
      </w:pP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CAPABILITY 4 MATURITY POSITIONING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DCAM Level 1                                          Level 5      │</w:t>
      </w:r>
    </w:p>
    <w:p>
      <w:pPr>
        <w:spacing w:after="0" w:line="240"/>
      </w:pPr>
      <w:r>
        <w:rPr>
          <w:rFonts w:ascii="Courier New" w:cs="Courier New" w:eastAsia="Courier New" w:hAnsi="Courier New"/>
          <w:color w:val="1B3A5C"/>
          <w:sz w:val="16"/>
          <w:szCs w:val="16"/>
        </w:rPr>
        <w:t xml:space="preserve">│   (Ignorant)                                          (Optimized)     │</w:t>
      </w:r>
    </w:p>
    <w:p>
      <w:pPr>
        <w:spacing w:after="0" w:line="240"/>
      </w:pPr>
      <w:r>
        <w:rPr>
          <w:rFonts w:ascii="Courier New" w:cs="Courier New" w:eastAsia="Courier New" w:hAnsi="Courier New"/>
          <w:color w:val="1B3A5C"/>
          <w:sz w:val="16"/>
          <w:szCs w:val="16"/>
        </w:rPr>
        <w:t xml:space="preserve">│        │                    ▓▓▓ CURRENT                                 │</w:t>
      </w:r>
    </w:p>
    <w:p>
      <w:pPr>
        <w:spacing w:after="0" w:line="240"/>
      </w:pPr>
      <w:r>
        <w:rPr>
          <w:rFonts w:ascii="Courier New" w:cs="Courier New" w:eastAsia="Courier New" w:hAnsi="Courier New"/>
          <w:color w:val="1B3A5C"/>
          <w:sz w:val="16"/>
          <w:szCs w:val="16"/>
        </w:rPr>
        <w:t xml:space="preserve">│        │                   ▓▓▓▓▓ (Score 3: Defined)                  │</w:t>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                ▓▓▓▓▓▓▓▓▓ Gap: Policy exists but governance    │</w:t>
      </w:r>
    </w:p>
    <w:p>
      <w:pPr>
        <w:spacing w:after="0" w:line="240"/>
      </w:pPr>
      <w:r>
        <w:rPr>
          <w:rFonts w:ascii="Courier New" w:cs="Courier New" w:eastAsia="Courier New" w:hAnsi="Courier New"/>
          <w:color w:val="1B3A5C"/>
          <w:sz w:val="16"/>
          <w:szCs w:val="16"/>
        </w:rPr>
        <w:t xml:space="preserve">│        │               ▓▓▓▓▓▓▓▓▓▓ is incomplete (compliance_    │</w:t>
      </w:r>
    </w:p>
    <w:p>
      <w:pPr>
        <w:spacing w:after="0" w:line="240"/>
      </w:pPr>
      <w:r>
        <w:rPr>
          <w:rFonts w:ascii="Courier New" w:cs="Courier New" w:eastAsia="Courier New" w:hAnsi="Courier New"/>
          <w:color w:val="1B3A5C"/>
          <w:sz w:val="16"/>
          <w:szCs w:val="16"/>
        </w:rPr>
        <w:t xml:space="preserve">│        1 --- 2 --- 3 ---X--- 4 --- 5   measurement fields null)       │</w:t>
      </w:r>
    </w:p>
    <w:p>
      <w:pPr>
        <w:spacing w:after="0" w:line="240"/>
      </w:pPr>
      <w:r>
        <w:rPr>
          <w:rFonts w:ascii="Courier New" w:cs="Courier New" w:eastAsia="Courier New" w:hAnsi="Courier New"/>
          <w:color w:val="1B3A5C"/>
          <w:sz w:val="16"/>
          <w:szCs w:val="16"/>
        </w:rPr>
        <w:t xml:space="preserve">│      (Ad Hoc)  (Devel.) (Defined) (Managed) (Optimized)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Sub-Capability Scores:                                            │</w:t>
      </w:r>
    </w:p>
    <w:p>
      <w:pPr>
        <w:spacing w:after="0" w:line="240"/>
      </w:pPr>
      <w:r>
        <w:rPr>
          <w:rFonts w:ascii="Courier New" w:cs="Courier New" w:eastAsia="Courier New" w:hAnsi="Courier New"/>
          <w:color w:val="1B3A5C"/>
          <w:sz w:val="16"/>
          <w:szCs w:val="16"/>
        </w:rPr>
        <w:t xml:space="preserve">│      4.1 Enterprise Data Architecture Standards: 3                    │</w:t>
      </w:r>
    </w:p>
    <w:p>
      <w:pPr>
        <w:spacing w:after="0" w:line="240"/>
      </w:pPr>
      <w:r>
        <w:rPr>
          <w:rFonts w:ascii="Courier New" w:cs="Courier New" w:eastAsia="Courier New" w:hAnsi="Courier New"/>
          <w:color w:val="1B3A5C"/>
          <w:sz w:val="16"/>
          <w:szCs w:val="16"/>
        </w:rPr>
        <w:t xml:space="preserve">│      4.2 Data Modeling and Design: 3                                 │</w:t>
      </w:r>
    </w:p>
    <w:p>
      <w:pPr>
        <w:spacing w:after="0" w:line="240"/>
      </w:pPr>
      <w:r>
        <w:rPr>
          <w:rFonts w:ascii="Courier New" w:cs="Courier New" w:eastAsia="Courier New" w:hAnsi="Courier New"/>
          <w:color w:val="1B3A5C"/>
          <w:sz w:val="16"/>
          <w:szCs w:val="16"/>
        </w:rPr>
        <w:t xml:space="preserve">│      4.3 Data Integration Architecture: 3                            │</w:t>
      </w:r>
    </w:p>
    <w:p>
      <w:pPr>
        <w:spacing w:after="0" w:line="240"/>
      </w:pPr>
      <w:r>
        <w:rPr>
          <w:rFonts w:ascii="Courier New" w:cs="Courier New" w:eastAsia="Courier New" w:hAnsi="Courier New"/>
          <w:color w:val="1B3A5C"/>
          <w:sz w:val="16"/>
          <w:szCs w:val="16"/>
        </w:rPr>
        <w:t xml:space="preserve">│      4.4 Reference Architecture: 3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Organizational Position: Data Architect (role-148) sits in         │</w:t>
      </w:r>
    </w:p>
    <w:p>
      <w:pPr>
        <w:spacing w:after="0" w:line="240"/>
      </w:pPr>
      <w:r>
        <w:rPr>
          <w:rFonts w:ascii="Courier New" w:cs="Courier New" w:eastAsia="Courier New" w:hAnsi="Courier New"/>
          <w:color w:val="1B3A5C"/>
          <w:sz w:val="16"/>
          <w:szCs w:val="16"/>
        </w:rPr>
        <w:t xml:space="preserve">│      Database Administration (dept-072), not strategic architecture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w:t>
      </w:r>
    </w:p>
    <w:p>
      <w:pPr>
        <w:spacing w:after="200"/>
      </w:pPr>
    </w:p>
    <w:p>
      <w:pPr>
        <w:pStyle w:val="Heading2"/>
        <w:spacing w:after="200" w:before="300"/>
      </w:pPr>
      <w:r>
        <w:rPr>
          <w:rFonts w:ascii="Arial" w:cs="Arial" w:eastAsia="Arial" w:hAnsi="Arial"/>
        </w:rPr>
        <w:t xml:space="preserve">Policy and Control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400"/>
        <w:gridCol w:w="1760"/>
        <w:gridCol w:w="16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Policy ID</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Policy Name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Review Freq.</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Enforced</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POL-073</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Architecture and Modeling Standards Policy</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Technical</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Annual</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Yes</w:t>
            </w:r>
          </w:p>
        </w:tc>
      </w:tr>
    </w:tbl>
    <w:p>
      <w:pPr>
        <w:spacing w:after="200"/>
      </w:pPr>
    </w:p>
    <w:p>
      <w:pPr>
        <w:spacing w:after="160" w:line="300"/>
      </w:pPr>
      <w:r>
        <w:rPr>
          <w:rFonts w:ascii="Arial" w:cs="Arial" w:eastAsia="Arial" w:hAnsi="Arial"/>
          <w:b w:val="false"/>
          <w:bCs w:val="false"/>
          <w:i w:val="false"/>
          <w:iCs w:val="false"/>
          <w:color w:val="333333"/>
          <w:sz w:val="22"/>
          <w:szCs w:val="22"/>
        </w:rPr>
        <w:t xml:space="preserve">POL-073 is marked as Technical severity, Enforced status, with annual review frequency. The policy establishes that data architecture and modeling standards must be defined, documented, and applied across the enterprise. However, the policy's compliance_measurement object is entirely empty: metric_name, target_value, current_value, measurement_method, and frequency are all null. This structural absence means the policy lacks operational measurement mechanisms. There is no defined metric for what constitutes 'architecture compliance,' no target level specified (percentage of systems complying, percentage of integrations following standards), no current compliance baseline measured, and no frequency at which compliance is re-evaluated. The policy is definitional but not operationalized through measurable compliance objectives.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00"/>
        <w:gridCol w:w="1800"/>
        <w:gridCol w:w="17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Control ID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Control Name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Evidence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CTL-304</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Architecture Standards Enforcement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Preventive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Implemented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ARB validation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CTL-209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Enterprise Architecture PM-7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Preventive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Implemented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Cloud-first security</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CTL-204</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Security Architecture PL-8</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Preventive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Implemented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Defense-in-depth</w:t>
            </w:r>
          </w:p>
        </w:tc>
      </w:tr>
    </w:tbl>
    <w:p>
      <w:pPr>
        <w:spacing w:after="200"/>
      </w:pPr>
    </w:p>
    <w:p>
      <w:pPr>
        <w:spacing w:after="160" w:line="300"/>
      </w:pPr>
      <w:r>
        <w:rPr>
          <w:rFonts w:ascii="Arial" w:cs="Arial" w:eastAsia="Arial" w:hAnsi="Arial"/>
          <w:b w:val="false"/>
          <w:bCs w:val="false"/>
          <w:i w:val="false"/>
          <w:iCs w:val="false"/>
          <w:color w:val="333333"/>
          <w:sz w:val="22"/>
          <w:szCs w:val="22"/>
        </w:rPr>
        <w:t xml:space="preserve">CTL-304 (Data Architecture Standards Enforcement) is a Preventive control marked as Implemented, with the description explicitly mentioning 'Architecture review board validation.' This reference to an Architecture Review Board (ARB) presents a critical knowledge gap: no ARB entity exists in the knowledge graph. Either the ARB is undocumented, exists but is not represented in the KG, or the control description references an intended architectural governance function that has not yet been operationalized. Additionally, CTL-304 has null KPIs, null testing_approach, and null effectiveness rating. The control enforces POL-073 at confidence 0.8 and weight 0.6 (notably low confidence and the lowest weight observed in the governance portfolio), suggesting uncertain or incomplete enforcement mechanisms.</w:t>
      </w:r>
    </w:p>
    <w:p>
      <w:r>
        <w:br w:type="page"/>
      </w:r>
    </w:p>
    <w:p>
      <w:pPr>
        <w:pStyle w:val="Heading1"/>
        <w:spacing w:after="200" w:before="300"/>
      </w:pPr>
      <w:r>
        <w:rPr>
          <w:rFonts w:ascii="Arial" w:cs="Arial" w:eastAsia="Arial" w:hAnsi="Arial"/>
        </w:rPr>
        <w:t xml:space="preserve">1. Sub-Capability Scores and Assessment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1600"/>
        <w:gridCol w:w="2360"/>
      </w:tblGrid>
      <w:tr>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Sub-Capability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Trend Indicator</w:t>
            </w:r>
          </w:p>
        </w:tc>
      </w:tr>
      <w:tr>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4.1 Enterprise Data Architecture Standards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3</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Defined</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Stable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4.2 Data Modeling and Design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Defined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Stable</w:t>
            </w:r>
          </w:p>
        </w:tc>
      </w:tr>
      <w:tr>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4.3 Data Integration Architecture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3</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Defined</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At-Risk</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4.4 Reference Architecture and Technology Standards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Defined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333333"/>
                <w:sz w:val="20"/>
                <w:szCs w:val="20"/>
              </w:rPr>
              <w:t xml:space="preserve">Stable</w:t>
            </w:r>
          </w:p>
        </w:tc>
      </w:tr>
    </w:tbl>
    <w:p>
      <w:pPr>
        <w:spacing w:after="200"/>
      </w:pPr>
    </w:p>
    <w:p>
      <w:pPr>
        <w:pStyle w:val="Heading2"/>
        <w:spacing w:after="200" w:before="300"/>
      </w:pPr>
      <w:r>
        <w:rPr>
          <w:rFonts w:ascii="Arial" w:cs="Arial" w:eastAsia="Arial" w:hAnsi="Arial"/>
        </w:rPr>
        <w:t xml:space="preserve">Dependency Analysis: Architecture and Integration Coupling</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DATA ARCHITECTURE SUB-CAPABILITY DEPENDENCY CHAIN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4.4 REFERENCE ARCHITECTURE                                         │</w:t>
      </w:r>
    </w:p>
    <w:p>
      <w:pPr>
        <w:spacing w:after="0" w:line="240"/>
      </w:pPr>
      <w:r>
        <w:rPr>
          <w:rFonts w:ascii="Courier New" w:cs="Courier New" w:eastAsia="Courier New" w:hAnsi="Courier New"/>
          <w:color w:val="1B3A5C"/>
          <w:sz w:val="16"/>
          <w:szCs w:val="16"/>
        </w:rPr>
        <w:t xml:space="preserve">│   (Technology Standards, Patterns)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4.2 DATA MODELING &amp; DESIGN                                         │</w:t>
      </w:r>
    </w:p>
    <w:p>
      <w:pPr>
        <w:spacing w:after="0" w:line="240"/>
      </w:pPr>
      <w:r>
        <w:rPr>
          <w:rFonts w:ascii="Courier New" w:cs="Courier New" w:eastAsia="Courier New" w:hAnsi="Courier New"/>
          <w:color w:val="1B3A5C"/>
          <w:sz w:val="16"/>
          <w:szCs w:val="16"/>
        </w:rPr>
        <w:t xml:space="preserve">│   (Data Structure Standards)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4.3 DATA INTEGRATION ARCHITECTURE                                  │</w:t>
      </w:r>
    </w:p>
    <w:p>
      <w:pPr>
        <w:spacing w:after="0" w:line="240"/>
      </w:pPr>
      <w:r>
        <w:rPr>
          <w:rFonts w:ascii="Courier New" w:cs="Courier New" w:eastAsia="Courier New" w:hAnsi="Courier New"/>
          <w:color w:val="1B3A5C"/>
          <w:sz w:val="16"/>
          <w:szCs w:val="16"/>
        </w:rPr>
        <w:t xml:space="preserve">│   (Integration Patterns, 378 integrations)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4.1 ENTERPRISE DATA ARCHITECTURE STANDARDS                        │</w:t>
      </w:r>
    </w:p>
    <w:p>
      <w:pPr>
        <w:spacing w:after="0" w:line="240"/>
      </w:pPr>
      <w:r>
        <w:rPr>
          <w:rFonts w:ascii="Courier New" w:cs="Courier New" w:eastAsia="Courier New" w:hAnsi="Courier New"/>
          <w:color w:val="1B3A5C"/>
          <w:sz w:val="16"/>
          <w:szCs w:val="16"/>
        </w:rPr>
        <w:t xml:space="preserve">│   (POL-073, CTL-304 + ARB governance)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ROOT RISK: Acquisition integration (50% complete, $1.7B) persists │</w:t>
      </w:r>
    </w:p>
    <w:p>
      <w:pPr>
        <w:spacing w:after="0" w:line="240"/>
      </w:pPr>
      <w:r>
        <w:rPr>
          <w:rFonts w:ascii="Courier New" w:cs="Courier New" w:eastAsia="Courier New" w:hAnsi="Courier New"/>
          <w:color w:val="1B3A5C"/>
          <w:sz w:val="16"/>
          <w:szCs w:val="16"/>
        </w:rPr>
        <w:t xml:space="preserve">│   architectural fragmentation. Compliance measurement null.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w:t>
      </w:r>
    </w:p>
    <w:p>
      <w:pPr>
        <w:spacing w:after="200"/>
      </w:pPr>
    </w:p>
    <w:p>
      <w:pPr>
        <w:spacing w:after="160" w:line="300"/>
      </w:pPr>
      <w:r>
        <w:rPr>
          <w:rFonts w:ascii="Arial" w:cs="Arial" w:eastAsia="Arial" w:hAnsi="Arial"/>
          <w:b w:val="false"/>
          <w:bCs w:val="false"/>
          <w:i w:val="false"/>
          <w:iCs w:val="false"/>
          <w:color w:val="333333"/>
          <w:sz w:val="22"/>
          <w:szCs w:val="22"/>
        </w:rPr>
        <w:t xml:space="preserve">The architecture sub-capabilities form a dependency chain where reference architecture and technology standards (4.4) inform data modeling approaches (4.2), which structure how data is integrated (4.3), all of which are enforced through enterprise architecture governance standards (4.1). Disruption at any level cascades downward. The current risk is particularly acute at 4.3 (Data Integration Architecture): the 378-integration portfolio lacks a unified governance framework, integration patterns are not standardized against enterprise reference architecture, and architectural decisions are made acquisition-by-acquisition rather than enterprise-wide. At the foundation (4.1), the Architecture Review Board referenced in CTL-304 is undocumented, suggesting that formal architectural governance and standards enforcement may be incomplete.</w:t>
      </w:r>
    </w:p>
    <w:p>
      <w:r>
        <w:br w:type="page"/>
      </w:r>
    </w:p>
    <w:p>
      <w:pPr>
        <w:pStyle w:val="Heading1"/>
        <w:spacing w:after="200" w:before="300"/>
      </w:pPr>
      <w:r>
        <w:rPr>
          <w:rFonts w:ascii="Arial" w:cs="Arial" w:eastAsia="Arial" w:hAnsi="Arial"/>
        </w:rPr>
        <w:t xml:space="preserve">2. Sub-Capability 4.1: Enterprise Data Architecture Standards</w:t>
      </w:r>
    </w:p>
    <w:p>
      <w:pPr>
        <w:pStyle w:val="Heading3"/>
        <w:spacing w:after="200" w:before="300"/>
      </w:pPr>
      <w:r>
        <w:rPr>
          <w:rFonts w:ascii="Arial" w:cs="Arial" w:eastAsia="Arial" w:hAnsi="Arial"/>
        </w:rPr>
        <w:t xml:space="preserve">Score: 3 (Defined)</w:t>
      </w:r>
    </w:p>
    <w:p>
      <w:pPr>
        <w:spacing w:after="160" w:line="300"/>
      </w:pPr>
      <w:r>
        <w:rPr>
          <w:rFonts w:ascii="Arial" w:cs="Arial" w:eastAsia="Arial" w:hAnsi="Arial"/>
          <w:b w:val="false"/>
          <w:bCs w:val="false"/>
          <w:i w:val="false"/>
          <w:iCs w:val="false"/>
          <w:color w:val="333333"/>
          <w:sz w:val="22"/>
          <w:szCs w:val="22"/>
        </w:rPr>
        <w:t xml:space="preserve">Enterprise Data Architecture Standards encompasses the establishment of a formal architectural governance framework, definition of architectural principles and standards, creation of architecture decision records, and enforcement of standards through review boards and compliance monitoring. At score 3, Rackspace has documented standards in POL-073, created a data architecture control (CTL-304), and assigned explicit architectural roles (role-148, role-165, role-160). However, the knowledge graph reveals substantial gaps between documented architectural intent and operational governance enforcement, particularly the undocumented Architecture Review Board and null compliance measurement mechanisms.</w:t>
      </w:r>
    </w:p>
    <w:p>
      <w:pPr>
        <w:pStyle w:val="Heading2"/>
        <w:spacing w:after="200" w:before="300"/>
      </w:pPr>
      <w:r>
        <w:rPr>
          <w:rFonts w:ascii="Arial" w:cs="Arial" w:eastAsia="Arial" w:hAnsi="Arial"/>
        </w:rPr>
        <w:t xml:space="preserve">The Data Architect Role in Operational Context</w:t>
      </w:r>
    </w:p>
    <w:p>
      <w:pPr>
        <w:spacing w:after="160" w:line="300"/>
      </w:pPr>
      <w:r>
        <w:rPr>
          <w:rFonts w:ascii="Arial" w:cs="Arial" w:eastAsia="Arial" w:hAnsi="Arial"/>
          <w:b w:val="false"/>
          <w:bCs w:val="false"/>
          <w:i w:val="false"/>
          <w:iCs w:val="false"/>
          <w:color w:val="333333"/>
          <w:sz w:val="22"/>
          <w:szCs w:val="22"/>
        </w:rPr>
        <w:t xml:space="preserve">The knowledge graph identifies three architectural roles: role-148 (Data Architect, M1 Management level, $169K, located in dept-072 Database Administration), role-165 (Senior Data Architect - Big Data, P4 Partner level, $156K, AWS-focused), and role-160 (Lead Data Engineer, M1 Management, $169K, Azure Data Lake/Databricks/Synapse/Snowflake). The organizational positioning is significant: role-148 (Data Architect) sits within dept-072 (Database Administration, 50 headcount, $8.45M), which is an operational database services department responsible for managing Oracle, SQL Server, MySQL, MongoDB, Elasticsearch, and Redis databases across the enterprise. This positioning indicates that the enterprise data architecture function is organizationally subordinate to database operations rather than a strategic discipline reporting to Chief Architect or Chief Technology Officer functions.</w:t>
      </w:r>
    </w:p>
    <w:p>
      <w:pPr>
        <w:spacing w:after="160" w:line="300"/>
      </w:pPr>
      <w:r>
        <w:rPr>
          <w:rFonts w:ascii="Arial" w:cs="Arial" w:eastAsia="Arial" w:hAnsi="Arial"/>
          <w:b w:val="false"/>
          <w:bCs w:val="false"/>
          <w:i w:val="false"/>
          <w:iCs w:val="false"/>
          <w:color w:val="333333"/>
          <w:sz w:val="22"/>
          <w:szCs w:val="22"/>
        </w:rPr>
        <w:t xml:space="preserve">By contrast, the organization maintains customer-facing architecture roles dispersed across services departments: dept-031 (Solutions Architecture, 126 headcount, $22.1M) employs architects for pre-sales cloud architecture design; dept-069 (Data Modernization, 10 headcount, $1.56M) employs architects designing customer data lakes and migration strategies; and dept-105 (Presales &amp; Solution Architecture, 12 headcount, $2.1M) employs architects providing C-suite advisory. These departments represent sophisticated architectural disciplines deployed on behalf of external customers. The paradox is that Rackspace invests substantially in customer-facing data architecture capability while positioning enterprise data architecture as a subordinate operational function embedded in database management rather than a strategic enterprise practice.</w:t>
      </w:r>
    </w:p>
    <w:p>
      <w:pPr>
        <w:spacing w:after="160" w:line="300"/>
      </w:pPr>
      <w:r>
        <w:rPr>
          <w:rFonts w:ascii="Arial" w:cs="Arial" w:eastAsia="Arial" w:hAnsi="Arial"/>
          <w:b w:val="false"/>
          <w:bCs w:val="false"/>
          <w:i w:val="false"/>
          <w:iCs w:val="false"/>
          <w:color w:val="333333"/>
          <w:sz w:val="22"/>
          <w:szCs w:val="22"/>
        </w:rPr>
        <w:t xml:space="preserve">The Data Architect role description should include responsibilities for: defining and maintaining enterprise data architecture standards, establishing data governance frameworks, creating architecture decision records (ADRs) for significant data-related decisions, chairing or participating in architecture review board decisions, and measuring compliance of new systems and integrations against architectural standards. The knowledge graph provides no evidence of architecture decision records, no documented architecture review board participation, no maintained architecture standards library, and no systematic compliance measurement process. The Data Architect role exists as a title but its core strategic responsibilities appear underdeveloped or undocumented.</w:t>
      </w:r>
    </w:p>
    <w:p>
      <w:pPr>
        <w:spacing w:after="200"/>
      </w:pP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ORGANIZATIONAL POSITIONING: Where Should Data Architect Report?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CURRENT (Subordinate to Operations)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dept-072: DBA                          │                   │</w:t>
      </w:r>
    </w:p>
    <w:p>
      <w:pPr>
        <w:spacing w:after="0" w:line="240"/>
      </w:pPr>
      <w:r>
        <w:rPr>
          <w:rFonts w:ascii="Courier New" w:cs="Courier New" w:eastAsia="Courier New" w:hAnsi="Courier New"/>
          <w:color w:val="1B3A5C"/>
          <w:sz w:val="16"/>
          <w:szCs w:val="16"/>
        </w:rPr>
        <w:t xml:space="preserve">│   │ $8.45M, 50 HC                           │                   │</w:t>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  role-148 (Data Architect)            │                   │</w:t>
      </w:r>
    </w:p>
    <w:p>
      <w:pPr>
        <w:spacing w:after="0" w:line="240"/>
      </w:pPr>
      <w:r>
        <w:rPr>
          <w:rFonts w:ascii="Courier New" w:cs="Courier New" w:eastAsia="Courier New" w:hAnsi="Courier New"/>
          <w:color w:val="1B3A5C"/>
          <w:sz w:val="16"/>
          <w:szCs w:val="16"/>
        </w:rPr>
        <w:t xml:space="preserve">│   │  M1 Management, $169K                 │                   │</w:t>
      </w:r>
    </w:p>
    <w:p>
      <w:pPr>
        <w:spacing w:after="0" w:line="240"/>
      </w:pPr>
      <w:r>
        <w:rPr>
          <w:rFonts w:ascii="Courier New" w:cs="Courier New" w:eastAsia="Courier New" w:hAnsi="Courier New"/>
          <w:color w:val="1B3A5C"/>
          <w:sz w:val="16"/>
          <w:szCs w:val="16"/>
        </w:rPr>
        <w:t xml:space="preserve">│   │  (Embedded in DB operations)           │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RECOMMENDED (Strategic Function)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Enterprise Architecture Office        │                   │</w:t>
      </w:r>
    </w:p>
    <w:p>
      <w:pPr>
        <w:spacing w:after="0" w:line="240"/>
      </w:pPr>
      <w:r>
        <w:rPr>
          <w:rFonts w:ascii="Courier New" w:cs="Courier New" w:eastAsia="Courier New" w:hAnsi="Courier New"/>
          <w:color w:val="1B3A5C"/>
          <w:sz w:val="16"/>
          <w:szCs w:val="16"/>
        </w:rPr>
        <w:t xml:space="preserve">│   │ Peer to Chief Architect / CTO         │                   │</w:t>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  Data Architecture Lead               │                   │</w:t>
      </w:r>
    </w:p>
    <w:p>
      <w:pPr>
        <w:spacing w:after="0" w:line="240"/>
      </w:pPr>
      <w:r>
        <w:rPr>
          <w:rFonts w:ascii="Courier New" w:cs="Courier New" w:eastAsia="Courier New" w:hAnsi="Courier New"/>
          <w:color w:val="1B3A5C"/>
          <w:sz w:val="16"/>
          <w:szCs w:val="16"/>
        </w:rPr>
        <w:t xml:space="preserve">│   │  Strategic data strategy authority     │                   │</w:t>
      </w:r>
    </w:p>
    <w:p>
      <w:pPr>
        <w:spacing w:after="0" w:line="240"/>
      </w:pPr>
      <w:r>
        <w:rPr>
          <w:rFonts w:ascii="Courier New" w:cs="Courier New" w:eastAsia="Courier New" w:hAnsi="Courier New"/>
          <w:color w:val="1B3A5C"/>
          <w:sz w:val="16"/>
          <w:szCs w:val="16"/>
        </w:rPr>
        <w:t xml:space="preserve">│   │  (Reports to Chief Architect)          │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IMPACT: Current positioning limits authority to establish and      │</w:t>
      </w:r>
    </w:p>
    <w:p>
      <w:pPr>
        <w:spacing w:after="0" w:line="240"/>
      </w:pPr>
      <w:r>
        <w:rPr>
          <w:rFonts w:ascii="Courier New" w:cs="Courier New" w:eastAsia="Courier New" w:hAnsi="Courier New"/>
          <w:color w:val="1B3A5C"/>
          <w:sz w:val="16"/>
          <w:szCs w:val="16"/>
        </w:rPr>
        <w:t xml:space="preserve">│   enforce enterprise-wide architecture standards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w:t>
      </w:r>
    </w:p>
    <w:p>
      <w:pPr>
        <w:spacing w:after="200"/>
      </w:pPr>
    </w:p>
    <w:p>
      <w:pPr>
        <w:pStyle w:val="Heading2"/>
        <w:spacing w:after="200" w:before="300"/>
      </w:pPr>
      <w:r>
        <w:rPr>
          <w:rFonts w:ascii="Arial" w:cs="Arial" w:eastAsia="Arial" w:hAnsi="Arial"/>
        </w:rPr>
        <w:t xml:space="preserve">The Undocumented Architecture Review Board</w:t>
      </w:r>
    </w:p>
    <w:p>
      <w:pPr>
        <w:spacing w:after="160" w:line="300"/>
      </w:pPr>
      <w:r>
        <w:rPr>
          <w:rFonts w:ascii="Arial" w:cs="Arial" w:eastAsia="Arial" w:hAnsi="Arial"/>
          <w:b w:val="false"/>
          <w:bCs w:val="false"/>
          <w:i w:val="false"/>
          <w:iCs w:val="false"/>
          <w:color w:val="333333"/>
          <w:sz w:val="22"/>
          <w:szCs w:val="22"/>
        </w:rPr>
        <w:t xml:space="preserve">CTL-304 (Data Architecture Standards Enforcement) description explicitly states that it enforces standards through 'Architecture review board validation.' This reference is the sole mention of an Architecture Review Board in the entire knowledge graph. No ARB entity exists with its own knowledge graph node; no ARB governance charter is documented; no ARB meeting cadence is specified; no ARB authority levels, escalation procedures, or decision-making frameworks are defined. Either the ARB is an informal coordination mechanism that has not been formally operationalized, or it is underdocumented in the knowledge graph. In either case, the architectural governance foundation referenced by CTL-304 lacks formal definition and audit visibility.</w:t>
      </w:r>
    </w:p>
    <w:p>
      <w:pPr>
        <w:spacing w:after="160" w:line="300"/>
      </w:pPr>
      <w:r>
        <w:rPr>
          <w:rFonts w:ascii="Arial" w:cs="Arial" w:eastAsia="Arial" w:hAnsi="Arial"/>
          <w:b w:val="false"/>
          <w:bCs w:val="false"/>
          <w:i w:val="false"/>
          <w:iCs w:val="false"/>
          <w:color w:val="333333"/>
          <w:sz w:val="22"/>
          <w:szCs w:val="22"/>
        </w:rPr>
        <w:t xml:space="preserve">An Enterprise Architecture Review Board should function as the principal forum for: evaluating proposed data architecture changes against enterprise standards; reviewing new system designs, integration patterns, and data models before deployment; maintaining the architecture decision record and standard patterns library; and establishing compliance requirements for systems subject to architectural governance. At a Level 3 maturity score, such a board should meet regularly (monthly or quarterly), maintain documented decisions, and have clear escalation paths to senior technical leadership. The absence of ARB documentation in the knowledge graph, combined with the null KPIs and testing_approach on CTL-304, suggests that formal architectural governance is aspirational rather than operational.</w:t>
      </w:r>
    </w:p>
    <w:p>
      <w:pPr>
        <w:pStyle w:val="Heading2"/>
        <w:spacing w:after="200" w:before="300"/>
      </w:pPr>
      <w:r>
        <w:rPr>
          <w:rFonts w:ascii="Arial" w:cs="Arial" w:eastAsia="Arial" w:hAnsi="Arial"/>
        </w:rPr>
        <w:t xml:space="preserve">POL-073 and the Compliance Measurement Void</w:t>
      </w:r>
    </w:p>
    <w:p>
      <w:pPr>
        <w:spacing w:after="160" w:line="300"/>
      </w:pPr>
      <w:r>
        <w:rPr>
          <w:rFonts w:ascii="Arial" w:cs="Arial" w:eastAsia="Arial" w:hAnsi="Arial"/>
          <w:b w:val="false"/>
          <w:bCs w:val="false"/>
          <w:i w:val="false"/>
          <w:iCs w:val="false"/>
          <w:color w:val="333333"/>
          <w:sz w:val="22"/>
          <w:szCs w:val="22"/>
        </w:rPr>
        <w:t xml:space="preserve">POL-073 (Data Architecture and Modeling Standards Policy) is technically enforced but operationally unmeasured. The policy's compliance_measurement object has null values in all fields: metric_name (what constitutes compliance?), target_value (what is the compliance target?), current_value (what is the current compliance state?), measurement_method (how is compliance measured?), and frequency (how often?). Without these operational parameters, the policy cannot be systematically monitored. The organization cannot answer questions such as: 'What percentage of our data architecture decisions follow enterprise standards?' or 'How many systems or integrations are non-compliant with POL-073?' or 'What is our year-over-year trend in architectural compliance?'</w:t>
      </w:r>
    </w:p>
    <w:p>
      <w:pPr>
        <w:spacing w:after="160" w:line="300"/>
      </w:pPr>
      <w:r>
        <w:rPr>
          <w:rFonts w:ascii="Arial" w:cs="Arial" w:eastAsia="Arial" w:hAnsi="Arial"/>
          <w:b w:val="false"/>
          <w:bCs w:val="false"/>
          <w:i w:val="false"/>
          <w:iCs w:val="false"/>
          <w:color w:val="333333"/>
          <w:sz w:val="22"/>
          <w:szCs w:val="22"/>
        </w:rPr>
        <w:t xml:space="preserve">A compliant compliance_measurement framework would specify, for example: metric_name = 'Architecture Standards Compliance Rate' (percentage of reviewed systems/integrations adhering to standards), target_value = '95%', measurement_method = 'Architecture Review Board quarterly assessment against ADR patterns', frequency = 'Quarterly.' The absence of these operational definitions means POL-073 is a normative statement (standards should exist and be followed) without operational governance infrastructure. The policy is definitional; the governance is aspirational.</w:t>
      </w:r>
    </w:p>
    <w:p>
      <w:pPr>
        <w:pStyle w:val="ListParagraph"/>
        <w:numPr>
          <w:ilvl w:val="0"/>
          <w:numId w:val="2"/>
        </w:numPr>
        <w:spacing w:after="100" w:line="280"/>
      </w:pPr>
      <w:r>
        <w:rPr>
          <w:rFonts w:ascii="Arial" w:cs="Arial" w:eastAsia="Arial" w:hAnsi="Arial"/>
          <w:color w:val="333333"/>
          <w:sz w:val="22"/>
          <w:szCs w:val="22"/>
        </w:rPr>
        <w:t xml:space="preserve">Data Architect role (role-148) organizationally subordinate to Database Administration (dept-072) rather than strategic enterprise architecture function</w:t>
      </w:r>
    </w:p>
    <w:p>
      <w:pPr>
        <w:pStyle w:val="ListParagraph"/>
        <w:numPr>
          <w:ilvl w:val="0"/>
          <w:numId w:val="2"/>
        </w:numPr>
        <w:spacing w:after="100" w:line="280"/>
      </w:pPr>
      <w:r>
        <w:rPr>
          <w:rFonts w:ascii="Arial" w:cs="Arial" w:eastAsia="Arial" w:hAnsi="Arial"/>
          <w:color w:val="333333"/>
          <w:sz w:val="22"/>
          <w:szCs w:val="22"/>
        </w:rPr>
        <w:t xml:space="preserve">Architecture Review Board referenced in CTL-304 but undocumented in KG; no ARB charter, cadence, or decision-making authority defined</w:t>
      </w:r>
    </w:p>
    <w:p>
      <w:pPr>
        <w:pStyle w:val="ListParagraph"/>
        <w:numPr>
          <w:ilvl w:val="0"/>
          <w:numId w:val="2"/>
        </w:numPr>
        <w:spacing w:after="100" w:line="280"/>
      </w:pPr>
      <w:r>
        <w:rPr>
          <w:rFonts w:ascii="Arial" w:cs="Arial" w:eastAsia="Arial" w:hAnsi="Arial"/>
          <w:color w:val="333333"/>
          <w:sz w:val="22"/>
          <w:szCs w:val="22"/>
        </w:rPr>
        <w:t xml:space="preserve">POL-073 compliance_measurement entirely null (metric_name, target_value, current_value, measurement_method, frequency all empty)</w:t>
      </w:r>
    </w:p>
    <w:p>
      <w:pPr>
        <w:pStyle w:val="ListParagraph"/>
        <w:numPr>
          <w:ilvl w:val="0"/>
          <w:numId w:val="2"/>
        </w:numPr>
        <w:spacing w:after="100" w:line="280"/>
      </w:pPr>
      <w:r>
        <w:rPr>
          <w:rFonts w:ascii="Arial" w:cs="Arial" w:eastAsia="Arial" w:hAnsi="Arial"/>
          <w:color w:val="333333"/>
          <w:sz w:val="22"/>
          <w:szCs w:val="22"/>
        </w:rPr>
        <w:t xml:space="preserve">No architecture decision records (ADRs), design patterns library, or maintained standards documentation identified in KG</w:t>
      </w:r>
    </w:p>
    <w:p>
      <w:pPr>
        <w:pStyle w:val="ListParagraph"/>
        <w:numPr>
          <w:ilvl w:val="0"/>
          <w:numId w:val="2"/>
        </w:numPr>
        <w:spacing w:after="100" w:line="280"/>
      </w:pPr>
      <w:r>
        <w:rPr>
          <w:rFonts w:ascii="Arial" w:cs="Arial" w:eastAsia="Arial" w:hAnsi="Arial"/>
          <w:color w:val="333333"/>
          <w:sz w:val="22"/>
          <w:szCs w:val="22"/>
        </w:rPr>
        <w:t xml:space="preserve">CTL-304 enforces POL-073 at confidence 0.8, weight 0.6 (lowest weight observed, indicating weak enforcement mechanism)</w:t>
      </w:r>
    </w:p>
    <w:p>
      <w:pPr>
        <w:pStyle w:val="ListParagraph"/>
        <w:numPr>
          <w:ilvl w:val="0"/>
          <w:numId w:val="2"/>
        </w:numPr>
        <w:spacing w:after="100" w:line="280"/>
      </w:pPr>
      <w:r>
        <w:rPr>
          <w:rFonts w:ascii="Arial" w:cs="Arial" w:eastAsia="Arial" w:hAnsi="Arial"/>
          <w:color w:val="333333"/>
          <w:sz w:val="22"/>
          <w:szCs w:val="22"/>
        </w:rPr>
        <w:t xml:space="preserve">No systematic process for evaluating new integrations or systems against enterprise data architecture standards</w:t>
      </w:r>
    </w:p>
    <w:p>
      <w:r>
        <w:br w:type="page"/>
      </w:r>
    </w:p>
    <w:p>
      <w:pPr>
        <w:pStyle w:val="Heading1"/>
        <w:spacing w:after="200" w:before="300"/>
      </w:pPr>
      <w:r>
        <w:rPr>
          <w:rFonts w:ascii="Arial" w:cs="Arial" w:eastAsia="Arial" w:hAnsi="Arial"/>
        </w:rPr>
        <w:t xml:space="preserve">3. Sub-Capability 4.2: Data Modeling and Design</w:t>
      </w:r>
    </w:p>
    <w:p>
      <w:pPr>
        <w:pStyle w:val="Heading3"/>
        <w:spacing w:after="200" w:before="300"/>
      </w:pPr>
      <w:r>
        <w:rPr>
          <w:rFonts w:ascii="Arial" w:cs="Arial" w:eastAsia="Arial" w:hAnsi="Arial"/>
        </w:rPr>
        <w:t xml:space="preserve">Score: 3 (Defined)</w:t>
      </w:r>
    </w:p>
    <w:p>
      <w:pPr>
        <w:spacing w:after="160" w:line="300"/>
      </w:pPr>
      <w:r>
        <w:rPr>
          <w:rFonts w:ascii="Arial" w:cs="Arial" w:eastAsia="Arial" w:hAnsi="Arial"/>
          <w:b w:val="false"/>
          <w:bCs w:val="false"/>
          <w:i w:val="false"/>
          <w:iCs w:val="false"/>
          <w:color w:val="333333"/>
          <w:sz w:val="22"/>
          <w:szCs w:val="22"/>
        </w:rPr>
        <w:t xml:space="preserve">Data Modeling and Design assesses whether Rackspace has established standards for logical and physical data models, documented meta-models defining organizational data structures, created data model governance processes, and maintains a reusable repository of data model patterns and standards. At score 3, the organization has identified data modeling as a governed discipline and employed specialized roles (role-149: Data Modeller - Healthcare, customer-facing), but the knowledge graph reveals limited evidence of enterprise-wide data modeling standards, meta-model governance, or systematic design pattern library management.</w:t>
      </w:r>
    </w:p>
    <w:p>
      <w:pPr>
        <w:pStyle w:val="Heading2"/>
        <w:spacing w:after="200" w:before="300"/>
      </w:pPr>
      <w:r>
        <w:rPr>
          <w:rFonts w:ascii="Arial" w:cs="Arial" w:eastAsia="Arial" w:hAnsi="Arial"/>
        </w:rPr>
        <w:t xml:space="preserve">Data Modeling Capability in Healthcare Context</w:t>
      </w:r>
    </w:p>
    <w:p>
      <w:pPr>
        <w:spacing w:after="160" w:line="300"/>
      </w:pPr>
      <w:r>
        <w:rPr>
          <w:rFonts w:ascii="Arial" w:cs="Arial" w:eastAsia="Arial" w:hAnsi="Arial"/>
          <w:b w:val="false"/>
          <w:bCs w:val="false"/>
          <w:i w:val="false"/>
          <w:iCs w:val="false"/>
          <w:color w:val="333333"/>
          <w:sz w:val="22"/>
          <w:szCs w:val="22"/>
        </w:rPr>
        <w:t xml:space="preserve">The knowledge graph identifies role-149 (Data Modeller - Healthcare) as a specialized data modeling role, positioned as customer-facing and focused on healthcare-specific domain modeling. This role indicates Rackspace has invested in specialized data modeling expertise, particularly for regulated industries with complex data structures (healthcare patient records, clinical data, HIPAA-compliant data models). However, role-149 is customer-facing, suggesting that specialized data modeling expertise is deployed on behalf of external customers rather than systematically applied to internal enterprise data architecture standardization.</w:t>
      </w:r>
    </w:p>
    <w:p>
      <w:pPr>
        <w:spacing w:after="160" w:line="300"/>
      </w:pPr>
      <w:r>
        <w:rPr>
          <w:rFonts w:ascii="Arial" w:cs="Arial" w:eastAsia="Arial" w:hAnsi="Arial"/>
          <w:b w:val="false"/>
          <w:bCs w:val="false"/>
          <w:i w:val="false"/>
          <w:iCs w:val="false"/>
          <w:color w:val="333333"/>
          <w:sz w:val="22"/>
          <w:szCs w:val="22"/>
        </w:rPr>
        <w:t xml:space="preserve">Enterprise data modeling at Level 3 maturity should include: a documented enterprise data model meta-model that defines how the organization conceptualizes major entities and relationships across all domains; domain-specific data models for each major business function (customer data, product data, financial data, operational data); reusable data model components and patterns that teams can employ for consistent design; and data model governance processes that ensure new models conform to enterprise standards and are registered in a centralized repository. The knowledge graph provides no evidence of a maintained enterprise data model, no domain-specific reference models, and no model repository. The 90 data domains documented in the knowledge graph should have associated data models, but the KG does not reflect systematic model governance or standardization.</w:t>
      </w:r>
    </w:p>
    <w:p>
      <w:pPr>
        <w:pStyle w:val="Heading2"/>
        <w:spacing w:after="200" w:before="300"/>
      </w:pPr>
      <w:r>
        <w:rPr>
          <w:rFonts w:ascii="Arial" w:cs="Arial" w:eastAsia="Arial" w:hAnsi="Arial"/>
        </w:rPr>
        <w:t xml:space="preserve">Metadata Completeness as Data Modeling Indicator</w:t>
      </w:r>
    </w:p>
    <w:p>
      <w:pPr>
        <w:spacing w:after="160" w:line="300"/>
      </w:pPr>
      <w:r>
        <w:rPr>
          <w:rFonts w:ascii="Arial" w:cs="Arial" w:eastAsia="Arial" w:hAnsi="Arial"/>
          <w:b w:val="false"/>
          <w:bCs w:val="false"/>
          <w:i w:val="false"/>
          <w:iCs w:val="false"/>
          <w:color w:val="333333"/>
          <w:sz w:val="22"/>
          <w:szCs w:val="22"/>
        </w:rPr>
        <w:t xml:space="preserve">da-117 (Managed DW Metadata) reports a metadata_completeness score of 55%, with lineage_completeness marked as 'Partially Documented.' Metadata completeness reflects the extent to which data structures are described with business names, column definitions, data types, lineage information, and business rules. A 55% completeness rate indicates that only slightly more than half of the managed data warehouse metadata is documented. For effective data modeling governance, metadata should be substantially complete (ideally &gt;90%) so that teams can understand the existing data structures and avoid redundant or conflicting models.</w:t>
      </w:r>
    </w:p>
    <w:p>
      <w:pPr>
        <w:spacing w:after="160" w:line="300"/>
      </w:pPr>
      <w:r>
        <w:rPr>
          <w:rFonts w:ascii="Arial" w:cs="Arial" w:eastAsia="Arial" w:hAnsi="Arial"/>
          <w:b w:val="false"/>
          <w:bCs w:val="false"/>
          <w:i w:val="false"/>
          <w:iCs w:val="false"/>
          <w:color w:val="333333"/>
          <w:sz w:val="22"/>
          <w:szCs w:val="22"/>
        </w:rPr>
        <w:t xml:space="preserve">The partial lineage documentation is particularly significant for data modeling: lineage traces how data flows from source through transformation to consumption, and this understanding is essential for designing models that align with actual data flows. The fact that lineage is only partially documented suggests that the organization may not have full visibility into how data actually moves and transforms, which limits the ability to apply consistent modeling standards across those flows. Data modelers cannot enforce consistent standards if they cannot see the complete landscape of data movements.</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DATA MODELING GOVERNANCE FRAMEWORK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GOVERNANCE COMPONENT         EXPECTED (L3)        ACTUAL (KG)      │</w:t>
      </w:r>
    </w:p>
    <w:p>
      <w:pPr>
        <w:spacing w:after="0" w:line="240"/>
      </w:pPr>
      <w:r>
        <w:rPr>
          <w:rFonts w:ascii="Courier New" w:cs="Courier New" w:eastAsia="Courier New" w:hAnsi="Courier New"/>
          <w:color w:val="1B3A5C"/>
          <w:sz w:val="16"/>
          <w:szCs w:val="16"/>
        </w:rPr>
        <w:t xml:space="preserve">│   ───────────────────    ─────────────      ────────────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Enterprise Data Model        ✓ Documented      ✗ Not documented │</w:t>
      </w:r>
    </w:p>
    <w:p>
      <w:pPr>
        <w:spacing w:after="0" w:line="240"/>
      </w:pPr>
      <w:r>
        <w:rPr>
          <w:rFonts w:ascii="Courier New" w:cs="Courier New" w:eastAsia="Courier New" w:hAnsi="Courier New"/>
          <w:color w:val="1B3A5C"/>
          <w:sz w:val="16"/>
          <w:szCs w:val="16"/>
        </w:rPr>
        <w:t xml:space="preserve">│   Meta-Model Definition        ✓ Defined         ✗ Not found      │</w:t>
      </w:r>
    </w:p>
    <w:p>
      <w:pPr>
        <w:spacing w:after="0" w:line="240"/>
      </w:pPr>
      <w:r>
        <w:rPr>
          <w:rFonts w:ascii="Courier New" w:cs="Courier New" w:eastAsia="Courier New" w:hAnsi="Courier New"/>
          <w:color w:val="1B3A5C"/>
          <w:sz w:val="16"/>
          <w:szCs w:val="16"/>
        </w:rPr>
        <w:t xml:space="preserve">│   Domain Models (90 domains)   ✓ All modeled      ✗ Unknown status  │</w:t>
      </w:r>
    </w:p>
    <w:p>
      <w:pPr>
        <w:spacing w:after="0" w:line="240"/>
      </w:pPr>
      <w:r>
        <w:rPr>
          <w:rFonts w:ascii="Courier New" w:cs="Courier New" w:eastAsia="Courier New" w:hAnsi="Courier New"/>
          <w:color w:val="1B3A5C"/>
          <w:sz w:val="16"/>
          <w:szCs w:val="16"/>
        </w:rPr>
        <w:t xml:space="preserve">│   Model Standards              ✓ Published        ✗ Not published   │</w:t>
      </w:r>
    </w:p>
    <w:p>
      <w:pPr>
        <w:spacing w:after="0" w:line="240"/>
      </w:pPr>
      <w:r>
        <w:rPr>
          <w:rFonts w:ascii="Courier New" w:cs="Courier New" w:eastAsia="Courier New" w:hAnsi="Courier New"/>
          <w:color w:val="1B3A5C"/>
          <w:sz w:val="16"/>
          <w:szCs w:val="16"/>
        </w:rPr>
        <w:t xml:space="preserve">│   Model Patterns Library       ✓ Maintained       ✗ Not maintained  │</w:t>
      </w:r>
    </w:p>
    <w:p>
      <w:pPr>
        <w:spacing w:after="0" w:line="240"/>
      </w:pPr>
      <w:r>
        <w:rPr>
          <w:rFonts w:ascii="Courier New" w:cs="Courier New" w:eastAsia="Courier New" w:hAnsi="Courier New"/>
          <w:color w:val="1B3A5C"/>
          <w:sz w:val="16"/>
          <w:szCs w:val="16"/>
        </w:rPr>
        <w:t xml:space="preserve">│   Model Review Process         ✓ Enforced         ✗ Not enforced    │</w:t>
      </w:r>
    </w:p>
    <w:p>
      <w:pPr>
        <w:spacing w:after="0" w:line="240"/>
      </w:pPr>
      <w:r>
        <w:rPr>
          <w:rFonts w:ascii="Courier New" w:cs="Courier New" w:eastAsia="Courier New" w:hAnsi="Courier New"/>
          <w:color w:val="1B3A5C"/>
          <w:sz w:val="16"/>
          <w:szCs w:val="16"/>
        </w:rPr>
        <w:t xml:space="preserve">│   Metadata Documentation       ✓ &gt;90% complete    ✗ 55% complete    │</w:t>
      </w:r>
    </w:p>
    <w:p>
      <w:pPr>
        <w:spacing w:after="0" w:line="240"/>
      </w:pPr>
      <w:r>
        <w:rPr>
          <w:rFonts w:ascii="Courier New" w:cs="Courier New" w:eastAsia="Courier New" w:hAnsi="Courier New"/>
          <w:color w:val="1B3A5C"/>
          <w:sz w:val="16"/>
          <w:szCs w:val="16"/>
        </w:rPr>
        <w:t xml:space="preserve">│   Lineage Documentation        ✓ Complete         ✗ Partial         │</w:t>
      </w:r>
    </w:p>
    <w:p>
      <w:pPr>
        <w:spacing w:after="0" w:line="240"/>
      </w:pPr>
      <w:r>
        <w:rPr>
          <w:rFonts w:ascii="Courier New" w:cs="Courier New" w:eastAsia="Courier New" w:hAnsi="Courier New"/>
          <w:color w:val="1B3A5C"/>
          <w:sz w:val="16"/>
          <w:szCs w:val="16"/>
        </w:rPr>
        <w:t xml:space="preserve">│   Model Repository             ✓ Centralized      ✗ Not centralized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GOVERNANCE COVERAGE: 1 of 9 components operational                │</w:t>
      </w:r>
    </w:p>
    <w:p>
      <w:pPr>
        <w:spacing w:after="0" w:line="240"/>
      </w:pPr>
      <w:r>
        <w:rPr>
          <w:rFonts w:ascii="Courier New" w:cs="Courier New" w:eastAsia="Courier New" w:hAnsi="Courier New"/>
          <w:color w:val="1B3A5C"/>
          <w:sz w:val="16"/>
          <w:szCs w:val="16"/>
        </w:rPr>
        <w:t xml:space="preserve">└─────────────────────────────────────────────────────────────────┘</w:t>
      </w:r>
    </w:p>
    <w:p>
      <w:pPr>
        <w:spacing w:after="200"/>
      </w:pPr>
    </w:p>
    <w:p>
      <w:pPr>
        <w:pStyle w:val="Heading2"/>
        <w:spacing w:after="200" w:before="300"/>
      </w:pPr>
      <w:r>
        <w:rPr>
          <w:rFonts w:ascii="Arial" w:cs="Arial" w:eastAsia="Arial" w:hAnsi="Arial"/>
        </w:rPr>
        <w:t xml:space="preserve">Domain-Specific Modeling Maturity</w:t>
      </w:r>
    </w:p>
    <w:p>
      <w:pPr>
        <w:spacing w:after="160" w:line="300"/>
      </w:pPr>
      <w:r>
        <w:rPr>
          <w:rFonts w:ascii="Arial" w:cs="Arial" w:eastAsia="Arial" w:hAnsi="Arial"/>
          <w:b w:val="false"/>
          <w:bCs w:val="false"/>
          <w:i w:val="false"/>
          <w:iCs w:val="false"/>
          <w:color w:val="333333"/>
          <w:sz w:val="22"/>
          <w:szCs w:val="22"/>
        </w:rPr>
        <w:t xml:space="preserve">The knowledge graph documents 90 distinct data domains across the enterprise (dd-001 through dd-090 and beyond). For each domain, a mature data modeling discipline would include: a documented logical data model defining entities, attributes, relationships, and cardinality; a physical data model specifying table structures, indexes, and optimization strategies; documentation of domain business rules and invariants; lineage mapping showing source systems and downstream consumption; and periodic model reviews to ensure alignment with business requirements and integration patterns. The knowledge graph does not reflect comprehensive domain model documentation, suggesting that while domains are identified and managed operationally, they may not all have formal modeled structures in a centralized repository.</w:t>
      </w:r>
    </w:p>
    <w:p>
      <w:pPr>
        <w:spacing w:after="160" w:line="300"/>
      </w:pPr>
      <w:r>
        <w:rPr>
          <w:rFonts w:ascii="Arial" w:cs="Arial" w:eastAsia="Arial" w:hAnsi="Arial"/>
          <w:b w:val="false"/>
          <w:bCs w:val="false"/>
          <w:i w:val="false"/>
          <w:iCs w:val="false"/>
          <w:color w:val="333333"/>
          <w:sz w:val="22"/>
          <w:szCs w:val="22"/>
        </w:rPr>
        <w:t xml:space="preserve">The situation mirrors the data quality domain discussed in the Capability 3 assessment: the schema for domain attributes includes fields for model documentation (logical_model, physical_model, domain_rules, domain_lineage), but these fields are not systematically populated. The technical infrastructure exists to store and govern data models; the operational process to maintain models against those fields has not been systematically deployed. The Data Modeller role (role-149) exists to design models, but whether those models are systematically registered, versioned, and governed against enterprise standards is undocumented.</w:t>
      </w:r>
    </w:p>
    <w:p>
      <w:pPr>
        <w:pStyle w:val="Heading2"/>
        <w:spacing w:after="200" w:before="300"/>
      </w:pPr>
      <w:r>
        <w:rPr>
          <w:rFonts w:ascii="Arial" w:cs="Arial" w:eastAsia="Arial" w:hAnsi="Arial"/>
        </w:rPr>
        <w:t xml:space="preserve">Acquisition Impact on Data Modeling Consistency</w:t>
      </w:r>
    </w:p>
    <w:p>
      <w:pPr>
        <w:spacing w:after="160" w:line="300"/>
      </w:pPr>
      <w:r>
        <w:rPr>
          <w:rFonts w:ascii="Arial" w:cs="Arial" w:eastAsia="Arial" w:hAnsi="Arial"/>
          <w:b w:val="false"/>
          <w:bCs w:val="false"/>
          <w:i w:val="false"/>
          <w:iCs w:val="false"/>
          <w:color w:val="333333"/>
          <w:sz w:val="22"/>
          <w:szCs w:val="22"/>
        </w:rPr>
        <w:t xml:space="preserve">The multi-acquisition integration challenge (Datapipe, Onica, RelationEdge, TriCore, 50% integrated) directly impacts data modeling standardization. When acquisitions remain operationally separate, each maintains its own data models, ETL patterns, and database architectures. The organization cannot enforce enterprise modeling standards across separate acquisition entities because those entities retain separate technical governance and operational independence. The estimated $50-100M cost to complete integration includes not only system consolidation but also the effort to retrofit data models across legacy acquisition systems to conform to enterprise standards. Until acquisition integration is substantially complete, a truly unified data modeling discipline cannot be enforced across the entire enterprise.</w:t>
      </w:r>
    </w:p>
    <w:p>
      <w:pPr>
        <w:pStyle w:val="ListParagraph"/>
        <w:numPr>
          <w:ilvl w:val="0"/>
          <w:numId w:val="2"/>
        </w:numPr>
        <w:spacing w:after="100" w:line="280"/>
      </w:pPr>
      <w:r>
        <w:rPr>
          <w:rFonts w:ascii="Arial" w:cs="Arial" w:eastAsia="Arial" w:hAnsi="Arial"/>
          <w:color w:val="333333"/>
          <w:sz w:val="22"/>
          <w:szCs w:val="22"/>
        </w:rPr>
        <w:t xml:space="preserve">Data Modeller role (role-149) is customer-facing; no evidence of internal enterprise data modeling standards or pattern library</w:t>
      </w:r>
    </w:p>
    <w:p>
      <w:pPr>
        <w:pStyle w:val="ListParagraph"/>
        <w:numPr>
          <w:ilvl w:val="0"/>
          <w:numId w:val="2"/>
        </w:numPr>
        <w:spacing w:after="100" w:line="280"/>
      </w:pPr>
      <w:r>
        <w:rPr>
          <w:rFonts w:ascii="Arial" w:cs="Arial" w:eastAsia="Arial" w:hAnsi="Arial"/>
          <w:color w:val="333333"/>
          <w:sz w:val="22"/>
          <w:szCs w:val="22"/>
        </w:rPr>
        <w:t xml:space="preserve">90 data domains documented but formal domain models and model governance not evident in KG</w:t>
      </w:r>
    </w:p>
    <w:p>
      <w:pPr>
        <w:pStyle w:val="ListParagraph"/>
        <w:numPr>
          <w:ilvl w:val="0"/>
          <w:numId w:val="2"/>
        </w:numPr>
        <w:spacing w:after="100" w:line="280"/>
      </w:pPr>
      <w:r>
        <w:rPr>
          <w:rFonts w:ascii="Arial" w:cs="Arial" w:eastAsia="Arial" w:hAnsi="Arial"/>
          <w:color w:val="333333"/>
          <w:sz w:val="22"/>
          <w:szCs w:val="22"/>
        </w:rPr>
        <w:t xml:space="preserve">da-117 Metadata at 55% completeness; lineage only 'Partially Documented' limits model governance visibility</w:t>
      </w:r>
    </w:p>
    <w:p>
      <w:pPr>
        <w:pStyle w:val="ListParagraph"/>
        <w:numPr>
          <w:ilvl w:val="0"/>
          <w:numId w:val="2"/>
        </w:numPr>
        <w:spacing w:after="100" w:line="280"/>
      </w:pPr>
      <w:r>
        <w:rPr>
          <w:rFonts w:ascii="Arial" w:cs="Arial" w:eastAsia="Arial" w:hAnsi="Arial"/>
          <w:color w:val="333333"/>
          <w:sz w:val="22"/>
          <w:szCs w:val="22"/>
        </w:rPr>
        <w:t xml:space="preserve">No centralized data model repository, model version control, or formal model review process identified</w:t>
      </w:r>
    </w:p>
    <w:p>
      <w:pPr>
        <w:pStyle w:val="ListParagraph"/>
        <w:numPr>
          <w:ilvl w:val="0"/>
          <w:numId w:val="2"/>
        </w:numPr>
        <w:spacing w:after="100" w:line="280"/>
      </w:pPr>
      <w:r>
        <w:rPr>
          <w:rFonts w:ascii="Arial" w:cs="Arial" w:eastAsia="Arial" w:hAnsi="Arial"/>
          <w:color w:val="333333"/>
          <w:sz w:val="22"/>
          <w:szCs w:val="22"/>
        </w:rPr>
        <w:t xml:space="preserve">Multi-acquisition fragmentation (50% integration complete) prevents enterprise-wide data modeling standardization</w:t>
      </w:r>
    </w:p>
    <w:p>
      <w:pPr>
        <w:pStyle w:val="ListParagraph"/>
        <w:numPr>
          <w:ilvl w:val="0"/>
          <w:numId w:val="2"/>
        </w:numPr>
        <w:spacing w:after="100" w:line="280"/>
      </w:pPr>
      <w:r>
        <w:rPr>
          <w:rFonts w:ascii="Arial" w:cs="Arial" w:eastAsia="Arial" w:hAnsi="Arial"/>
          <w:color w:val="333333"/>
          <w:sz w:val="22"/>
          <w:szCs w:val="22"/>
        </w:rPr>
        <w:t xml:space="preserve">Enterprise data model meta-model and reusable model patterns library not documented in KG</w:t>
      </w:r>
    </w:p>
    <w:p>
      <w:r>
        <w:br w:type="page"/>
      </w:r>
    </w:p>
    <w:p>
      <w:pPr>
        <w:pStyle w:val="Heading1"/>
        <w:spacing w:after="200" w:before="300"/>
      </w:pPr>
      <w:r>
        <w:rPr>
          <w:rFonts w:ascii="Arial" w:cs="Arial" w:eastAsia="Arial" w:hAnsi="Arial"/>
        </w:rPr>
        <w:t xml:space="preserve">4. Sub-Capability 4.3: Data Integration Architecture</w:t>
      </w:r>
    </w:p>
    <w:p>
      <w:pPr>
        <w:pStyle w:val="Heading3"/>
        <w:spacing w:after="200" w:before="300"/>
      </w:pPr>
      <w:r>
        <w:rPr>
          <w:rFonts w:ascii="Arial" w:cs="Arial" w:eastAsia="Arial" w:hAnsi="Arial"/>
        </w:rPr>
        <w:t xml:space="preserve">Score: 3 (Defined) — AT RISK</w:t>
      </w:r>
    </w:p>
    <w:p>
      <w:pPr>
        <w:spacing w:after="160" w:line="300"/>
      </w:pPr>
      <w:r>
        <w:rPr>
          <w:rFonts w:ascii="Arial" w:cs="Arial" w:eastAsia="Arial" w:hAnsi="Arial"/>
          <w:b w:val="false"/>
          <w:bCs w:val="false"/>
          <w:i w:val="false"/>
          <w:iCs w:val="false"/>
          <w:color w:val="333333"/>
          <w:sz w:val="22"/>
          <w:szCs w:val="22"/>
        </w:rPr>
        <w:t xml:space="preserve">Data Integration Architecture assesses the maturity of integration patterns, standards, governance, and infrastructure that enable data to flow reliably, securely, and with documented lineage across systems. At score 3, the organization has documented 378 integrations in the knowledge graph, predominantly using API-based Request-Response patterns, and has deployed data integration platforms (Data Pipeline Orchestration sys-050, Data Lake sys-056). However, the integration portfolio lacks a unified governance framework, standardized integration patterns are not enforced, and the vast majority of the 378 integrations operate under a single policy (POL-073) whose compliance_measurement is entirely null.</w:t>
      </w:r>
    </w:p>
    <w:p>
      <w:pPr>
        <w:pStyle w:val="Heading2"/>
        <w:spacing w:after="200" w:before="300"/>
      </w:pPr>
      <w:r>
        <w:rPr>
          <w:rFonts w:ascii="Arial" w:cs="Arial" w:eastAsia="Arial" w:hAnsi="Arial"/>
        </w:rPr>
        <w:t xml:space="preserve">The 378-Integration Portfolio Without Governance</w:t>
      </w:r>
    </w:p>
    <w:p>
      <w:pPr>
        <w:spacing w:after="160" w:line="300"/>
      </w:pPr>
      <w:r>
        <w:rPr>
          <w:rFonts w:ascii="Arial" w:cs="Arial" w:eastAsia="Arial" w:hAnsi="Arial"/>
          <w:b w:val="false"/>
          <w:bCs w:val="false"/>
          <w:i w:val="false"/>
          <w:iCs w:val="false"/>
          <w:color w:val="333333"/>
          <w:sz w:val="22"/>
          <w:szCs w:val="22"/>
        </w:rPr>
        <w:t xml:space="preserve">The knowledge graph identifies 378 integration entities, the largest category of technical artifacts after roles (430 roles documented). These integrations span multiple acquisition entities (Rackspace core, Datapipe legacy, Onica, RelationEdge, TriCore), deployment models (on-premises, cloud, hybrid), and patterns (API Request-Response predominant, with emerging bidirectional real-time patterns such as int-0374 Sema4.ai and int-0375 Palantir Foundry). This portfolio represents extraordinary complexity and a critical dependency for enterprise data flow.</w:t>
      </w:r>
    </w:p>
    <w:p>
      <w:pPr>
        <w:spacing w:after="160" w:line="300"/>
      </w:pPr>
      <w:r>
        <w:rPr>
          <w:rFonts w:ascii="Arial" w:cs="Arial" w:eastAsia="Arial" w:hAnsi="Arial"/>
          <w:b w:val="false"/>
          <w:bCs w:val="false"/>
          <w:i w:val="false"/>
          <w:iCs w:val="false"/>
          <w:color w:val="333333"/>
          <w:sz w:val="22"/>
          <w:szCs w:val="22"/>
        </w:rPr>
        <w:t xml:space="preserve">At a maturity level of 3 (Defined), this portfolio should be governed through: a documented integration architecture framework defining standardized patterns (synchronous, asynchronous, event-driven, batch); an integration registry tracking all integrations with metadata (source, target, pattern type, SLA, owner, risk classification); formal integration governance processes requiring new integrations to be reviewed and classified before deployment; API standards and management frameworks (API versioning, deprecation, lifecycle management); security and encryption standards for data in transit; and monitoring and alerting for integration health and latency. The knowledge graph provides minimal evidence of these governance mechanisms. The single policy (POL-073) with null compliance_measurement provides no measurable governance framework for the 378 integrations.</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THE 378-INTEGRATION LANDSCAPE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INTEGRATION PORTFOLIO COMPOSITION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Total Integrations: 378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Dominant Pattern:                                                 │</w:t>
      </w:r>
    </w:p>
    <w:p>
      <w:pPr>
        <w:spacing w:after="0" w:line="240"/>
      </w:pPr>
      <w:r>
        <w:rPr>
          <w:rFonts w:ascii="Courier New" w:cs="Courier New" w:eastAsia="Courier New" w:hAnsi="Courier New"/>
          <w:color w:val="1B3A5C"/>
          <w:sz w:val="16"/>
          <w:szCs w:val="16"/>
        </w:rPr>
        <w:t xml:space="preserve">│     ▓▓▓▓▓▓▓▓▓▓▓▓▓▓ API Request-Response (majority)                │</w:t>
      </w:r>
    </w:p>
    <w:p>
      <w:pPr>
        <w:spacing w:after="0" w:line="240"/>
      </w:pPr>
      <w:r>
        <w:rPr>
          <w:rFonts w:ascii="Courier New" w:cs="Courier New" w:eastAsia="Courier New" w:hAnsi="Courier New"/>
          <w:color w:val="1B3A5C"/>
          <w:sz w:val="16"/>
          <w:szCs w:val="16"/>
        </w:rPr>
        <w:t xml:space="preserve">│     ▓▓▓▓ Event-Driven (emerging)                         │</w:t>
      </w:r>
    </w:p>
    <w:p>
      <w:pPr>
        <w:spacing w:after="0" w:line="240"/>
      </w:pPr>
      <w:r>
        <w:rPr>
          <w:rFonts w:ascii="Courier New" w:cs="Courier New" w:eastAsia="Courier New" w:hAnsi="Courier New"/>
          <w:color w:val="1B3A5C"/>
          <w:sz w:val="16"/>
          <w:szCs w:val="16"/>
        </w:rPr>
        <w:t xml:space="preserve">│     ▓▓ Batch (legacy)                                          │</w:t>
      </w:r>
    </w:p>
    <w:p>
      <w:pPr>
        <w:spacing w:after="0" w:line="240"/>
      </w:pPr>
      <w:r>
        <w:rPr>
          <w:rFonts w:ascii="Courier New" w:cs="Courier New" w:eastAsia="Courier New" w:hAnsi="Courier New"/>
          <w:color w:val="1B3A5C"/>
          <w:sz w:val="16"/>
          <w:szCs w:val="16"/>
        </w:rPr>
        <w:t xml:space="preserve">│     ▓▓ Messaging (legacy)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Recent Additions (Strategic):                                      │</w:t>
      </w:r>
    </w:p>
    <w:p>
      <w:pPr>
        <w:spacing w:after="0" w:line="240"/>
      </w:pPr>
      <w:r>
        <w:rPr>
          <w:rFonts w:ascii="Courier New" w:cs="Courier New" w:eastAsia="Courier New" w:hAnsi="Courier New"/>
          <w:color w:val="1B3A5C"/>
          <w:sz w:val="16"/>
          <w:szCs w:val="16"/>
        </w:rPr>
        <w:t xml:space="preserve">│     - int-0374: Sema4.ai Enterprise AI Agent (Bidirectional,        │</w:t>
      </w:r>
    </w:p>
    <w:p>
      <w:pPr>
        <w:spacing w:after="0" w:line="240"/>
      </w:pPr>
      <w:r>
        <w:rPr>
          <w:rFonts w:ascii="Courier New" w:cs="Courier New" w:eastAsia="Courier New" w:hAnsi="Courier New"/>
          <w:color w:val="1B3A5C"/>
          <w:sz w:val="16"/>
          <w:szCs w:val="16"/>
        </w:rPr>
        <w:t xml:space="preserve">│       Real-Time, deployed)                                          │</w:t>
      </w:r>
    </w:p>
    <w:p>
      <w:pPr>
        <w:spacing w:after="0" w:line="240"/>
      </w:pPr>
      <w:r>
        <w:rPr>
          <w:rFonts w:ascii="Courier New" w:cs="Courier New" w:eastAsia="Courier New" w:hAnsi="Courier New"/>
          <w:color w:val="1B3A5C"/>
          <w:sz w:val="16"/>
          <w:szCs w:val="16"/>
        </w:rPr>
        <w:t xml:space="preserve">│     - int-0375: Palantir Foundry &amp; AIP (Bidirectional,              │</w:t>
      </w:r>
    </w:p>
    <w:p>
      <w:pPr>
        <w:spacing w:after="0" w:line="240"/>
      </w:pPr>
      <w:r>
        <w:rPr>
          <w:rFonts w:ascii="Courier New" w:cs="Courier New" w:eastAsia="Courier New" w:hAnsi="Courier New"/>
          <w:color w:val="1B3A5C"/>
          <w:sz w:val="16"/>
          <w:szCs w:val="16"/>
        </w:rPr>
        <w:t xml:space="preserve">│       Real-Time, Feb 2026)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Governance: POL-073 (single policy)                               │</w:t>
      </w:r>
    </w:p>
    <w:p>
      <w:pPr>
        <w:spacing w:after="0" w:line="240"/>
      </w:pPr>
      <w:r>
        <w:rPr>
          <w:rFonts w:ascii="Courier New" w:cs="Courier New" w:eastAsia="Courier New" w:hAnsi="Courier New"/>
          <w:color w:val="1B3A5C"/>
          <w:sz w:val="16"/>
          <w:szCs w:val="16"/>
        </w:rPr>
        <w:t xml:space="preserve">│     - compliance_measurement ALL NULL                               │</w:t>
      </w:r>
    </w:p>
    <w:p>
      <w:pPr>
        <w:spacing w:after="0" w:line="240"/>
      </w:pPr>
      <w:r>
        <w:rPr>
          <w:rFonts w:ascii="Courier New" w:cs="Courier New" w:eastAsia="Courier New" w:hAnsi="Courier New"/>
          <w:color w:val="1B3A5C"/>
          <w:sz w:val="16"/>
          <w:szCs w:val="16"/>
        </w:rPr>
        <w:t xml:space="preserve">│     - No integration registry                                       │</w:t>
      </w:r>
    </w:p>
    <w:p>
      <w:pPr>
        <w:spacing w:after="0" w:line="240"/>
      </w:pPr>
      <w:r>
        <w:rPr>
          <w:rFonts w:ascii="Courier New" w:cs="Courier New" w:eastAsia="Courier New" w:hAnsi="Courier New"/>
          <w:color w:val="1B3A5C"/>
          <w:sz w:val="16"/>
          <w:szCs w:val="16"/>
        </w:rPr>
        <w:t xml:space="preserve">│     - No pattern standards enforcement                              │</w:t>
      </w:r>
    </w:p>
    <w:p>
      <w:pPr>
        <w:spacing w:after="0" w:line="240"/>
      </w:pPr>
      <w:r>
        <w:rPr>
          <w:rFonts w:ascii="Courier New" w:cs="Courier New" w:eastAsia="Courier New" w:hAnsi="Courier New"/>
          <w:color w:val="1B3A5C"/>
          <w:sz w:val="16"/>
          <w:szCs w:val="16"/>
        </w:rPr>
        <w:t xml:space="preserve">│     - No API management framework visible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RISK: 378 integrations, 1 policy, 0 operational governance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w:t>
      </w:r>
    </w:p>
    <w:p>
      <w:pPr>
        <w:spacing w:after="200"/>
      </w:pPr>
    </w:p>
    <w:p>
      <w:pPr>
        <w:pStyle w:val="Heading2"/>
        <w:spacing w:after="200" w:before="300"/>
      </w:pPr>
      <w:r>
        <w:rPr>
          <w:rFonts w:ascii="Arial" w:cs="Arial" w:eastAsia="Arial" w:hAnsi="Arial"/>
        </w:rPr>
        <w:t xml:space="preserve">Integration Architecture Role and Responsibility</w:t>
      </w:r>
    </w:p>
    <w:p>
      <w:pPr>
        <w:spacing w:after="160" w:line="300"/>
      </w:pPr>
      <w:r>
        <w:rPr>
          <w:rFonts w:ascii="Arial" w:cs="Arial" w:eastAsia="Arial" w:hAnsi="Arial"/>
          <w:b w:val="false"/>
          <w:bCs w:val="false"/>
          <w:i w:val="false"/>
          <w:iCs w:val="false"/>
          <w:color w:val="333333"/>
          <w:sz w:val="22"/>
          <w:szCs w:val="22"/>
        </w:rPr>
        <w:t xml:space="preserve">role-283 (Application Integration Architect, P4 Partner level, $156K) is identified as responsible for API management, middleware, and ESB (Enterprise Service Bus) functions. This role should serve as the owner of integration architecture standards, integration pattern definitions, and API lifecycle governance. However, the knowledge graph does not reflect integration architecture governance artifacts maintained by this role: no integration architecture framework, no API standards document, no enterprise service bus configuration documentation, no integration pattern library. The role exists but its architectural governance functions appear underdeveloped or undocumented.</w:t>
      </w:r>
    </w:p>
    <w:p>
      <w:pPr>
        <w:spacing w:after="160" w:line="300"/>
      </w:pPr>
      <w:r>
        <w:rPr>
          <w:rFonts w:ascii="Arial" w:cs="Arial" w:eastAsia="Arial" w:hAnsi="Arial"/>
          <w:b w:val="false"/>
          <w:bCs w:val="false"/>
          <w:i w:val="false"/>
          <w:iCs w:val="false"/>
          <w:color w:val="333333"/>
          <w:sz w:val="22"/>
          <w:szCs w:val="22"/>
        </w:rPr>
        <w:t xml:space="preserve">dept-213 (Application Integration, $780K, 5 headcount) manages SaaS application and data integration and is noted to handle 'thousands of integrations.' The scale implied by 'thousands' in department documentation versus 378 documented in the knowledge graph suggests either the KG is incomplete in capturing all integrations, or 'thousands' is a colloquial expression for a very large number. In either case, the mismatch between portfolio scale and documented governance is problematic. If the department truly manages thousands of integrations with a team of 5 headcount and a $780K budget, either integrations are minimally supported or there is undocumented automation and platform leverage.</w:t>
      </w:r>
    </w:p>
    <w:p>
      <w:pPr>
        <w:pStyle w:val="Heading2"/>
        <w:spacing w:after="200" w:before="300"/>
      </w:pPr>
      <w:r>
        <w:rPr>
          <w:rFonts w:ascii="Arial" w:cs="Arial" w:eastAsia="Arial" w:hAnsi="Arial"/>
        </w:rPr>
        <w:t xml:space="preserve">Integration Governance Gap: Compliance Measurement Null</w:t>
      </w:r>
    </w:p>
    <w:p>
      <w:pPr>
        <w:spacing w:after="160" w:line="300"/>
      </w:pPr>
      <w:r>
        <w:rPr>
          <w:rFonts w:ascii="Arial" w:cs="Arial" w:eastAsia="Arial" w:hAnsi="Arial"/>
          <w:b w:val="false"/>
          <w:bCs w:val="false"/>
          <w:i w:val="false"/>
          <w:iCs w:val="false"/>
          <w:color w:val="333333"/>
          <w:sz w:val="22"/>
          <w:szCs w:val="22"/>
        </w:rPr>
        <w:t xml:space="preserve">POL-073 (which should govern integration architecture) has null compliance_measurement fields. For an integration portfolio of 378 elements, a mature compliance framework would measure: percentage of integrations conforming to documented standard patterns (synchronous vs. asynchronous vs. event-driven), percentage of integrations with documented security controls (encryption, authentication, authorization), percentage with defined SLAs and monitoring, percentage with documented lineage and impact analysis. None of these measurements are documented.</w:t>
      </w:r>
    </w:p>
    <w:p>
      <w:pPr>
        <w:spacing w:after="160" w:line="300"/>
      </w:pPr>
      <w:r>
        <w:rPr>
          <w:rFonts w:ascii="Arial" w:cs="Arial" w:eastAsia="Arial" w:hAnsi="Arial"/>
          <w:b w:val="false"/>
          <w:bCs w:val="false"/>
          <w:i w:val="false"/>
          <w:iCs w:val="false"/>
          <w:color w:val="333333"/>
          <w:sz w:val="22"/>
          <w:szCs w:val="22"/>
        </w:rPr>
        <w:t xml:space="preserve">The gap is particularly acute for integrations involving external parties: Sema4.ai (int-0374) and Palantir Foundry (int-0375) are bidirectional real-time integrations with external platforms. These integrations should be documented with: security agreements, data classification levels, API contract definitions, disaster recovery procedures, and escalation contacts. The knowledge graph notes these integrations but provides no governance documentation around them, suggesting they may have been implemented without systematic integration architecture review or governance enforcement.</w:t>
      </w:r>
    </w:p>
    <w:p>
      <w:pPr>
        <w:pStyle w:val="Heading2"/>
        <w:spacing w:after="200" w:before="300"/>
      </w:pPr>
      <w:r>
        <w:rPr>
          <w:rFonts w:ascii="Arial" w:cs="Arial" w:eastAsia="Arial" w:hAnsi="Arial"/>
        </w:rPr>
        <w:t xml:space="preserve">dd-014 and Low-Confidence Policy Governance</w:t>
      </w:r>
    </w:p>
    <w:p>
      <w:pPr>
        <w:spacing w:after="160" w:line="300"/>
      </w:pPr>
      <w:r>
        <w:rPr>
          <w:rFonts w:ascii="Arial" w:cs="Arial" w:eastAsia="Arial" w:hAnsi="Arial"/>
          <w:b w:val="false"/>
          <w:bCs w:val="false"/>
          <w:i w:val="false"/>
          <w:iCs w:val="false"/>
          <w:color w:val="333333"/>
          <w:sz w:val="22"/>
          <w:szCs w:val="22"/>
        </w:rPr>
        <w:t xml:space="preserve">dd-014 (Customer Data Lake and Warehouse Data) is noted as 'subject_to POL-073' at confidence 0.6 (notably low). This indicates uncertainty about whether this major data asset is even subject to the architecture policy that should govern it. If the organization's largest customer-facing data asset is subject to architectural governance at only 60% confidence, it suggests either: the relationship between the data asset and the policy is uncertain, the data asset is only partially governed by the policy, or the governance mapping itself is incomplete. For critical data assets, policy governance relationships should be at 95%+ confidence.</w:t>
      </w:r>
    </w:p>
    <w:p>
      <w:pPr>
        <w:pStyle w:val="Heading2"/>
        <w:spacing w:after="200" w:before="300"/>
      </w:pPr>
      <w:r>
        <w:rPr>
          <w:rFonts w:ascii="Arial" w:cs="Arial" w:eastAsia="Arial" w:hAnsi="Arial"/>
        </w:rPr>
        <w:t xml:space="preserve">Acquisition Integration Fragmentation</w:t>
      </w:r>
    </w:p>
    <w:p>
      <w:pPr>
        <w:spacing w:after="160" w:line="300"/>
      </w:pPr>
      <w:r>
        <w:rPr>
          <w:rFonts w:ascii="Arial" w:cs="Arial" w:eastAsia="Arial" w:hAnsi="Arial"/>
          <w:b w:val="false"/>
          <w:bCs w:val="false"/>
          <w:i w:val="false"/>
          <w:iCs w:val="false"/>
          <w:color w:val="333333"/>
          <w:sz w:val="22"/>
          <w:szCs w:val="22"/>
        </w:rPr>
        <w:t xml:space="preserve">The multi-acquisition landscape complicates integration architecture standardization. Each acquisition (Datapipe, Onica, RelationEdge, TriCore) likely brought its own integration platform, API management approach, and vendor ecosystem. With acquisition integration only 50% complete, the organization operates multiple integration platforms and governance frameworks in parallel. New integrations may be created following Rackspace core standards or legacy acquisition standards, depending on organizational boundaries. Until acquisitions are fully operationally integrated, a unified integration architecture cannot be enforced across the entire enterprise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1400"/>
        <w:gridCol w:w="1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Integration Type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Count</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Characteristics</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Governance</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Policy Coverage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API Request-Response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280+</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Synchronous, point-to-point, versioning challenges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20"/>
                <w:szCs w:val="20"/>
              </w:rPr>
              <w:t xml:space="preserve">Minimal</w:t>
            </w:r>
          </w:p>
        </w:tc>
        <w:tc>
          <w:tcPr>
            <w:tcW w:type="dxa" w:w="1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20"/>
                <w:szCs w:val="20"/>
              </w:rPr>
              <w:t xml:space="preserve">POL-073 (null)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Batch Integrations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40+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Scheduled, legacy pattern, latency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20"/>
                <w:szCs w:val="20"/>
              </w:rPr>
              <w:t xml:space="preserve">Minimal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20"/>
                <w:szCs w:val="20"/>
              </w:rPr>
              <w:t xml:space="preserve">POL-073 (null)</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Event-Driven/Pub-Sub</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30+</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Emerging, real-time, complex governance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20"/>
                <w:szCs w:val="20"/>
              </w:rPr>
              <w:t xml:space="preserve">Minimal</w:t>
            </w:r>
          </w:p>
        </w:tc>
        <w:tc>
          <w:tcPr>
            <w:tcW w:type="dxa" w:w="1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20"/>
                <w:szCs w:val="20"/>
              </w:rPr>
              <w:t xml:space="preserve">POL-073 (null)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Bidirectional Real-Time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28+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int-0374, int-0375, strategic new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20"/>
                <w:szCs w:val="20"/>
              </w:rPr>
              <w:t xml:space="preserve">Undefined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20"/>
                <w:szCs w:val="20"/>
              </w:rPr>
              <w:t xml:space="preserve">POL-073 (null)</w:t>
            </w:r>
          </w:p>
        </w:tc>
      </w:tr>
    </w:tbl>
    <w:p>
      <w:pPr>
        <w:spacing w:after="200"/>
      </w:pPr>
    </w:p>
    <w:p>
      <w:pPr>
        <w:pStyle w:val="ListParagraph"/>
        <w:numPr>
          <w:ilvl w:val="0"/>
          <w:numId w:val="2"/>
        </w:numPr>
        <w:spacing w:after="100" w:line="280"/>
      </w:pPr>
      <w:r>
        <w:rPr>
          <w:rFonts w:ascii="Arial" w:cs="Arial" w:eastAsia="Arial" w:hAnsi="Arial"/>
          <w:color w:val="333333"/>
          <w:sz w:val="22"/>
          <w:szCs w:val="22"/>
        </w:rPr>
        <w:t xml:space="preserve">378 integrations documented in KG, governed by single policy (POL-073) with null compliance_measurement</w:t>
      </w:r>
    </w:p>
    <w:p>
      <w:pPr>
        <w:pStyle w:val="ListParagraph"/>
        <w:numPr>
          <w:ilvl w:val="0"/>
          <w:numId w:val="2"/>
        </w:numPr>
        <w:spacing w:after="100" w:line="280"/>
      </w:pPr>
      <w:r>
        <w:rPr>
          <w:rFonts w:ascii="Arial" w:cs="Arial" w:eastAsia="Arial" w:hAnsi="Arial"/>
          <w:color w:val="333333"/>
          <w:sz w:val="22"/>
          <w:szCs w:val="22"/>
        </w:rPr>
        <w:t xml:space="preserve">No integration registry, API management framework, or standardized pattern enforcement documented</w:t>
      </w:r>
    </w:p>
    <w:p>
      <w:pPr>
        <w:pStyle w:val="ListParagraph"/>
        <w:numPr>
          <w:ilvl w:val="0"/>
          <w:numId w:val="2"/>
        </w:numPr>
        <w:spacing w:after="100" w:line="280"/>
      </w:pPr>
      <w:r>
        <w:rPr>
          <w:rFonts w:ascii="Arial" w:cs="Arial" w:eastAsia="Arial" w:hAnsi="Arial"/>
          <w:color w:val="333333"/>
          <w:sz w:val="22"/>
          <w:szCs w:val="22"/>
        </w:rPr>
        <w:t xml:space="preserve">int-0374 (Sema4.ai) and int-0375 (Palantir Foundry) bidirectional real-time integrations lack documented governance controls</w:t>
      </w:r>
    </w:p>
    <w:p>
      <w:pPr>
        <w:pStyle w:val="ListParagraph"/>
        <w:numPr>
          <w:ilvl w:val="0"/>
          <w:numId w:val="2"/>
        </w:numPr>
        <w:spacing w:after="100" w:line="280"/>
      </w:pPr>
      <w:r>
        <w:rPr>
          <w:rFonts w:ascii="Arial" w:cs="Arial" w:eastAsia="Arial" w:hAnsi="Arial"/>
          <w:color w:val="333333"/>
          <w:sz w:val="22"/>
          <w:szCs w:val="22"/>
        </w:rPr>
        <w:t xml:space="preserve">dept-213 manages integrations with 5 HC and $780K budget; no documented integration automation platform</w:t>
      </w:r>
    </w:p>
    <w:p>
      <w:pPr>
        <w:pStyle w:val="ListParagraph"/>
        <w:numPr>
          <w:ilvl w:val="0"/>
          <w:numId w:val="2"/>
        </w:numPr>
        <w:spacing w:after="100" w:line="280"/>
      </w:pPr>
      <w:r>
        <w:rPr>
          <w:rFonts w:ascii="Arial" w:cs="Arial" w:eastAsia="Arial" w:hAnsi="Arial"/>
          <w:color w:val="333333"/>
          <w:sz w:val="22"/>
          <w:szCs w:val="22"/>
        </w:rPr>
        <w:t xml:space="preserve">dd-014 (Customer Data Lake) subject to POL-073 at 0.6 confidence (low); governance relationship uncertain</w:t>
      </w:r>
    </w:p>
    <w:p>
      <w:pPr>
        <w:pStyle w:val="ListParagraph"/>
        <w:numPr>
          <w:ilvl w:val="0"/>
          <w:numId w:val="2"/>
        </w:numPr>
        <w:spacing w:after="100" w:line="280"/>
      </w:pPr>
      <w:r>
        <w:rPr>
          <w:rFonts w:ascii="Arial" w:cs="Arial" w:eastAsia="Arial" w:hAnsi="Arial"/>
          <w:color w:val="333333"/>
          <w:sz w:val="22"/>
          <w:szCs w:val="22"/>
        </w:rPr>
        <w:t xml:space="preserve">Acquisition integration (50% complete, $1.7B) perpetuates separate integration platforms and governance frameworks</w:t>
      </w:r>
    </w:p>
    <w:p>
      <w:r>
        <w:br w:type="page"/>
      </w:r>
    </w:p>
    <w:p>
      <w:pPr>
        <w:pStyle w:val="Heading1"/>
        <w:spacing w:after="200" w:before="300"/>
      </w:pPr>
      <w:r>
        <w:rPr>
          <w:rFonts w:ascii="Arial" w:cs="Arial" w:eastAsia="Arial" w:hAnsi="Arial"/>
        </w:rPr>
        <w:t xml:space="preserve">5. Sub-Capability 4.4: Reference Architecture and Technology Standards</w:t>
      </w:r>
    </w:p>
    <w:p>
      <w:pPr>
        <w:pStyle w:val="Heading3"/>
        <w:spacing w:after="200" w:before="300"/>
      </w:pPr>
      <w:r>
        <w:rPr>
          <w:rFonts w:ascii="Arial" w:cs="Arial" w:eastAsia="Arial" w:hAnsi="Arial"/>
        </w:rPr>
        <w:t xml:space="preserve">Score: 3 (Defined)</w:t>
      </w:r>
    </w:p>
    <w:p>
      <w:pPr>
        <w:spacing w:after="160" w:line="300"/>
      </w:pPr>
      <w:r>
        <w:rPr>
          <w:rFonts w:ascii="Arial" w:cs="Arial" w:eastAsia="Arial" w:hAnsi="Arial"/>
          <w:b w:val="false"/>
          <w:bCs w:val="false"/>
          <w:i w:val="false"/>
          <w:iCs w:val="false"/>
          <w:color w:val="333333"/>
          <w:sz w:val="22"/>
          <w:szCs w:val="22"/>
        </w:rPr>
        <w:t xml:space="preserve">Reference Architecture and Technology Standards assesses whether Rackspace has documented a reference architecture framework that provides patterns and standards for technology selection, infrastructure design, and system implementation. At score 3, the organization has technology standards embedded in controls (CTL-209: Enterprise Architecture PM-7 security-focused, CTL-204: Security Architecture PL-8 defense-in-depth, CTL-240: Developer Security Architecture SA-17) and has deployed advanced technologies (Data Lake sys-056, Data Pipeline Orchestration sys-050, Metadata Store sys-031, Cloud platforms AWS and Azure). However, the knowledge graph does not reflect a documented reference architecture document, nor clear technology standards applicable to data architecture decisions.</w:t>
      </w:r>
    </w:p>
    <w:p>
      <w:pPr>
        <w:pStyle w:val="Heading2"/>
        <w:spacing w:after="200" w:before="300"/>
      </w:pPr>
      <w:r>
        <w:rPr>
          <w:rFonts w:ascii="Arial" w:cs="Arial" w:eastAsia="Arial" w:hAnsi="Arial"/>
        </w:rPr>
        <w:t xml:space="preserve">Technology Standards in Security Architecture Context</w:t>
      </w:r>
    </w:p>
    <w:p>
      <w:pPr>
        <w:spacing w:after="160" w:line="300"/>
      </w:pPr>
      <w:r>
        <w:rPr>
          <w:rFonts w:ascii="Arial" w:cs="Arial" w:eastAsia="Arial" w:hAnsi="Arial"/>
          <w:b w:val="false"/>
          <w:bCs w:val="false"/>
          <w:i w:val="false"/>
          <w:iCs w:val="false"/>
          <w:color w:val="333333"/>
          <w:sz w:val="22"/>
          <w:szCs w:val="22"/>
        </w:rPr>
        <w:t xml:space="preserve">CTL-209 (Enterprise Architecture PM-7) explicitly references 'Cloud-first strategy with security controls baked in.' This indicates that technology selection at Rackspace prioritizes cloud platforms and integrated security governance. The control description notes that 'Security architecture [is an] integral component of enterprise architecture,' suggesting that architectural decisions are made with security as a foundational principle rather than bolted on afterward. This security-first architectural orientation is sound but should be formalized in documented reference architecture standards that teams can apply to data architecture decisions.</w:t>
      </w:r>
    </w:p>
    <w:p>
      <w:pPr>
        <w:spacing w:after="160" w:line="300"/>
      </w:pPr>
      <w:r>
        <w:rPr>
          <w:rFonts w:ascii="Arial" w:cs="Arial" w:eastAsia="Arial" w:hAnsi="Arial"/>
          <w:b w:val="false"/>
          <w:bCs w:val="false"/>
          <w:i w:val="false"/>
          <w:iCs w:val="false"/>
          <w:color w:val="333333"/>
          <w:sz w:val="22"/>
          <w:szCs w:val="22"/>
        </w:rPr>
        <w:t xml:space="preserve">CTL-204 (Security Architecture PL-8) specifies 'Defense-in-depth strategy with three-forest Active Directory and bastion host model.' This indicates specific technology standards around identity and access management (Active Directory deployment with three-forest isolation for security boundaries) and network architecture (bastion host model for privileged access management). These specific standards demonstrate architectural governance at a technical level but are documented as control descriptions rather than in a formalized reference architecture document.</w:t>
      </w:r>
    </w:p>
    <w:p>
      <w:pPr>
        <w:pStyle w:val="Heading2"/>
        <w:spacing w:after="200" w:before="300"/>
      </w:pPr>
      <w:r>
        <w:rPr>
          <w:rFonts w:ascii="Arial" w:cs="Arial" w:eastAsia="Arial" w:hAnsi="Arial"/>
        </w:rPr>
        <w:t xml:space="preserve">Data Platform Technology Standardization</w:t>
      </w:r>
    </w:p>
    <w:p>
      <w:pPr>
        <w:spacing w:after="160" w:line="300"/>
      </w:pPr>
      <w:r>
        <w:rPr>
          <w:rFonts w:ascii="Arial" w:cs="Arial" w:eastAsia="Arial" w:hAnsi="Arial"/>
          <w:b w:val="false"/>
          <w:bCs w:val="false"/>
          <w:i w:val="false"/>
          <w:iCs w:val="false"/>
          <w:color w:val="333333"/>
          <w:sz w:val="22"/>
          <w:szCs w:val="22"/>
        </w:rPr>
        <w:t xml:space="preserve">The knowledge graph identifies several data platform systems: sys-056 (Data Lake and Warehouse), sys-050 (Data Pipeline Orchestration), and sys-031 (Metadata Store). These systems represent critical technology choices for data architecture. The knowledge graph notes that Lead Data Engineers (role-160) work with Azure Data Lake, Databricks, Synapse, and Snowflake; that AWS is supported for customers (role-165 Senior Data Architect - Big Data); and that data modernization projects employ these same platforms. However, the knowledge graph does not document an explicit technology reference architecture specifying: which platforms are primary (Azure vs. AWS), which are approved for new projects, what the migration path is for systems currently on non-standard platforms, or how technology selections are governed and approved.</w:t>
      </w:r>
    </w:p>
    <w:p>
      <w:pPr>
        <w:spacing w:after="160" w:line="300"/>
      </w:pPr>
      <w:r>
        <w:rPr>
          <w:rFonts w:ascii="Arial" w:cs="Arial" w:eastAsia="Arial" w:hAnsi="Arial"/>
          <w:b w:val="false"/>
          <w:bCs w:val="false"/>
          <w:i w:val="false"/>
          <w:iCs w:val="false"/>
          <w:color w:val="333333"/>
          <w:sz w:val="22"/>
          <w:szCs w:val="22"/>
        </w:rPr>
        <w:t xml:space="preserve">The presence of both AWS and Azure capabilities in the knowledge graph indicates a multi-cloud strategy. A mature reference architecture would document the decision framework for platform selection: 'AWS for customer-facing workloads', 'Azure for core enterprise data', etc., with clear escalation criteria for exceptions. The absence of such documentation in the knowledge graph suggests technology decisions may be made project-by-project without a unified framework, which limits architectural consistency and increases risk of vendor lock-in decisions being made ad hoc.</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REFERENCE ARCHITECTURE FRAMEWORK MATURITY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COMPONENT              EXPECTED (L3)         ACTUAL (KG)           │</w:t>
      </w:r>
    </w:p>
    <w:p>
      <w:pPr>
        <w:spacing w:after="0" w:line="240"/>
      </w:pPr>
      <w:r>
        <w:rPr>
          <w:rFonts w:ascii="Courier New" w:cs="Courier New" w:eastAsia="Courier New" w:hAnsi="Courier New"/>
          <w:color w:val="1B3A5C"/>
          <w:sz w:val="16"/>
          <w:szCs w:val="16"/>
        </w:rPr>
        <w:t xml:space="preserve">│   ───────────────────   ───────────────    ────────────────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Reference Architecture    Published doc      Control-embedded      │</w:t>
      </w:r>
    </w:p>
    <w:p>
      <w:pPr>
        <w:spacing w:after="0" w:line="240"/>
      </w:pPr>
      <w:r>
        <w:rPr>
          <w:rFonts w:ascii="Courier New" w:cs="Courier New" w:eastAsia="Courier New" w:hAnsi="Courier New"/>
          <w:color w:val="1B3A5C"/>
          <w:sz w:val="16"/>
          <w:szCs w:val="16"/>
        </w:rPr>
        <w:t xml:space="preserve">│   Technology Stack          Specified          Multi-cloud (AWS,     │</w:t>
      </w:r>
    </w:p>
    <w:p>
      <w:pPr>
        <w:spacing w:after="0" w:line="240"/>
      </w:pPr>
      <w:r>
        <w:rPr>
          <w:rFonts w:ascii="Courier New" w:cs="Courier New" w:eastAsia="Courier New" w:hAnsi="Courier New"/>
          <w:color w:val="1B3A5C"/>
          <w:sz w:val="16"/>
          <w:szCs w:val="16"/>
        </w:rPr>
        <w:t xml:space="preserve">│                             (Primary/Approved)  Azure) not formally   │</w:t>
      </w:r>
    </w:p>
    <w:p>
      <w:pPr>
        <w:spacing w:after="0" w:line="240"/>
      </w:pPr>
      <w:r>
        <w:rPr>
          <w:rFonts w:ascii="Courier New" w:cs="Courier New" w:eastAsia="Courier New" w:hAnsi="Courier New"/>
          <w:color w:val="1B3A5C"/>
          <w:sz w:val="16"/>
          <w:szCs w:val="16"/>
        </w:rPr>
        <w:t xml:space="preserve">│                                                specified             │</w:t>
      </w:r>
    </w:p>
    <w:p>
      <w:pPr>
        <w:spacing w:after="0" w:line="240"/>
      </w:pPr>
      <w:r>
        <w:rPr>
          <w:rFonts w:ascii="Courier New" w:cs="Courier New" w:eastAsia="Courier New" w:hAnsi="Courier New"/>
          <w:color w:val="1B3A5C"/>
          <w:sz w:val="16"/>
          <w:szCs w:val="16"/>
        </w:rPr>
        <w:t xml:space="preserve">│   Cloud Platform Strategy   Documented         Cloud-first (CTL-209) │</w:t>
      </w:r>
    </w:p>
    <w:p>
      <w:pPr>
        <w:spacing w:after="0" w:line="240"/>
      </w:pPr>
      <w:r>
        <w:rPr>
          <w:rFonts w:ascii="Courier New" w:cs="Courier New" w:eastAsia="Courier New" w:hAnsi="Courier New"/>
          <w:color w:val="1B3A5C"/>
          <w:sz w:val="16"/>
          <w:szCs w:val="16"/>
        </w:rPr>
        <w:t xml:space="preserve">│                             (primary/secondary) but no formal arch     │</w:t>
      </w:r>
    </w:p>
    <w:p>
      <w:pPr>
        <w:spacing w:after="0" w:line="240"/>
      </w:pPr>
      <w:r>
        <w:rPr>
          <w:rFonts w:ascii="Courier New" w:cs="Courier New" w:eastAsia="Courier New" w:hAnsi="Courier New"/>
          <w:color w:val="1B3A5C"/>
          <w:sz w:val="16"/>
          <w:szCs w:val="16"/>
        </w:rPr>
        <w:t xml:space="preserve">│   Security Architecture     Documented         Three-forest AD,      │</w:t>
      </w:r>
    </w:p>
    <w:p>
      <w:pPr>
        <w:spacing w:after="0" w:line="240"/>
      </w:pPr>
      <w:r>
        <w:rPr>
          <w:rFonts w:ascii="Courier New" w:cs="Courier New" w:eastAsia="Courier New" w:hAnsi="Courier New"/>
          <w:color w:val="1B3A5C"/>
          <w:sz w:val="16"/>
          <w:szCs w:val="16"/>
        </w:rPr>
        <w:t xml:space="preserve">│                                                defense-in-depth       │</w:t>
      </w:r>
    </w:p>
    <w:p>
      <w:pPr>
        <w:spacing w:after="0" w:line="240"/>
      </w:pPr>
      <w:r>
        <w:rPr>
          <w:rFonts w:ascii="Courier New" w:cs="Courier New" w:eastAsia="Courier New" w:hAnsi="Courier New"/>
          <w:color w:val="1B3A5C"/>
          <w:sz w:val="16"/>
          <w:szCs w:val="16"/>
        </w:rPr>
        <w:t xml:space="preserve">│                                                (CTL-204)              │</w:t>
      </w:r>
    </w:p>
    <w:p>
      <w:pPr>
        <w:spacing w:after="0" w:line="240"/>
      </w:pPr>
      <w:r>
        <w:rPr>
          <w:rFonts w:ascii="Courier New" w:cs="Courier New" w:eastAsia="Courier New" w:hAnsi="Courier New"/>
          <w:color w:val="1B3A5C"/>
          <w:sz w:val="16"/>
          <w:szCs w:val="16"/>
        </w:rPr>
        <w:t xml:space="preserve">│   Data Platform Standards   Specified          Azure/Databricks/     │</w:t>
      </w:r>
    </w:p>
    <w:p>
      <w:pPr>
        <w:spacing w:after="0" w:line="240"/>
      </w:pPr>
      <w:r>
        <w:rPr>
          <w:rFonts w:ascii="Courier New" w:cs="Courier New" w:eastAsia="Courier New" w:hAnsi="Courier New"/>
          <w:color w:val="1B3A5C"/>
          <w:sz w:val="16"/>
          <w:szCs w:val="16"/>
        </w:rPr>
        <w:t xml:space="preserve">│                             (primary/secondary) Synapse/Snowflake     │</w:t>
      </w:r>
    </w:p>
    <w:p>
      <w:pPr>
        <w:spacing w:after="0" w:line="240"/>
      </w:pPr>
      <w:r>
        <w:rPr>
          <w:rFonts w:ascii="Courier New" w:cs="Courier New" w:eastAsia="Courier New" w:hAnsi="Courier New"/>
          <w:color w:val="1B3A5C"/>
          <w:sz w:val="16"/>
          <w:szCs w:val="16"/>
        </w:rPr>
        <w:t xml:space="preserve">│                                                but no selection       │</w:t>
      </w:r>
    </w:p>
    <w:p>
      <w:pPr>
        <w:spacing w:after="0" w:line="240"/>
      </w:pPr>
      <w:r>
        <w:rPr>
          <w:rFonts w:ascii="Courier New" w:cs="Courier New" w:eastAsia="Courier New" w:hAnsi="Courier New"/>
          <w:color w:val="1B3A5C"/>
          <w:sz w:val="16"/>
          <w:szCs w:val="16"/>
        </w:rPr>
        <w:t xml:space="preserve">│                                                framework              │</w:t>
      </w:r>
    </w:p>
    <w:p>
      <w:pPr>
        <w:spacing w:after="0" w:line="240"/>
      </w:pPr>
      <w:r>
        <w:rPr>
          <w:rFonts w:ascii="Courier New" w:cs="Courier New" w:eastAsia="Courier New" w:hAnsi="Courier New"/>
          <w:color w:val="1B3A5C"/>
          <w:sz w:val="16"/>
          <w:szCs w:val="16"/>
        </w:rPr>
        <w:t xml:space="preserve">│   Integration Patterns      Documented         API (dominant),       │</w:t>
      </w:r>
    </w:p>
    <w:p>
      <w:pPr>
        <w:spacing w:after="0" w:line="240"/>
      </w:pPr>
      <w:r>
        <w:rPr>
          <w:rFonts w:ascii="Courier New" w:cs="Courier New" w:eastAsia="Courier New" w:hAnsi="Courier New"/>
          <w:color w:val="1B3A5C"/>
          <w:sz w:val="16"/>
          <w:szCs w:val="16"/>
        </w:rPr>
        <w:t xml:space="preserve">│                                                asynchronous not       │</w:t>
      </w:r>
    </w:p>
    <w:p>
      <w:pPr>
        <w:spacing w:after="0" w:line="240"/>
      </w:pPr>
      <w:r>
        <w:rPr>
          <w:rFonts w:ascii="Courier New" w:cs="Courier New" w:eastAsia="Courier New" w:hAnsi="Courier New"/>
          <w:color w:val="1B3A5C"/>
          <w:sz w:val="16"/>
          <w:szCs w:val="16"/>
        </w:rPr>
        <w:t xml:space="preserve">│                                                formally standardized  │</w:t>
      </w:r>
    </w:p>
    <w:p>
      <w:pPr>
        <w:spacing w:after="0" w:line="240"/>
      </w:pPr>
      <w:r>
        <w:rPr>
          <w:rFonts w:ascii="Courier New" w:cs="Courier New" w:eastAsia="Courier New" w:hAnsi="Courier New"/>
          <w:color w:val="1B3A5C"/>
          <w:sz w:val="16"/>
          <w:szCs w:val="16"/>
        </w:rPr>
        <w:t xml:space="preserve">│   Technology Deprecation    Roadmap published  None documented       │</w:t>
      </w:r>
    </w:p>
    <w:p>
      <w:pPr>
        <w:spacing w:after="0" w:line="240"/>
      </w:pPr>
      <w:r>
        <w:rPr>
          <w:rFonts w:ascii="Courier New" w:cs="Courier New" w:eastAsia="Courier New" w:hAnsi="Courier New"/>
          <w:color w:val="1B3A5C"/>
          <w:sz w:val="16"/>
          <w:szCs w:val="16"/>
        </w:rPr>
        <w:t xml:space="preserve">│   Legacy Migration Path     Specified          Acquisition           │</w:t>
      </w:r>
    </w:p>
    <w:p>
      <w:pPr>
        <w:spacing w:after="0" w:line="240"/>
      </w:pPr>
      <w:r>
        <w:rPr>
          <w:rFonts w:ascii="Courier New" w:cs="Courier New" w:eastAsia="Courier New" w:hAnsi="Courier New"/>
          <w:color w:val="1B3A5C"/>
          <w:sz w:val="16"/>
          <w:szCs w:val="16"/>
        </w:rPr>
        <w:t xml:space="preserve">│                                                integration 50%        │</w:t>
      </w:r>
    </w:p>
    <w:p>
      <w:pPr>
        <w:spacing w:after="0" w:line="240"/>
      </w:pPr>
      <w:r>
        <w:rPr>
          <w:rFonts w:ascii="Courier New" w:cs="Courier New" w:eastAsia="Courier New" w:hAnsi="Courier New"/>
          <w:color w:val="1B3A5C"/>
          <w:sz w:val="16"/>
          <w:szCs w:val="16"/>
        </w:rPr>
        <w:t xml:space="preserve">│                                                complete              │</w:t>
      </w:r>
    </w:p>
    <w:p>
      <w:pPr>
        <w:spacing w:after="0" w:line="240"/>
      </w:pPr>
      <w:r>
        <w:rPr>
          <w:rFonts w:ascii="Courier New" w:cs="Courier New" w:eastAsia="Courier New" w:hAnsi="Courier New"/>
          <w:color w:val="1B3A5C"/>
          <w:sz w:val="16"/>
          <w:szCs w:val="16"/>
        </w:rPr>
        <w:t xml:space="preserve">│   Architecture Review       Enforced (ARB)     ARB undocumented       │</w:t>
      </w:r>
    </w:p>
    <w:p>
      <w:pPr>
        <w:spacing w:after="0" w:line="240"/>
      </w:pPr>
      <w:r>
        <w:rPr>
          <w:rFonts w:ascii="Courier New" w:cs="Courier New" w:eastAsia="Courier New" w:hAnsi="Courier New"/>
          <w:color w:val="1B3A5C"/>
          <w:sz w:val="16"/>
          <w:szCs w:val="16"/>
        </w:rPr>
        <w:t xml:space="preserve">│   Exception Process         Documented         Not found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DOCUMENTATION COVERAGE: 30% of L3 components documented           │</w:t>
      </w:r>
    </w:p>
    <w:p>
      <w:pPr>
        <w:spacing w:after="0" w:line="240"/>
      </w:pPr>
      <w:r>
        <w:rPr>
          <w:rFonts w:ascii="Courier New" w:cs="Courier New" w:eastAsia="Courier New" w:hAnsi="Courier New"/>
          <w:color w:val="1B3A5C"/>
          <w:sz w:val="16"/>
          <w:szCs w:val="16"/>
        </w:rPr>
        <w:t xml:space="preserve">└─────────────────────────────────────────────────────────────────┘</w:t>
      </w:r>
    </w:p>
    <w:p>
      <w:pPr>
        <w:spacing w:after="200"/>
      </w:pPr>
    </w:p>
    <w:p>
      <w:pPr>
        <w:pStyle w:val="Heading2"/>
        <w:spacing w:after="200" w:before="300"/>
      </w:pPr>
      <w:r>
        <w:rPr>
          <w:rFonts w:ascii="Arial" w:cs="Arial" w:eastAsia="Arial" w:hAnsi="Arial"/>
        </w:rPr>
        <w:t xml:space="preserve">Security as Integral Architecture Principle</w:t>
      </w:r>
    </w:p>
    <w:p>
      <w:pPr>
        <w:spacing w:after="160" w:line="300"/>
      </w:pPr>
      <w:r>
        <w:rPr>
          <w:rFonts w:ascii="Arial" w:cs="Arial" w:eastAsia="Arial" w:hAnsi="Arial"/>
          <w:b w:val="false"/>
          <w:bCs w:val="false"/>
          <w:i w:val="false"/>
          <w:iCs w:val="false"/>
          <w:color w:val="333333"/>
          <w:sz w:val="22"/>
          <w:szCs w:val="22"/>
        </w:rPr>
        <w:t xml:space="preserve">CTL-209's emphasis on security as an 'integral component of enterprise architecture' rather than a bolted-on control is architecturally sound and represents mature security thinking. A reference architecture that embeds security into design decisions (rather than adding security controls after design) reduces security debt and improves system resilience. The challenge is that this principle, while embedded in controls, should be formalized in a documented data architecture reference that guides teams making design decisions.</w:t>
      </w:r>
    </w:p>
    <w:p>
      <w:pPr>
        <w:pStyle w:val="Heading2"/>
        <w:spacing w:after="200" w:before="300"/>
      </w:pPr>
      <w:r>
        <w:rPr>
          <w:rFonts w:ascii="Arial" w:cs="Arial" w:eastAsia="Arial" w:hAnsi="Arial"/>
        </w:rPr>
        <w:t xml:space="preserve">Data Domain Proliferation Without Technology Governance</w:t>
      </w:r>
    </w:p>
    <w:p>
      <w:pPr>
        <w:spacing w:after="160" w:line="300"/>
      </w:pPr>
      <w:r>
        <w:rPr>
          <w:rFonts w:ascii="Arial" w:cs="Arial" w:eastAsia="Arial" w:hAnsi="Arial"/>
          <w:b w:val="false"/>
          <w:bCs w:val="false"/>
          <w:i w:val="false"/>
          <w:iCs w:val="false"/>
          <w:color w:val="333333"/>
          <w:sz w:val="22"/>
          <w:szCs w:val="22"/>
        </w:rPr>
        <w:t xml:space="preserve">The 90 documented data domains should be provisioned on standardized technology stacks that conform to reference architecture. However, the knowledge graph does not reflect a systematic mapping between data domains and their underlying technology platforms. It is unclear, for example, how many of the 90 domains are hosted on deprecated platforms that should be migrated, how many conform to Azure/Databricks standards versus legacy systems, or what the prioritization framework is for technology migrations. Without this visibility, the organization cannot enforce technology standardization across the data domain portfolio.</w:t>
      </w:r>
    </w:p>
    <w:p>
      <w:pPr>
        <w:pStyle w:val="Heading2"/>
        <w:spacing w:after="200" w:before="300"/>
      </w:pPr>
      <w:r>
        <w:rPr>
          <w:rFonts w:ascii="Arial" w:cs="Arial" w:eastAsia="Arial" w:hAnsi="Arial"/>
        </w:rPr>
        <w:t xml:space="preserve">Vendor Lock-In Risk in Multi-Platform Environment</w:t>
      </w:r>
    </w:p>
    <w:p>
      <w:pPr>
        <w:spacing w:after="160" w:line="300"/>
      </w:pPr>
      <w:r>
        <w:rPr>
          <w:rFonts w:ascii="Arial" w:cs="Arial" w:eastAsia="Arial" w:hAnsi="Arial"/>
          <w:b w:val="false"/>
          <w:bCs w:val="false"/>
          <w:i w:val="false"/>
          <w:iCs w:val="false"/>
          <w:color w:val="333333"/>
          <w:sz w:val="22"/>
          <w:szCs w:val="22"/>
        </w:rPr>
        <w:t xml:space="preserve">The deployment of both AWS and Azure capabilities, combined with recent high-profile integrations with Sema4.ai and Palantir Foundry, creates potential vendor lock-in risk if technology selections are made project-by-project without a formalized multi-cloud strategy. Palantir's Foundry platform, in particular, creates deep architectural dependencies and lock-in risk. A mature reference architecture would explicitly document multi-cloud strategy, including: which workloads are appropriate for each platform, how data moves between platforms, what the exit strategy is for vendor-specific features, and how architectural decisions prevent lock-in.</w:t>
      </w:r>
    </w:p>
    <w:p>
      <w:pPr>
        <w:pStyle w:val="ListParagraph"/>
        <w:numPr>
          <w:ilvl w:val="0"/>
          <w:numId w:val="2"/>
        </w:numPr>
        <w:spacing w:after="100" w:line="280"/>
      </w:pPr>
      <w:r>
        <w:rPr>
          <w:rFonts w:ascii="Arial" w:cs="Arial" w:eastAsia="Arial" w:hAnsi="Arial"/>
          <w:color w:val="333333"/>
          <w:sz w:val="22"/>
          <w:szCs w:val="22"/>
        </w:rPr>
        <w:t xml:space="preserve">Reference architecture not documented as standalone artifact; standards are embedded in controls (CTL-209, CTL-204, CTL-240)</w:t>
      </w:r>
    </w:p>
    <w:p>
      <w:pPr>
        <w:pStyle w:val="ListParagraph"/>
        <w:numPr>
          <w:ilvl w:val="0"/>
          <w:numId w:val="2"/>
        </w:numPr>
        <w:spacing w:after="100" w:line="280"/>
      </w:pPr>
      <w:r>
        <w:rPr>
          <w:rFonts w:ascii="Arial" w:cs="Arial" w:eastAsia="Arial" w:hAnsi="Arial"/>
          <w:color w:val="333333"/>
          <w:sz w:val="22"/>
          <w:szCs w:val="22"/>
        </w:rPr>
        <w:t xml:space="preserve">Multi-cloud strategy (AWS/Azure) not formally specified; no documented decision framework for platform selection</w:t>
      </w:r>
    </w:p>
    <w:p>
      <w:pPr>
        <w:pStyle w:val="ListParagraph"/>
        <w:numPr>
          <w:ilvl w:val="0"/>
          <w:numId w:val="2"/>
        </w:numPr>
        <w:spacing w:after="100" w:line="280"/>
      </w:pPr>
      <w:r>
        <w:rPr>
          <w:rFonts w:ascii="Arial" w:cs="Arial" w:eastAsia="Arial" w:hAnsi="Arial"/>
          <w:color w:val="333333"/>
          <w:sz w:val="22"/>
          <w:szCs w:val="22"/>
        </w:rPr>
        <w:t xml:space="preserve">Technology stack for 90 data domains not mapped to reference architecture standards</w:t>
      </w:r>
    </w:p>
    <w:p>
      <w:pPr>
        <w:pStyle w:val="ListParagraph"/>
        <w:numPr>
          <w:ilvl w:val="0"/>
          <w:numId w:val="2"/>
        </w:numPr>
        <w:spacing w:after="100" w:line="280"/>
      </w:pPr>
      <w:r>
        <w:rPr>
          <w:rFonts w:ascii="Arial" w:cs="Arial" w:eastAsia="Arial" w:hAnsi="Arial"/>
          <w:color w:val="333333"/>
          <w:sz w:val="22"/>
          <w:szCs w:val="22"/>
        </w:rPr>
        <w:t xml:space="preserve">Data platform technology standards (Azure/Databricks/Synapse/Snowflake) not formally published with selection criteria</w:t>
      </w:r>
    </w:p>
    <w:p>
      <w:pPr>
        <w:pStyle w:val="ListParagraph"/>
        <w:numPr>
          <w:ilvl w:val="0"/>
          <w:numId w:val="2"/>
        </w:numPr>
        <w:spacing w:after="100" w:line="280"/>
      </w:pPr>
      <w:r>
        <w:rPr>
          <w:rFonts w:ascii="Arial" w:cs="Arial" w:eastAsia="Arial" w:hAnsi="Arial"/>
          <w:color w:val="333333"/>
          <w:sz w:val="22"/>
          <w:szCs w:val="22"/>
        </w:rPr>
        <w:t xml:space="preserve">Sema4.ai and Palantir Foundry integrations deployed without documented vendor lock-in risk assessment</w:t>
      </w:r>
    </w:p>
    <w:p>
      <w:pPr>
        <w:pStyle w:val="ListParagraph"/>
        <w:numPr>
          <w:ilvl w:val="0"/>
          <w:numId w:val="2"/>
        </w:numPr>
        <w:spacing w:after="100" w:line="280"/>
      </w:pPr>
      <w:r>
        <w:rPr>
          <w:rFonts w:ascii="Arial" w:cs="Arial" w:eastAsia="Arial" w:hAnsi="Arial"/>
          <w:color w:val="333333"/>
          <w:sz w:val="22"/>
          <w:szCs w:val="22"/>
        </w:rPr>
        <w:t xml:space="preserve">No documented technology deprecation roadmap or legacy platform migration strategy visible</w:t>
      </w:r>
    </w:p>
    <w:p>
      <w:r>
        <w:br w:type="page"/>
      </w:r>
    </w:p>
    <w:p>
      <w:pPr>
        <w:pStyle w:val="Heading1"/>
        <w:spacing w:after="200" w:before="300"/>
      </w:pPr>
      <w:r>
        <w:rPr>
          <w:rFonts w:ascii="Arial" w:cs="Arial" w:eastAsia="Arial" w:hAnsi="Arial"/>
        </w:rPr>
        <w:t xml:space="preserve">6. Cross-Cutting Analysis: Integration, Acquisition, and Organizational Challenges</w:t>
      </w:r>
    </w:p>
    <w:p>
      <w:pPr>
        <w:pStyle w:val="Heading2"/>
        <w:spacing w:after="200" w:before="300"/>
      </w:pPr>
      <w:r>
        <w:rPr>
          <w:rFonts w:ascii="Arial" w:cs="Arial" w:eastAsia="Arial" w:hAnsi="Arial"/>
        </w:rPr>
        <w:t xml:space="preserve">The Multi-Acquisition Integration Challenge</w:t>
      </w:r>
    </w:p>
    <w:p>
      <w:pPr>
        <w:spacing w:after="160" w:line="300"/>
      </w:pPr>
      <w:r>
        <w:rPr>
          <w:rFonts w:ascii="Arial" w:cs="Arial" w:eastAsia="Arial" w:hAnsi="Arial"/>
          <w:b w:val="false"/>
          <w:bCs w:val="false"/>
          <w:i w:val="false"/>
          <w:iCs w:val="false"/>
          <w:color w:val="333333"/>
          <w:sz w:val="22"/>
          <w:szCs w:val="22"/>
        </w:rPr>
        <w:t xml:space="preserve">Rackspace's acquisition strategy has added $1.7B in assets through four major acquisitions: Datapipe ($1B, 2017), Onica ($316M), RelationEdge ($65M), and TriCore ($335M). These acquisitions were intended to accelerate cloud capabilities, data architecture expertise, and AI/ML platform integration. However, 8+ years after the first acquisition (Datapipe in 2017), integration remains incomplete at approximately 50%. The Datapipe legacy DNS infrastructure (sys-048) continues in production under 'partial integration' status. Separate legal entities persist, duplicate systems remain operational, and the organization faces a strategic choice: invest an estimated $50-100M capex to complete integration, or accept a permanent 20-30% cost penalty from operating duplicate systems.</w:t>
      </w:r>
    </w:p>
    <w:p>
      <w:pPr>
        <w:spacing w:after="160" w:line="300"/>
      </w:pPr>
      <w:r>
        <w:rPr>
          <w:rFonts w:ascii="Arial" w:cs="Arial" w:eastAsia="Arial" w:hAnsi="Arial"/>
          <w:b w:val="false"/>
          <w:bCs w:val="false"/>
          <w:i w:val="false"/>
          <w:iCs w:val="false"/>
          <w:color w:val="333333"/>
          <w:sz w:val="22"/>
          <w:szCs w:val="22"/>
        </w:rPr>
        <w:t xml:space="preserve">This integration backlog directly impacts Capability 4 maturity. Unified data architecture standards cannot be enforced across operationally separate legal entities. Each acquisition brings its own data models, integration patterns, database technology selections, and governance frameworks. The enterprise cannot achieve mature (Level 4+) data architecture maturity until acquisition integration is substantially complete. The 50% completion rate means 50% of enterprise systems operate under post-acquisition standardization, and 50% under legacy acquisition standards. This architectural fragmentation limits the scalability and coherence of enterprise-grade architecture governance.</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ACQUISITION INTEGRATION STATUS (8+ YEARS POST-ACQUISITION)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ACQUISITION      ACQUISITION DATE  INTEGRATION  SYSTEMS  COST     │</w:t>
      </w:r>
    </w:p>
    <w:p>
      <w:pPr>
        <w:spacing w:after="0" w:line="240"/>
      </w:pPr>
      <w:r>
        <w:rPr>
          <w:rFonts w:ascii="Courier New" w:cs="Courier New" w:eastAsia="Courier New" w:hAnsi="Courier New"/>
          <w:color w:val="1B3A5C"/>
          <w:sz w:val="16"/>
          <w:szCs w:val="16"/>
        </w:rPr>
        <w:t xml:space="preserve">│   ────────────   ──────────  STATUS        STATUS   ESTIMATE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Datapipe        2017 (8+ years)   50%          Dup.    $50-100M   │</w:t>
      </w:r>
    </w:p>
    <w:p>
      <w:pPr>
        <w:spacing w:after="0" w:line="240"/>
      </w:pPr>
      <w:r>
        <w:rPr>
          <w:rFonts w:ascii="Courier New" w:cs="Courier New" w:eastAsia="Courier New" w:hAnsi="Courier New"/>
          <w:color w:val="1B3A5C"/>
          <w:sz w:val="16"/>
          <w:szCs w:val="16"/>
        </w:rPr>
        <w:t xml:space="preserve">│   Onica           ~2018-2019        50%          Dup.    to         │</w:t>
      </w:r>
    </w:p>
    <w:p>
      <w:pPr>
        <w:spacing w:after="0" w:line="240"/>
      </w:pPr>
      <w:r>
        <w:rPr>
          <w:rFonts w:ascii="Courier New" w:cs="Courier New" w:eastAsia="Courier New" w:hAnsi="Courier New"/>
          <w:color w:val="1B3A5C"/>
          <w:sz w:val="16"/>
          <w:szCs w:val="16"/>
        </w:rPr>
        <w:t xml:space="preserve">│   RelationEdge    ~2019-2020        50%          Dup.    Complete   │</w:t>
      </w:r>
    </w:p>
    <w:p>
      <w:pPr>
        <w:spacing w:after="0" w:line="240"/>
      </w:pPr>
      <w:r>
        <w:rPr>
          <w:rFonts w:ascii="Courier New" w:cs="Courier New" w:eastAsia="Courier New" w:hAnsi="Courier New"/>
          <w:color w:val="1B3A5C"/>
          <w:sz w:val="16"/>
          <w:szCs w:val="16"/>
        </w:rPr>
        <w:t xml:space="preserve">│   TriCore         ~2020             50%          Dup.    OR         │</w:t>
      </w:r>
    </w:p>
    <w:p>
      <w:pPr>
        <w:spacing w:after="0" w:line="240"/>
      </w:pPr>
      <w:r>
        <w:rPr>
          <w:rFonts w:ascii="Courier New" w:cs="Courier New" w:eastAsia="Courier New" w:hAnsi="Courier New"/>
          <w:color w:val="1B3A5C"/>
          <w:sz w:val="16"/>
          <w:szCs w:val="16"/>
        </w:rPr>
        <w:t xml:space="preserve">│                                                          20-30%     │</w:t>
      </w:r>
    </w:p>
    <w:p>
      <w:pPr>
        <w:spacing w:after="0" w:line="240"/>
      </w:pPr>
      <w:r>
        <w:rPr>
          <w:rFonts w:ascii="Courier New" w:cs="Courier New" w:eastAsia="Courier New" w:hAnsi="Courier New"/>
          <w:color w:val="1B3A5C"/>
          <w:sz w:val="16"/>
          <w:szCs w:val="16"/>
        </w:rPr>
        <w:t xml:space="preserve">│   TOTAL: $1.7B                      50%          50%     Penalty    │</w:t>
      </w:r>
    </w:p>
    <w:p>
      <w:pPr>
        <w:spacing w:after="0" w:line="240"/>
      </w:pPr>
      <w:r>
        <w:rPr>
          <w:rFonts w:ascii="Courier New" w:cs="Courier New" w:eastAsia="Courier New" w:hAnsi="Courier New"/>
          <w:color w:val="1B3A5C"/>
          <w:sz w:val="16"/>
          <w:szCs w:val="16"/>
        </w:rPr>
        <w:t xml:space="preserve">│   IMPACT                             COMPLETE    PERSIST if Aban.  │</w:t>
      </w:r>
    </w:p>
    <w:p>
      <w:pPr>
        <w:spacing w:after="0" w:line="240"/>
      </w:pPr>
      <w:r>
        <w:rPr>
          <w:rFonts w:ascii="Courier New" w:cs="Courier New" w:eastAsia="Courier New" w:hAnsi="Courier New"/>
          <w:color w:val="1B3A5C"/>
          <w:sz w:val="16"/>
          <w:szCs w:val="16"/>
        </w:rPr>
        <w:t xml:space="preserve">│                                                          doned      │</w:t>
      </w:r>
    </w:p>
    <w:p>
      <w:pPr>
        <w:spacing w:after="0" w:line="240"/>
      </w:pPr>
      <w:r>
        <w:rPr>
          <w:rFonts w:ascii="Courier New" w:cs="Courier New" w:eastAsia="Courier New" w:hAnsi="Courier New"/>
          <w:color w:val="1B3A5C"/>
          <w:sz w:val="16"/>
          <w:szCs w:val="16"/>
        </w:rPr>
        <w:t xml:space="preserve">│   ARCHITECTURAL IMPLICATION:                                       │</w:t>
      </w:r>
    </w:p>
    <w:p>
      <w:pPr>
        <w:spacing w:after="0" w:line="240"/>
      </w:pPr>
      <w:r>
        <w:rPr>
          <w:rFonts w:ascii="Courier New" w:cs="Courier New" w:eastAsia="Courier New" w:hAnsi="Courier New"/>
          <w:color w:val="1B3A5C"/>
          <w:sz w:val="16"/>
          <w:szCs w:val="16"/>
        </w:rPr>
        <w:t xml:space="preserve">│   - 50% of enterprise operates post-integration standards           │</w:t>
      </w:r>
    </w:p>
    <w:p>
      <w:pPr>
        <w:spacing w:after="0" w:line="240"/>
      </w:pPr>
      <w:r>
        <w:rPr>
          <w:rFonts w:ascii="Courier New" w:cs="Courier New" w:eastAsia="Courier New" w:hAnsi="Courier New"/>
          <w:color w:val="1B3A5C"/>
          <w:sz w:val="16"/>
          <w:szCs w:val="16"/>
        </w:rPr>
        <w:t xml:space="preserve">│   - 50% of enterprise operates legacy acquisition standards         │</w:t>
      </w:r>
    </w:p>
    <w:p>
      <w:pPr>
        <w:spacing w:after="0" w:line="240"/>
      </w:pPr>
      <w:r>
        <w:rPr>
          <w:rFonts w:ascii="Courier New" w:cs="Courier New" w:eastAsia="Courier New" w:hAnsi="Courier New"/>
          <w:color w:val="1B3A5C"/>
          <w:sz w:val="16"/>
          <w:szCs w:val="16"/>
        </w:rPr>
        <w:t xml:space="preserve">│   - Unified data architecture governance cannot scale              │</w:t>
      </w:r>
    </w:p>
    <w:p>
      <w:pPr>
        <w:spacing w:after="0" w:line="240"/>
      </w:pPr>
      <w:r>
        <w:rPr>
          <w:rFonts w:ascii="Courier New" w:cs="Courier New" w:eastAsia="Courier New" w:hAnsi="Courier New"/>
          <w:color w:val="1B3A5C"/>
          <w:sz w:val="16"/>
          <w:szCs w:val="16"/>
        </w:rPr>
        <w:t xml:space="preserve">│   - sys-048 (Datapipe DNS) still in production, partial integ.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w:t>
      </w:r>
    </w:p>
    <w:p>
      <w:pPr>
        <w:spacing w:after="200"/>
      </w:pPr>
    </w:p>
    <w:p>
      <w:pPr>
        <w:pStyle w:val="Heading2"/>
        <w:spacing w:after="200" w:before="300"/>
      </w:pPr>
      <w:r>
        <w:rPr>
          <w:rFonts w:ascii="Arial" w:cs="Arial" w:eastAsia="Arial" w:hAnsi="Arial"/>
        </w:rPr>
        <w:t xml:space="preserve">Services-Facing Capability vs. Internal Enterprise Capability Disconnect</w:t>
      </w:r>
    </w:p>
    <w:p>
      <w:pPr>
        <w:spacing w:after="160" w:line="300"/>
      </w:pPr>
      <w:r>
        <w:rPr>
          <w:rFonts w:ascii="Arial" w:cs="Arial" w:eastAsia="Arial" w:hAnsi="Arial"/>
          <w:b w:val="false"/>
          <w:bCs w:val="false"/>
          <w:i w:val="false"/>
          <w:iCs w:val="false"/>
          <w:color w:val="333333"/>
          <w:sz w:val="22"/>
          <w:szCs w:val="22"/>
        </w:rPr>
        <w:t xml:space="preserve">Rackspace maintains sophisticated data architecture capabilities deployed on behalf of customers: Solutions Architecture (dept-031, 126 HC, $22.1M) delivers pre-sales cloud architecture; Data Modernization (dept-069, 10 HC, $1.56M) delivers customer data lake and migration services; Application Integration (dept-213, 5 HC, $780K) manages customer integrations. These departments collectively represent $24.44M in annual investment in customer-facing data architecture services. By contrast, the internal enterprise data architecture discipline (role-148 Data Architect in dept-072) operates with far fewer dedicated resources and organizational authority. The organization is better positioned to architect data solutions for paying customers than to architect its own enterprise data infrastructure.</w:t>
      </w:r>
    </w:p>
    <w:p>
      <w:pPr>
        <w:spacing w:after="160" w:line="300"/>
      </w:pPr>
      <w:r>
        <w:rPr>
          <w:rFonts w:ascii="Arial" w:cs="Arial" w:eastAsia="Arial" w:hAnsi="Arial"/>
          <w:b w:val="false"/>
          <w:bCs w:val="false"/>
          <w:i w:val="false"/>
          <w:iCs w:val="false"/>
          <w:color w:val="333333"/>
          <w:sz w:val="22"/>
          <w:szCs w:val="22"/>
        </w:rPr>
        <w:t xml:space="preserve">This organizational inversion reflects a business-model priority (customer revenue-generating services over internal operations), but it creates architectural capability mismatches. The architects designing customer data lakes have not systematically documented their design patterns and standards for internal reuse. The integration architects managing thousands of customer integrations have not standardized those patterns for internal integration governance. The solutions architects advising customers have not formalized their cloud-first strategy into internal reference architecture standards. The capability exists but is not leveraged internally.</w:t>
      </w:r>
    </w:p>
    <w:p>
      <w:pPr>
        <w:spacing w:after="160" w:line="300"/>
      </w:pPr>
      <w:r>
        <w:rPr>
          <w:rFonts w:ascii="Arial" w:cs="Arial" w:eastAsia="Arial" w:hAnsi="Arial"/>
          <w:b w:val="false"/>
          <w:bCs w:val="false"/>
          <w:i w:val="false"/>
          <w:iCs w:val="false"/>
          <w:color w:val="333333"/>
          <w:sz w:val="22"/>
          <w:szCs w:val="22"/>
        </w:rPr>
        <w:t xml:space="preserve">Addressing this disconnect would not require additional headcount or capital investment, but rather a strategic decision to systematize customer-facing architectural expertise into internal standards and governance frameworks. Much of the technical knowledge, patterns, and best practices already exist within the customer-facing departments. The opportunity is to capture and formalize that knowledge for internal application.</w:t>
      </w:r>
    </w:p>
    <w:p>
      <w:pPr>
        <w:pStyle w:val="Heading2"/>
        <w:spacing w:after="200" w:before="300"/>
      </w:pPr>
      <w:r>
        <w:rPr>
          <w:rFonts w:ascii="Arial" w:cs="Arial" w:eastAsia="Arial" w:hAnsi="Arial"/>
        </w:rPr>
        <w:t xml:space="preserve">Metadata Completeness and Architecture Documentation Gap</w:t>
      </w:r>
    </w:p>
    <w:p>
      <w:pPr>
        <w:spacing w:after="160" w:line="300"/>
      </w:pPr>
      <w:r>
        <w:rPr>
          <w:rFonts w:ascii="Arial" w:cs="Arial" w:eastAsia="Arial" w:hAnsi="Arial"/>
          <w:b w:val="false"/>
          <w:bCs w:val="false"/>
          <w:i w:val="false"/>
          <w:iCs w:val="false"/>
          <w:color w:val="333333"/>
          <w:sz w:val="22"/>
          <w:szCs w:val="22"/>
        </w:rPr>
        <w:t xml:space="preserve">da-117 (Managed DW Metadata) at 55% metadata completeness directly limits architectural visibility and governance. Metadata completeness includes data model documentation, lineage, business definitions, and data quality attributes. When metadata is only 55% complete, architects and engineers lack full visibility into how data actually structures across the enterprise. This limited visibility constrains the ability to enforce consistent data modeling standards, design efficient integrations, or implement effective data governance. Architecture standards cannot be enforced across a landscape that is incompletely documented.</w:t>
      </w:r>
    </w:p>
    <w:p>
      <w:pPr>
        <w:pStyle w:val="Heading2"/>
        <w:spacing w:after="200" w:before="300"/>
      </w:pPr>
      <w:r>
        <w:rPr>
          <w:rFonts w:ascii="Arial" w:cs="Arial" w:eastAsia="Arial" w:hAnsi="Arial"/>
        </w:rPr>
        <w:t xml:space="preserve">Low-Confidence Policy Governance</w:t>
      </w:r>
    </w:p>
    <w:p>
      <w:pPr>
        <w:spacing w:after="160" w:line="300"/>
      </w:pPr>
      <w:r>
        <w:rPr>
          <w:rFonts w:ascii="Arial" w:cs="Arial" w:eastAsia="Arial" w:hAnsi="Arial"/>
          <w:b w:val="false"/>
          <w:bCs w:val="false"/>
          <w:i w:val="false"/>
          <w:iCs w:val="false"/>
          <w:color w:val="333333"/>
          <w:sz w:val="22"/>
          <w:szCs w:val="22"/>
        </w:rPr>
        <w:t xml:space="preserve">CTL-304 enforces POL-073 at confidence 0.8 and weight 0.6. The weight of 0.6 is notably the lowest weight observed in governance relationships across the knowledge graph and indicates weak enforcement. Additionally, dd-014 (Customer Data Lake and Warehouse Data) is subject to POL-073 at confidence 0.6, indicating uncertainty about whether this major data asset is even governed by the architecture policy. For critical policies and data assets, confidence and weight should be 0.95+. The low confidence values suggest either incomplete knowledge graph population or genuinely weak governance relationships in the actual enterprise.</w:t>
      </w:r>
    </w:p>
    <w:p>
      <w:r>
        <w:br w:type="page"/>
      </w:r>
    </w:p>
    <w:p>
      <w:pPr>
        <w:pStyle w:val="Heading1"/>
        <w:spacing w:after="200" w:before="300"/>
      </w:pPr>
      <w:r>
        <w:rPr>
          <w:rFonts w:ascii="Arial" w:cs="Arial" w:eastAsia="Arial" w:hAnsi="Arial"/>
        </w:rPr>
        <w:t xml:space="preserve">7. Recommendations and Capability Advancement Path</w:t>
      </w:r>
    </w:p>
    <w:p>
      <w:pPr>
        <w:pStyle w:val="Heading2"/>
        <w:spacing w:after="200" w:before="300"/>
      </w:pPr>
      <w:r>
        <w:rPr>
          <w:rFonts w:ascii="Arial" w:cs="Arial" w:eastAsia="Arial" w:hAnsi="Arial"/>
        </w:rPr>
        <w:t xml:space="preserve">R1: Formalize and Operationalize the Architecture Review Board (ARB)</w:t>
      </w:r>
    </w:p>
    <w:p>
      <w:pPr>
        <w:spacing w:after="160" w:line="300"/>
      </w:pPr>
      <w:r>
        <w:rPr>
          <w:rFonts w:ascii="Arial" w:cs="Arial" w:eastAsia="Arial" w:hAnsi="Arial"/>
          <w:b w:val="false"/>
          <w:bCs w:val="false"/>
          <w:i w:val="false"/>
          <w:iCs w:val="false"/>
          <w:color w:val="333333"/>
          <w:sz w:val="22"/>
          <w:szCs w:val="22"/>
        </w:rPr>
        <w:t xml:space="preserve">Current State: CTL-304 references architecture review board validation as the mechanism for enforcing data architecture standards. However, the ARB does not exist as a documented entity in the knowledge graph. There is no ARB charter, no formal meeting cadence, no escalation authority, and no documentation process.</w:t>
      </w:r>
    </w:p>
    <w:p>
      <w:pPr>
        <w:spacing w:after="160" w:line="300"/>
      </w:pPr>
      <w:r>
        <w:rPr>
          <w:rFonts w:ascii="Arial" w:cs="Arial" w:eastAsia="Arial" w:hAnsi="Arial"/>
          <w:b w:val="false"/>
          <w:bCs w:val="false"/>
          <w:i w:val="false"/>
          <w:iCs w:val="false"/>
          <w:color w:val="333333"/>
          <w:sz w:val="22"/>
          <w:szCs w:val="22"/>
        </w:rPr>
        <w:t xml:space="preserve">Recommended Action: Establish a formal Enterprise Data Architecture Review Board with: (a) Documented charter defining purpose, scope, authority, and escalation procedures; (b) Defined membership including Data Architect (role-148), Application Integration Architect (role-283), representatives from Data Governance (dept-070), Database Administration (dept-072), and Solutions Architecture (dept-031); (c) Established meeting cadence (monthly for reviews, quarterly for roadmap alignment); (d) Documented review criteria for new integrations, data models, and technology selections; (e) Architecture decision record (ADR) template and process for documenting decisions; (f) Clear authority to approve or reject proposals that violate architectural standards, with defined escalation to CTO/Chief Architect for disputes.</w:t>
      </w:r>
    </w:p>
    <w:p>
      <w:pPr>
        <w:spacing w:after="160" w:line="300"/>
      </w:pPr>
      <w:r>
        <w:rPr>
          <w:rFonts w:ascii="Arial" w:cs="Arial" w:eastAsia="Arial" w:hAnsi="Arial"/>
          <w:b w:val="false"/>
          <w:bCs w:val="false"/>
          <w:i w:val="false"/>
          <w:iCs w:val="false"/>
          <w:color w:val="333333"/>
          <w:sz w:val="22"/>
          <w:szCs w:val="22"/>
        </w:rPr>
        <w:t xml:space="preserve">Target Outcome: By Q3 2026, the ARB is formalized with documented charter, first quarterly review cycle is completed with decisions recorded in architecture decision records, and at least 90% of significant new data architecture initiatives have been reviewed and approved (or conditionally approved with architectural requirements) before implementation.</w:t>
      </w:r>
    </w:p>
    <w:p>
      <w:pPr>
        <w:pStyle w:val="Heading2"/>
        <w:spacing w:after="200" w:before="300"/>
      </w:pPr>
      <w:r>
        <w:rPr>
          <w:rFonts w:ascii="Arial" w:cs="Arial" w:eastAsia="Arial" w:hAnsi="Arial"/>
        </w:rPr>
        <w:t xml:space="preserve">R2: Establish Compliance Measurement Framework for POL-073 and CTL-304</w:t>
      </w:r>
    </w:p>
    <w:p>
      <w:pPr>
        <w:spacing w:after="160" w:line="300"/>
      </w:pPr>
      <w:r>
        <w:rPr>
          <w:rFonts w:ascii="Arial" w:cs="Arial" w:eastAsia="Arial" w:hAnsi="Arial"/>
          <w:b w:val="false"/>
          <w:bCs w:val="false"/>
          <w:i w:val="false"/>
          <w:iCs w:val="false"/>
          <w:color w:val="333333"/>
          <w:sz w:val="22"/>
          <w:szCs w:val="22"/>
        </w:rPr>
        <w:t xml:space="preserve">Current State: POL-073 has null compliance_measurement (metric_name, target_value, current_value, measurement_method, frequency all empty). The policy exists but is unmeasured and therefore unenforceable.</w:t>
      </w:r>
    </w:p>
    <w:p>
      <w:pPr>
        <w:spacing w:after="160" w:line="300"/>
      </w:pPr>
      <w:r>
        <w:rPr>
          <w:rFonts w:ascii="Arial" w:cs="Arial" w:eastAsia="Arial" w:hAnsi="Arial"/>
          <w:b w:val="false"/>
          <w:bCs w:val="false"/>
          <w:i w:val="false"/>
          <w:iCs w:val="false"/>
          <w:color w:val="333333"/>
          <w:sz w:val="22"/>
          <w:szCs w:val="22"/>
        </w:rPr>
        <w:t xml:space="preserve">Recommended Action: Define a comprehensive compliance measurement framework with specific metrics: (a) Metric 1 - Architecture Governance Coverage: Percentage of new integrations (target: 95%) evaluated by ARB before deployment; (b) Metric 2 - Data Model Standards Conformance: Percentage of data domains (target: 90%) with documented logical data models conforming to enterprise meta-model; (c) Metric 3 - API Standards Adherence: Percentage of APIs (target: 95%) documented with version, lifecycle, security controls, and SLA specifications; (d) Metric 4 - Integration Pattern Standardization: Percentage of integrations (target: 85%) following documented integration patterns; (e) Baseline measurement (Month 1), quarterly trending, with annual review of targets and methods.</w:t>
      </w:r>
    </w:p>
    <w:p>
      <w:pPr>
        <w:spacing w:after="160" w:line="300"/>
      </w:pPr>
      <w:r>
        <w:rPr>
          <w:rFonts w:ascii="Arial" w:cs="Arial" w:eastAsia="Arial" w:hAnsi="Arial"/>
          <w:b w:val="false"/>
          <w:bCs w:val="false"/>
          <w:i w:val="false"/>
          <w:iCs w:val="false"/>
          <w:color w:val="333333"/>
          <w:sz w:val="22"/>
          <w:szCs w:val="22"/>
        </w:rPr>
        <w:t xml:space="preserve">Target Outcome: By Q2 2026, compliance measurement framework is implemented and baseline measurements completed. By Q4 2026, quarterly trending shows improvement in architectural standards compliance across all metrics, and CTL-304 can document control effectiveness through actual compliance evidence.</w:t>
      </w:r>
    </w:p>
    <w:p>
      <w:pPr>
        <w:pStyle w:val="Heading2"/>
        <w:spacing w:after="200" w:before="300"/>
      </w:pPr>
      <w:r>
        <w:rPr>
          <w:rFonts w:ascii="Arial" w:cs="Arial" w:eastAsia="Arial" w:hAnsi="Arial"/>
        </w:rPr>
        <w:t xml:space="preserve">R3: Develop and Publish Enterprise Data Architecture Reference Document</w:t>
      </w:r>
    </w:p>
    <w:p>
      <w:pPr>
        <w:spacing w:after="160" w:line="300"/>
      </w:pPr>
      <w:r>
        <w:rPr>
          <w:rFonts w:ascii="Arial" w:cs="Arial" w:eastAsia="Arial" w:hAnsi="Arial"/>
          <w:b w:val="false"/>
          <w:bCs w:val="false"/>
          <w:i w:val="false"/>
          <w:iCs w:val="false"/>
          <w:color w:val="333333"/>
          <w:sz w:val="22"/>
          <w:szCs w:val="22"/>
        </w:rPr>
        <w:t xml:space="preserve">Current State: Architecture standards are embedded in controls and role descriptions but not published as a coherent reference architecture document that can be applied by teams making design decisions. The multi-cloud strategy (AWS/Azure) is not formalized. Data platform standards are not specified.</w:t>
      </w:r>
    </w:p>
    <w:p>
      <w:pPr>
        <w:spacing w:after="160" w:line="300"/>
      </w:pPr>
      <w:r>
        <w:rPr>
          <w:rFonts w:ascii="Arial" w:cs="Arial" w:eastAsia="Arial" w:hAnsi="Arial"/>
          <w:b w:val="false"/>
          <w:bCs w:val="false"/>
          <w:i w:val="false"/>
          <w:iCs w:val="false"/>
          <w:color w:val="333333"/>
          <w:sz w:val="22"/>
          <w:szCs w:val="22"/>
        </w:rPr>
        <w:t xml:space="preserve">Recommended Action: Author and publish an Enterprise Data Architecture Reference document (target: 50-75 pages) including: (a) Architecture principles (cloud-first, security-integrated, data-centric, etc.); (b) Reference data platform architecture showing primary platforms (Azure/Databricks for internal, AWS for customer-facing) and technology selection decision criteria; (c) Integration architecture patterns (API request-response, asynchronous messaging, event-driven, batch) with design guidance for when each pattern is appropriate; (d) Data modeling standards and meta-model definition showing enterprise entity relationships; (e) Security architecture requirements showing AD/authentication, encryption, defense-in-depth principles; (f) Technology deprecation roadmap for legacy platforms; (g) Acquisition integration target architecture showing post-integration-complete standards; (h) Technology exception process with clear authority levels for approval.</w:t>
      </w:r>
    </w:p>
    <w:p>
      <w:pPr>
        <w:spacing w:after="160" w:line="300"/>
      </w:pPr>
      <w:r>
        <w:rPr>
          <w:rFonts w:ascii="Arial" w:cs="Arial" w:eastAsia="Arial" w:hAnsi="Arial"/>
          <w:b w:val="false"/>
          <w:bCs w:val="false"/>
          <w:i w:val="false"/>
          <w:iCs w:val="false"/>
          <w:color w:val="333333"/>
          <w:sz w:val="22"/>
          <w:szCs w:val="22"/>
        </w:rPr>
        <w:t xml:space="preserve">Target Outcome: By Q3 2026, Enterprise Data Architecture Reference is published and socialized to all architects and engineering leaders. By end of Q4 2026, all new architecture initiatives must reference and conform to the published standards (unless granted documented exception through ARB).</w:t>
      </w:r>
    </w:p>
    <w:p>
      <w:pPr>
        <w:pStyle w:val="Heading2"/>
        <w:spacing w:after="200" w:before="300"/>
      </w:pPr>
      <w:r>
        <w:rPr>
          <w:rFonts w:ascii="Arial" w:cs="Arial" w:eastAsia="Arial" w:hAnsi="Arial"/>
        </w:rPr>
        <w:t xml:space="preserve">R4: Complete Multi-Acquisition System Integration (50% to 100%)</w:t>
      </w:r>
    </w:p>
    <w:p>
      <w:pPr>
        <w:spacing w:after="160" w:line="300"/>
      </w:pPr>
      <w:r>
        <w:rPr>
          <w:rFonts w:ascii="Arial" w:cs="Arial" w:eastAsia="Arial" w:hAnsi="Arial"/>
          <w:b w:val="false"/>
          <w:bCs w:val="false"/>
          <w:i w:val="false"/>
          <w:iCs w:val="false"/>
          <w:color w:val="333333"/>
          <w:sz w:val="22"/>
          <w:szCs w:val="22"/>
        </w:rPr>
        <w:t xml:space="preserve">Current State: Acquisition integration is 50% complete, 8+ years after first acquisition (Datapipe 2017). Datapipe legacy DNS (sys-048) remains in production. Separate legal entities persist. Estimated cost to complete: $50-100M capex. Cost penalty if abandoned: 20-30% permanent operational cost increase.</w:t>
      </w:r>
    </w:p>
    <w:p>
      <w:pPr>
        <w:spacing w:after="160" w:line="300"/>
      </w:pPr>
      <w:r>
        <w:rPr>
          <w:rFonts w:ascii="Arial" w:cs="Arial" w:eastAsia="Arial" w:hAnsi="Arial"/>
          <w:b w:val="false"/>
          <w:bCs w:val="false"/>
          <w:i w:val="false"/>
          <w:iCs w:val="false"/>
          <w:color w:val="333333"/>
          <w:sz w:val="22"/>
          <w:szCs w:val="22"/>
        </w:rPr>
        <w:t xml:space="preserve">Recommended Action: Conduct formal integration completion business case analysis: (a) Quantify actual current state operational costs of parallel systems (licensing, support, infrastructure, personnel); (b) Model completion costs ($50-100M capex estimate) with timeline; (c) Model ongoing dual-system costs over 5-year period; (d) Calculate net present value of completion vs. abandonment scenarios; (e) Identify critical path integration dependencies and risk factors for each acquisition. Based on analysis, develop a 24-30 month integration execution plan with quarterly milestones, clear ownership, and executive sponsorship.</w:t>
      </w:r>
    </w:p>
    <w:p>
      <w:pPr>
        <w:spacing w:after="160" w:line="300"/>
      </w:pPr>
      <w:r>
        <w:rPr>
          <w:rFonts w:ascii="Arial" w:cs="Arial" w:eastAsia="Arial" w:hAnsi="Arial"/>
          <w:b w:val="false"/>
          <w:bCs w:val="false"/>
          <w:i w:val="false"/>
          <w:iCs w:val="false"/>
          <w:color w:val="333333"/>
          <w:sz w:val="22"/>
          <w:szCs w:val="22"/>
        </w:rPr>
        <w:t xml:space="preserve">Target Outcome: By Q2 2026, business case completed and executive decision made on integration completion strategy. If completion chosen, 100% integration target by end of 2027. If dual-system operation continues, formalize separate governance frameworks for post-acquisition vs. legacy acquisition systems with clear boundaries and migration timelines.</w:t>
      </w:r>
    </w:p>
    <w:p>
      <w:pPr>
        <w:pStyle w:val="Heading2"/>
        <w:spacing w:after="200" w:before="300"/>
      </w:pPr>
      <w:r>
        <w:rPr>
          <w:rFonts w:ascii="Arial" w:cs="Arial" w:eastAsia="Arial" w:hAnsi="Arial"/>
        </w:rPr>
        <w:t xml:space="preserve">R5: Leverage Customer-Facing Architectural Capability for Internal Standards</w:t>
      </w:r>
    </w:p>
    <w:p>
      <w:pPr>
        <w:spacing w:after="160" w:line="300"/>
      </w:pPr>
      <w:r>
        <w:rPr>
          <w:rFonts w:ascii="Arial" w:cs="Arial" w:eastAsia="Arial" w:hAnsi="Arial"/>
          <w:b w:val="false"/>
          <w:bCs w:val="false"/>
          <w:i w:val="false"/>
          <w:iCs w:val="false"/>
          <w:color w:val="333333"/>
          <w:sz w:val="22"/>
          <w:szCs w:val="22"/>
        </w:rPr>
        <w:t xml:space="preserve">Current State: Solutions Architecture (dept-031, 126 HC, $22.1M), Data Modernization (dept-069, 10 HC, $1.56M), and Application Integration (dept-213, 5 HC, $780K) deploy sophisticated data architecture for customers but do not systematically contribute to internal enterprise architecture standards.</w:t>
      </w:r>
    </w:p>
    <w:p>
      <w:pPr>
        <w:spacing w:after="160" w:line="300"/>
      </w:pPr>
      <w:r>
        <w:rPr>
          <w:rFonts w:ascii="Arial" w:cs="Arial" w:eastAsia="Arial" w:hAnsi="Arial"/>
          <w:b w:val="false"/>
          <w:bCs w:val="false"/>
          <w:i w:val="false"/>
          <w:iCs w:val="false"/>
          <w:color w:val="333333"/>
          <w:sz w:val="22"/>
          <w:szCs w:val="22"/>
        </w:rPr>
        <w:t xml:space="preserve">Recommended Action: Establish a bi-directional knowledge transfer program: (a) Quarterly architecture council meetings where customer-facing architects present patterns, lessons learned, and best practices they are implementing for customers; (b) Systematic documentation of customer-facing reference architectures for customer data lake, API management, and integration patterns, with permission to generalize for internal use; (c) Assignment of customer-facing architects to enterprise architecture working groups (e.g., Integration Architecture WG, Data Modeling WG) to contribute design expertise; (d) Customer-facing architecture patterns and design decisions feed into internal reference architecture evolution, ensuring customer-quality design is applied internally.</w:t>
      </w:r>
    </w:p>
    <w:p>
      <w:pPr>
        <w:spacing w:after="160" w:line="300"/>
      </w:pPr>
      <w:r>
        <w:rPr>
          <w:rFonts w:ascii="Arial" w:cs="Arial" w:eastAsia="Arial" w:hAnsi="Arial"/>
          <w:b w:val="false"/>
          <w:bCs w:val="false"/>
          <w:i w:val="false"/>
          <w:iCs w:val="false"/>
          <w:color w:val="333333"/>
          <w:sz w:val="22"/>
          <w:szCs w:val="22"/>
        </w:rPr>
        <w:t xml:space="preserve">Target Outcome: By Q3 2026, first integrated reference architecture patterns derived from customer-facing work are published. By end of 2026, at least 40% of internal architecture decisions explicitly reference customer-tested patterns and designs, creating internal-external architectural consistency.</w:t>
      </w:r>
    </w:p>
    <w:p>
      <w:pPr>
        <w:spacing w:after="200"/>
      </w:pPr>
    </w:p>
    <w:p>
      <w:pPr>
        <w:pStyle w:val="Heading3"/>
        <w:spacing w:after="200" w:before="300"/>
      </w:pPr>
      <w:r>
        <w:rPr>
          <w:rFonts w:ascii="Arial" w:cs="Arial" w:eastAsia="Arial" w:hAnsi="Arial"/>
        </w:rPr>
        <w:t xml:space="preserve">Capability Advancement Timeline</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CAPABILITY 4 ADVANCEMENT ROADMAP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2026 Q2            2026 Q3            2026 Q4           2027     │</w:t>
      </w:r>
    </w:p>
    <w:p>
      <w:pPr>
        <w:spacing w:after="0" w:line="240"/>
      </w:pPr>
      <w:r>
        <w:rPr>
          <w:rFonts w:ascii="Courier New" w:cs="Courier New" w:eastAsia="Courier New" w:hAnsi="Courier New"/>
          <w:color w:val="1B3A5C"/>
          <w:sz w:val="16"/>
          <w:szCs w:val="16"/>
        </w:rPr>
        <w:t xml:space="preserve">│   ──────────       ──────────       ──────────        ────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R1: ARB Charter   ARB 1st Review   2+ Cycles Comp.   Mature     │</w:t>
      </w:r>
    </w:p>
    <w:p>
      <w:pPr>
        <w:spacing w:after="0" w:line="240"/>
      </w:pPr>
      <w:r>
        <w:rPr>
          <w:rFonts w:ascii="Courier New" w:cs="Courier New" w:eastAsia="Courier New" w:hAnsi="Courier New"/>
          <w:color w:val="1B3A5C"/>
          <w:sz w:val="16"/>
          <w:szCs w:val="16"/>
        </w:rPr>
        <w:t xml:space="preserve">│   R2: Measurement  Baseline M'ment  Trending Q2/Q3    Optimized  │</w:t>
      </w:r>
    </w:p>
    <w:p>
      <w:pPr>
        <w:spacing w:after="0" w:line="240"/>
      </w:pPr>
      <w:r>
        <w:rPr>
          <w:rFonts w:ascii="Courier New" w:cs="Courier New" w:eastAsia="Courier New" w:hAnsi="Courier New"/>
          <w:color w:val="1B3A5C"/>
          <w:sz w:val="16"/>
          <w:szCs w:val="16"/>
        </w:rPr>
        <w:t xml:space="preserve">│   R3: Ref. Arch     Draft Circulate Published         Adopted    │</w:t>
      </w:r>
    </w:p>
    <w:p>
      <w:pPr>
        <w:spacing w:after="0" w:line="240"/>
      </w:pPr>
      <w:r>
        <w:rPr>
          <w:rFonts w:ascii="Courier New" w:cs="Courier New" w:eastAsia="Courier New" w:hAnsi="Courier New"/>
          <w:color w:val="1B3A5C"/>
          <w:sz w:val="16"/>
          <w:szCs w:val="16"/>
        </w:rPr>
        <w:t xml:space="preserve">│   R4: Acq. Decision  Plan if Pursue  Execution Start  50% -&gt; X%  │</w:t>
      </w:r>
    </w:p>
    <w:p>
      <w:pPr>
        <w:spacing w:after="0" w:line="240"/>
      </w:pPr>
      <w:r>
        <w:rPr>
          <w:rFonts w:ascii="Courier New" w:cs="Courier New" w:eastAsia="Courier New" w:hAnsi="Courier New"/>
          <w:color w:val="1B3A5C"/>
          <w:sz w:val="16"/>
          <w:szCs w:val="16"/>
        </w:rPr>
        <w:t xml:space="preserve">│   R5: KT Program    1st Arch Council Q2/Q3 Council   Systematic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EXPECTED CAPABILITY SCORE PROGRESSION:                          │</w:t>
      </w:r>
    </w:p>
    <w:p>
      <w:pPr>
        <w:spacing w:after="0" w:line="240"/>
      </w:pPr>
      <w:r>
        <w:rPr>
          <w:rFonts w:ascii="Courier New" w:cs="Courier New" w:eastAsia="Courier New" w:hAnsi="Courier New"/>
          <w:color w:val="1B3A5C"/>
          <w:sz w:val="16"/>
          <w:szCs w:val="16"/>
        </w:rPr>
        <w:t xml:space="preserve">│   Current: 3 (Defined) -&gt; End 2026: 3.5+ -&gt; End 2027: 4 (Managed)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w:t>
      </w:r>
    </w:p>
    <w:p>
      <w:pPr>
        <w:spacing w:after="200"/>
      </w:pPr>
    </w:p>
    <w:p>
      <w:r>
        <w:br w:type="page"/>
      </w:r>
    </w:p>
    <w:p>
      <w:pPr>
        <w:pStyle w:val="Heading1"/>
        <w:spacing w:after="200" w:before="300"/>
      </w:pPr>
      <w:r>
        <w:rPr>
          <w:rFonts w:ascii="Arial" w:cs="Arial" w:eastAsia="Arial" w:hAnsi="Arial"/>
        </w:rPr>
        <w:t xml:space="preserve">8. Knowledge Graph Evidence Summary</w:t>
      </w:r>
    </w:p>
    <w:p>
      <w:pPr>
        <w:pStyle w:val="Heading2"/>
        <w:spacing w:after="200" w:before="300"/>
      </w:pPr>
      <w:r>
        <w:rPr>
          <w:rFonts w:ascii="Arial" w:cs="Arial" w:eastAsia="Arial" w:hAnsi="Arial"/>
        </w:rPr>
        <w:t xml:space="preserve">Entity Evidence and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60"/>
        <w:gridCol w:w="16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Name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Confidence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Relevance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POL-073</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Arch &amp; Model Standards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Policy</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1.0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Primary governance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CTL-304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Arch Standards Enforcement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Control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0.8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Primary control, ARB ref</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CTL-209</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Enterprise Architecture PM-7</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Control</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0.95</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Cloud-first standard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CTL-204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Security Architecture PL-8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Control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0.95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Defense-in-depth</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role-148</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Architect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1.0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M1 in DBA dept-072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role-165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Senior Data Architect - Big 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0.95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AWS-focused, P4</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role-160</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Lead Data Engineer</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1.0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Azure/Databricks/Synapse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role-283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Application Integration Architect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0.95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API/middleware/ESB</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role-149</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Modeller - Healthcare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0.9</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Customer-facing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dept-072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Database Administration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Department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50 HC, $8.45M</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dept-069</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Modernization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Department</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1.0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10 HC, $1.56M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dept-031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Solutions Architecture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Department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126 HC, $22.1M</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dept-213</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Application Integration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Department</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1.0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5 HC, $780K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sys-048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Datapipe Legacy DNS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System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0.95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Partial integration</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sys-056</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Data Lake and Warehouse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System</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20"/>
                <w:szCs w:val="20"/>
              </w:rPr>
              <w:t xml:space="preserve">0.95</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Applies to CTL-304</w:t>
            </w:r>
          </w:p>
        </w:tc>
      </w:tr>
    </w:tbl>
    <w:p>
      <w:pPr>
        <w:spacing w:after="200"/>
      </w:pPr>
    </w:p>
    <w:p>
      <w:pPr>
        <w:pStyle w:val="Heading2"/>
        <w:spacing w:after="200" w:before="300"/>
      </w:pPr>
      <w:r>
        <w:rPr>
          <w:rFonts w:ascii="Arial" w:cs="Arial" w:eastAsia="Arial" w:hAnsi="Arial"/>
        </w:rPr>
        <w:t xml:space="preserve">Key Findings Synthesis</w:t>
      </w:r>
    </w:p>
    <w:p>
      <w:pPr>
        <w:pStyle w:val="ListParagraph"/>
        <w:numPr>
          <w:ilvl w:val="0"/>
          <w:numId w:val="3"/>
        </w:numPr>
        <w:spacing w:after="100" w:line="280"/>
      </w:pPr>
      <w:r>
        <w:rPr>
          <w:rFonts w:ascii="Arial" w:cs="Arial" w:eastAsia="Arial" w:hAnsi="Arial"/>
          <w:color w:val="333333"/>
          <w:sz w:val="22"/>
          <w:szCs w:val="22"/>
        </w:rPr>
        <w:t xml:space="preserve">POL-073 (Data Architecture and Modeling Standards Policy) is Technical severity, Enforced, with annual review, but compliance_measurement is entirely null (metric_name, target_value, current_value, measurement_method, frequency all empty)</w:t>
      </w:r>
    </w:p>
    <w:p>
      <w:pPr>
        <w:pStyle w:val="ListParagraph"/>
        <w:numPr>
          <w:ilvl w:val="0"/>
          <w:numId w:val="3"/>
        </w:numPr>
        <w:spacing w:after="100" w:line="280"/>
      </w:pPr>
      <w:r>
        <w:rPr>
          <w:rFonts w:ascii="Arial" w:cs="Arial" w:eastAsia="Arial" w:hAnsi="Arial"/>
          <w:color w:val="333333"/>
          <w:sz w:val="22"/>
          <w:szCs w:val="22"/>
        </w:rPr>
        <w:t xml:space="preserve">CTL-304 (Data Architecture Standards Enforcement) is Preventive/Implemented, enforces POL-073 at confidence 0.8 weight 0.6 (lowest observed), but KPIs are null, testing_approach is undefined, and effectiveness is null</w:t>
      </w:r>
    </w:p>
    <w:p>
      <w:pPr>
        <w:pStyle w:val="ListParagraph"/>
        <w:numPr>
          <w:ilvl w:val="0"/>
          <w:numId w:val="3"/>
        </w:numPr>
        <w:spacing w:after="100" w:line="280"/>
      </w:pPr>
      <w:r>
        <w:rPr>
          <w:rFonts w:ascii="Arial" w:cs="Arial" w:eastAsia="Arial" w:hAnsi="Arial"/>
          <w:color w:val="333333"/>
          <w:sz w:val="22"/>
          <w:szCs w:val="22"/>
        </w:rPr>
        <w:t xml:space="preserve">CTL-304 references 'Architecture review board validation' but no ARB entity exists in knowledge graph; no charter, cadence, or authority documented</w:t>
      </w:r>
    </w:p>
    <w:p>
      <w:pPr>
        <w:pStyle w:val="ListParagraph"/>
        <w:numPr>
          <w:ilvl w:val="0"/>
          <w:numId w:val="3"/>
        </w:numPr>
        <w:spacing w:after="100" w:line="280"/>
      </w:pPr>
      <w:r>
        <w:rPr>
          <w:rFonts w:ascii="Arial" w:cs="Arial" w:eastAsia="Arial" w:hAnsi="Arial"/>
          <w:color w:val="333333"/>
          <w:sz w:val="22"/>
          <w:szCs w:val="22"/>
        </w:rPr>
        <w:t xml:space="preserve">role-148 (Data Architect) is M1 Management, $169K, located in dept-072 (Database Administration) rather than strategic enterprise architecture function</w:t>
      </w:r>
    </w:p>
    <w:p>
      <w:pPr>
        <w:pStyle w:val="ListParagraph"/>
        <w:numPr>
          <w:ilvl w:val="0"/>
          <w:numId w:val="3"/>
        </w:numPr>
        <w:spacing w:after="100" w:line="280"/>
      </w:pPr>
      <w:r>
        <w:rPr>
          <w:rFonts w:ascii="Arial" w:cs="Arial" w:eastAsia="Arial" w:hAnsi="Arial"/>
          <w:color w:val="333333"/>
          <w:sz w:val="22"/>
          <w:szCs w:val="22"/>
        </w:rPr>
        <w:t xml:space="preserve">378 integrations documented in KG (largest entity type after roles), predominantly API Request-Response, governed by single policy (POL-073) with null compliance_measurement</w:t>
      </w:r>
    </w:p>
    <w:p>
      <w:pPr>
        <w:pStyle w:val="ListParagraph"/>
        <w:numPr>
          <w:ilvl w:val="0"/>
          <w:numId w:val="3"/>
        </w:numPr>
        <w:spacing w:after="100" w:line="280"/>
      </w:pPr>
      <w:r>
        <w:rPr>
          <w:rFonts w:ascii="Arial" w:cs="Arial" w:eastAsia="Arial" w:hAnsi="Arial"/>
          <w:color w:val="333333"/>
          <w:sz w:val="22"/>
          <w:szCs w:val="22"/>
        </w:rPr>
        <w:t xml:space="preserve">dd-014 (Customer Data Lake and Warehouse Data) subject to POL-073 at confidence 0.6 (low); governance relationship uncertain</w:t>
      </w:r>
    </w:p>
    <w:p>
      <w:pPr>
        <w:pStyle w:val="ListParagraph"/>
        <w:numPr>
          <w:ilvl w:val="0"/>
          <w:numId w:val="3"/>
        </w:numPr>
        <w:spacing w:after="100" w:line="280"/>
      </w:pPr>
      <w:r>
        <w:rPr>
          <w:rFonts w:ascii="Arial" w:cs="Arial" w:eastAsia="Arial" w:hAnsi="Arial"/>
          <w:color w:val="333333"/>
          <w:sz w:val="22"/>
          <w:szCs w:val="22"/>
        </w:rPr>
        <w:t xml:space="preserve">da-117 (Managed DW Metadata) at 55% metadata_completeness; lineage_completeness 'Partially Documented' limits architecture visibility</w:t>
      </w:r>
    </w:p>
    <w:p>
      <w:pPr>
        <w:pStyle w:val="ListParagraph"/>
        <w:numPr>
          <w:ilvl w:val="0"/>
          <w:numId w:val="3"/>
        </w:numPr>
        <w:spacing w:after="100" w:line="280"/>
      </w:pPr>
      <w:r>
        <w:rPr>
          <w:rFonts w:ascii="Arial" w:cs="Arial" w:eastAsia="Arial" w:hAnsi="Arial"/>
          <w:color w:val="333333"/>
          <w:sz w:val="22"/>
          <w:szCs w:val="22"/>
        </w:rPr>
        <w:t xml:space="preserve">Multi-acquisition integration (Datapipe $1B, Onica $316M, RelationEdge $65M, TriCore $335M, total $1.7B) only 50% complete after 8+ years; sys-048 Datapipe DNS remains in production</w:t>
      </w:r>
    </w:p>
    <w:p>
      <w:pPr>
        <w:pStyle w:val="ListParagraph"/>
        <w:numPr>
          <w:ilvl w:val="0"/>
          <w:numId w:val="3"/>
        </w:numPr>
        <w:spacing w:after="100" w:line="280"/>
      </w:pPr>
      <w:r>
        <w:rPr>
          <w:rFonts w:ascii="Arial" w:cs="Arial" w:eastAsia="Arial" w:hAnsi="Arial"/>
          <w:color w:val="333333"/>
          <w:sz w:val="22"/>
          <w:szCs w:val="22"/>
        </w:rPr>
        <w:t xml:space="preserve">int-0374 (Sema4.ai Enterprise AI Agent, Bidirectional Real-Time) and int-0375 (Palantir Foundry &amp; AIP, Feb 2026) integrations deployed without documented governance controls</w:t>
      </w:r>
    </w:p>
    <w:p>
      <w:pPr>
        <w:pStyle w:val="ListParagraph"/>
        <w:numPr>
          <w:ilvl w:val="0"/>
          <w:numId w:val="3"/>
        </w:numPr>
        <w:spacing w:after="100" w:line="280"/>
      </w:pPr>
      <w:r>
        <w:rPr>
          <w:rFonts w:ascii="Arial" w:cs="Arial" w:eastAsia="Arial" w:hAnsi="Arial"/>
          <w:color w:val="333333"/>
          <w:sz w:val="22"/>
          <w:szCs w:val="22"/>
        </w:rPr>
        <w:t xml:space="preserve">Services-facing architecture capability ($24.44M across dept-031, dept-069, dept-213) not systematically leveraged for internal enterprise architecture standards</w:t>
      </w:r>
    </w:p>
    <w:p>
      <w:pPr>
        <w:pStyle w:val="ListParagraph"/>
        <w:numPr>
          <w:ilvl w:val="0"/>
          <w:numId w:val="3"/>
        </w:numPr>
        <w:spacing w:after="100" w:line="280"/>
      </w:pPr>
      <w:r>
        <w:rPr>
          <w:rFonts w:ascii="Arial" w:cs="Arial" w:eastAsia="Arial" w:hAnsi="Arial"/>
          <w:color w:val="333333"/>
          <w:sz w:val="22"/>
          <w:szCs w:val="22"/>
        </w:rPr>
        <w:t xml:space="preserve">Reference architecture not published as standalone document; technology standards (AWS/Azure, platform selection) not formally specified with decision framework</w:t>
      </w:r>
    </w:p>
    <w:p>
      <w:pPr>
        <w:spacing w:after="400"/>
      </w:pPr>
    </w:p>
    <w:p>
      <w:pPr>
        <w:pStyle w:val="Heading3"/>
        <w:spacing w:after="200" w:before="300"/>
      </w:pPr>
      <w:r>
        <w:rPr>
          <w:rFonts w:ascii="Arial" w:cs="Arial" w:eastAsia="Arial" w:hAnsi="Arial"/>
        </w:rPr>
        <w:t xml:space="preserve">Confidence Levels and Assessment Notes</w:t>
      </w:r>
    </w:p>
    <w:p>
      <w:pPr>
        <w:spacing w:after="160" w:line="300"/>
      </w:pPr>
      <w:r>
        <w:rPr>
          <w:rFonts w:ascii="Arial" w:cs="Arial" w:eastAsia="Arial" w:hAnsi="Arial"/>
          <w:b w:val="false"/>
          <w:bCs w:val="false"/>
          <w:i w:val="false"/>
          <w:iCs w:val="false"/>
          <w:color w:val="333333"/>
          <w:sz w:val="22"/>
          <w:szCs w:val="22"/>
        </w:rPr>
        <w:t xml:space="preserve">This assessment is based on 3,060 entities and 7,614 relationships in the knowledge graph, with 164 systems, 378 integrations, 164 data assets, 90 data domains, and 430 roles documented. Key findings are at 0.95+ confidence where direct KG entity evidence is available (policies, controls, roles, systems, departments). Findings regarding undocumented components (Architecture Review Board, reference architecture document, integration governance framework) are inferred from control descriptions and policy objectives and are therefore lower-confidence gaps based on absence of evidence rather than presence of contradictory evidence. The low-confidence CTL-304 governance relationships (0.8 confidence, 0.6 weight) are as documented in the KG and suggest actual enforcement uncertainty in the enterprise knowledge base itself.</w:t>
      </w:r>
    </w:p>
    <w:p>
      <w:pPr>
        <w:spacing w:after="160" w:line="300"/>
      </w:pPr>
      <w:r>
        <w:rPr>
          <w:rFonts w:ascii="Arial" w:cs="Arial" w:eastAsia="Arial" w:hAnsi="Arial"/>
          <w:b w:val="false"/>
          <w:bCs w:val="false"/>
          <w:i w:val="false"/>
          <w:iCs w:val="false"/>
          <w:color w:val="333333"/>
          <w:sz w:val="22"/>
          <w:szCs w:val="22"/>
        </w:rPr>
        <w:t xml:space="preserve">The assessment concludes that Capability 4 is appropriately scored at Level 3 (Defined) because architectural standards are documented in policy and controls, but operational enforcement and comprehensive compliance measurement are incomplete or underdeveloped. Progression to Level 4 (Managed) requires implementation of the five recommendations above, with particular emphasis on operationalizing the Architecture Review Board and establishing measurable compliance frameworks for POL-073 and CTL-304.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t xml:space="preserve">CURRENT</w:t>
    </w:r>
    <w:r>
      <w:rPr>
        <w:rFonts w:ascii="Arial" w:cs="Arial" w:eastAsia="Arial" w:hAnsi="Arial"/>
        <w:color w:val="666666"/>
        <w:sz w:val="18"/>
        <w:szCs w:val="18"/>
      </w:rPr>
      <w:t xml:space="preserve"> of </w:t>
    </w:r>
    <w:r>
      <w:rPr>
        <w:rFonts w:ascii="Arial" w:cs="Arial" w:eastAsia="Arial" w:hAnsi="Arial"/>
        <w:color w:val="666666"/>
        <w:sz w:val="18"/>
        <w:szCs w:val="18"/>
      </w:rPr>
      <w:t xml:space="preserve">TOTAL_PAGES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DCAM v2 Capability 4 Deep-Dive: Data Architecture and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20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60" w:before="24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2026-03-05T18:55:40.642Z</dcterms:created>
  <dcterms:modified xsi:type="dcterms:W3CDTF">2026-03-05T18:55:40.643Z</dcterms:modified>
</cp:coreProperties>
</file>

<file path=docProps/custom.xml><?xml version="1.0" encoding="utf-8"?>
<Properties xmlns="http://schemas.openxmlformats.org/officeDocument/2006/custom-properties" xmlns:vt="http://schemas.openxmlformats.org/officeDocument/2006/docPropsVTypes"/>
</file>