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5</w:t>
      </w:r>
    </w:p>
    <w:p>
      <w:pPr>
        <w:pBdr>
          <w:bottom w:val="single" w:color="2E75B6" w:sz="8" w:space="8"/>
        </w:pBdr>
        <w:spacing w:after="400" w:before="120"/>
        <w:jc w:val="center"/>
      </w:pPr>
      <w:r>
        <w:rPr>
          <w:rFonts w:ascii="Arial" w:cs="Arial" w:eastAsia="Arial" w:hAnsi="Arial"/>
          <w:b/>
          <w:bCs/>
          <w:color w:val="1B3A5C"/>
          <w:sz w:val="36"/>
          <w:szCs w:val="36"/>
        </w:rPr>
        <w:t xml:space="preserve">Data Lifecycle Management</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(3,060 entities | 7,614 relationships)</w:t>
      </w:r>
    </w:p>
    <w:p>
      <w:pPr>
        <w:spacing w:before="400"/>
        <w:jc w:val="center"/>
      </w:pPr>
      <w:r>
        <w:rPr>
          <w:rFonts w:ascii="Arial" w:cs="Arial" w:eastAsia="Arial" w:hAnsi="Arial"/>
          <w:b/>
          <w:bCs/>
          <w:color w:val="2E75B6"/>
          <w:sz w:val="28"/>
          <w:szCs w:val="28"/>
        </w:rPr>
        <w:t xml:space="preserve">Overall Capability Score: 3 — Defined</w:t>
      </w:r>
    </w:p>
    <w:p>
      <w:pPr>
        <w:spacing w:before="100"/>
        <w:jc w:val="center"/>
      </w:pPr>
      <w:r>
        <w:rPr>
          <w:rFonts w:ascii="Arial" w:cs="Arial" w:eastAsia="Arial" w:hAnsi="Arial"/>
          <w:b/>
          <w:bCs/>
          <w:color w:val="27AE60"/>
          <w:sz w:val="20"/>
          <w:szCs w:val="20"/>
        </w:rPr>
        <w:t xml:space="preserve">Four Sub-Capabilities Uniformly Scored 3 (Defined)</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Context</w:t>
      </w:r>
    </w:p>
    <w:p>
      <w:pPr>
        <w:spacing w:after="160" w:line="300"/>
      </w:pPr>
      <w:r>
        <w:rPr>
          <w:rFonts w:ascii="Arial" w:cs="Arial" w:eastAsia="Arial" w:hAnsi="Arial"/>
          <w:b w:val="false"/>
          <w:bCs w:val="false"/>
          <w:i w:val="false"/>
          <w:iCs w:val="false"/>
          <w:color w:val="333333"/>
          <w:sz w:val="22"/>
          <w:szCs w:val="22"/>
        </w:rPr>
        <w:t xml:space="preserve">This deep-dive examines Capability 5 of eight DCAM v2 capabilities assessed for Rackspace Technology: Data Lifecycle Management. At a composite score of 3 (Defined), this capability represents a mature, policy-driven approach to data retention, classification, archival, and disposal across the enterprise data estate. The score indicates that Rackspace has articulated comprehensive lifecycle policies (POL-016, POL-026), deployed preventive and detective controls (CTL-031, CTL-037), and extended lifecycle governance across 90 distinct data domains with domain-specific retention requirements aligned to regulatory frameworks including GDPR, SOX, PCI DSS, CMMC, and 66 additional regulatory regimes. However, the defining tension is what this assessment terms the 'Compliance Measurement Void': the organization has engineered extraordinarily detailed retention policies with documented minimum/maximum retention periods, destruction methods, legal hold status, and regulatory basis for each domain, yet the compliance_measurement fields for both POL-016 and POL-026 remain empty across all metrics (target, current_value, measurement_method, frequency).</w:t>
      </w:r>
    </w:p>
    <w:p>
      <w:pPr>
        <w:spacing w:after="160" w:line="300"/>
      </w:pPr>
      <w:r>
        <w:rPr>
          <w:rFonts w:ascii="Arial" w:cs="Arial" w:eastAsia="Arial" w:hAnsi="Arial"/>
          <w:b w:val="false"/>
          <w:bCs w:val="false"/>
          <w:i w:val="false"/>
          <w:iCs w:val="false"/>
          <w:color w:val="333333"/>
          <w:sz w:val="22"/>
          <w:szCs w:val="22"/>
        </w:rPr>
        <w:t xml:space="preserve">The second structural challenge manifests in the contradiction between promised automation and documented reality. CTL-037 (Data Retention and Automated Purge) describes 'automated data retention enforcement' and 'automated purge processes for expired data' with 7-year SOX requirements, 6-year GDPR requirements, and 13-month security log retention aligned to audit-ready compliance. Yet the control's evidence_collection_automated field is set to FALSE, all key performance indicators are null, and no mechanism exists to measure whether purge processes are actually executing. The control is named for its desired end state (automated) but operationally remains in the manual verification phase. This pattern creates a dangerous gap: organizations cannot ensure compliance if they cannot measure it, and they cannot maintain automation if they cannot verify it.</w:t>
      </w:r>
    </w:p>
    <w:p>
      <w:pPr>
        <w:spacing w:after="160" w:line="300"/>
      </w:pPr>
      <w:r>
        <w:rPr>
          <w:rFonts w:ascii="Arial" w:cs="Arial" w:eastAsia="Arial" w:hAnsi="Arial"/>
          <w:b w:val="false"/>
          <w:bCs w:val="false"/>
          <w:i w:val="false"/>
          <w:iCs w:val="false"/>
          <w:color w:val="333333"/>
          <w:sz w:val="22"/>
          <w:szCs w:val="22"/>
        </w:rPr>
        <w:t xml:space="preserve">The organizational investment in data lifecycle governance is substantial. Rackspace operates two distinct Data Protection Departments: dept-053 (Data Protection Department, $1.092M budget, 7 headcount) responsible for data loss prevention, compliant data storage, encryption, and data sovereignty, and dept-242 (Privacy &amp; Data Protection Department, $3.25M budget, 10 headcount) responsible for GDPR compliance, CCPA compliance, privacy notices, data protection agreements, and data subject rights. Combined, these units represent $4.34M annual investment and 17 full-time equivalents dedicated solely to protecting and managing data assets. The Data Protection Specialist role (role-258, P4 level, $156K annual salary) is explicitly chartered for encryption, DLP, data classification, and key management. Yet despite this investment, the organization cannot currently measure whether classification is accurate across its data estate, whether retention schedules are being followed, or whether disposal processes are executing as documented.</w:t>
      </w:r>
    </w:p>
    <w:p>
      <w:pPr>
        <w:spacing w:after="160" w:line="300"/>
      </w:pPr>
      <w:r>
        <w:rPr>
          <w:rFonts w:ascii="Arial" w:cs="Arial" w:eastAsia="Arial" w:hAnsi="Arial"/>
          <w:b w:val="false"/>
          <w:bCs w:val="false"/>
          <w:i w:val="false"/>
          <w:iCs w:val="false"/>
          <w:color w:val="333333"/>
          <w:sz w:val="22"/>
          <w:szCs w:val="22"/>
        </w:rPr>
        <w:t xml:space="preserve">The assessment draws from a knowledge graph containing 3,060 entities and 7,614 relationships, with particular focus on 90 data domains (each with populated retention_policy objects containing minimum/maximum retention periods, destruction methods, legal hold status, and regulatory basis), 70 regulations with lifecycle-specific requirements, 2 lifecycle-focused policies, 4 lifecycle-relevant controls, 2 data protection departments, multiple data protection roles, and the pervasive pattern of documented retention requirements coupled with unmeasured compliance. The December 2022 Hosted Exchange breach created an additional complexity: multiple data domains have active legal holds tied to breach litigation (including dd-029, dd-033, dd-037), which override normal retention/disposal schedules and must be tracked and managed separately. This demonstrates the real-world complexity that formal lifecycle policies must accommodate: legal holds can suspend normal data destruction cycles indefinitely, requiring different governance mechanics than standard retention schedules.</w:t>
      </w:r>
    </w:p>
    <w:p>
      <w:pPr>
        <w:pStyle w:val="Heading3"/>
        <w:spacing w:after="200" w:before="300"/>
      </w:pPr>
      <w:r>
        <w:rPr>
          <w:rFonts w:ascii="Arial" w:cs="Arial" w:eastAsia="Arial" w:hAnsi="Arial"/>
        </w:rPr>
        <w:t xml:space="preserve">Maturity Positioning</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DCAM v2 MATURITY SCALE — CAPABILITY 5 POSITION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1-Initial    2-Developing    3-Defined    4-Managed    5-Optimized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[CURRENT]         │            │           │</w:t>
      </w:r>
    </w:p>
    <w:p>
      <w:pPr>
        <w:spacing w:after="0" w:line="240"/>
      </w:pPr>
      <w:r>
        <w:rPr>
          <w:rFonts w:ascii="Courier New" w:cs="Courier New" w:eastAsia="Courier New" w:hAnsi="Courier New"/>
          <w:color w:val="1B3A5C"/>
          <w:sz w:val="16"/>
          <w:szCs w:val="16"/>
        </w:rPr>
        <w:t xml:space="preserve">│   │            │            Score: 3         │            │           │</w:t>
      </w:r>
    </w:p>
    <w:p>
      <w:pPr>
        <w:spacing w:after="0" w:line="240"/>
      </w:pPr>
      <w:r>
        <w:rPr>
          <w:rFonts w:ascii="Courier New" w:cs="Courier New" w:eastAsia="Courier New" w:hAnsi="Courier New"/>
          <w:color w:val="1B3A5C"/>
          <w:sz w:val="16"/>
          <w:szCs w:val="16"/>
        </w:rPr>
        <w:t xml:space="preserve">│   │            │               ►─TARGET────► │           │</w:t>
      </w:r>
    </w:p>
    <w:p>
      <w:pPr>
        <w:spacing w:after="0" w:line="240"/>
      </w:pPr>
      <w:r>
        <w:rPr>
          <w:rFonts w:ascii="Courier New" w:cs="Courier New" w:eastAsia="Courier New" w:hAnsi="Courier New"/>
          <w:color w:val="1B3A5C"/>
          <w:sz w:val="16"/>
          <w:szCs w:val="16"/>
        </w:rPr>
        <w:t xml:space="preserve">│   │            │               18-24 mo.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NOTE: All 4 Sub-Capabilities score 3 (Defined) — uniform maturity  │</w:t>
      </w:r>
    </w:p>
    <w:p>
      <w:pPr>
        <w:spacing w:after="0" w:line="240"/>
      </w:pPr>
      <w:r>
        <w:rPr>
          <w:rFonts w:ascii="Courier New" w:cs="Courier New" w:eastAsia="Courier New" w:hAnsi="Courier New"/>
          <w:color w:val="1B3A5C"/>
          <w:sz w:val="16"/>
          <w:szCs w:val="16"/>
        </w:rPr>
        <w:t xml:space="preserve">└─────────────────────────────────────────────────────────────────┘</w:t>
      </w:r>
    </w:p>
    <w:p>
      <w:pPr>
        <w:spacing w:after="200"/>
      </w:pPr>
    </w:p>
    <w:p>
      <w:pPr>
        <w:pStyle w:val="Heading3"/>
        <w:spacing w:after="200" w:before="300"/>
      </w:pPr>
      <w:r>
        <w:rPr>
          <w:rFonts w:ascii="Arial" w:cs="Arial" w:eastAsia="Arial" w:hAnsi="Arial"/>
        </w:rPr>
        <w:t xml:space="preserve">Policy and Control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Administrative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and Disposal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Administrative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CTL-031</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Labeling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Continuous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&amp; Automated Purge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Partial</w:t>
            </w:r>
          </w:p>
        </w:tc>
      </w:tr>
    </w:tbl>
    <w:p>
      <w:pPr>
        <w:spacing w:after="160" w:line="300"/>
      </w:pPr>
      <w:r>
        <w:rPr>
          <w:rFonts w:ascii="Arial" w:cs="Arial" w:eastAsia="Arial" w:hAnsi="Arial"/>
          <w:b w:val="false"/>
          <w:bCs w:val="false"/>
          <w:i/>
          <w:iCs/>
          <w:color w:val="333333"/>
          <w:sz w:val="22"/>
          <w:szCs w:val="22"/>
        </w:rPr>
        <w:t xml:space="preserve">POL-016 defines a four-tier classification scheme (Public, Internal, Confidential, Restricted) with downstream encryption, access control, retention, and disposal requirements mapped to each tier. POL-026 harmonizes lifecycle requirements across 70 regulations including GDPR (Art. 5 storage limitation, Art. 17 right to erasure), SOX (7-year retention), PCI DSS (Req. 3.1), CMMC (CUI handling), FedRAMP, HIPAA, and jurisdiction-specific regimes (VCDPA, DPDP Act, DPA 2018, PDPA variants). However, compliance measurement for both policies remains undefined: no metrics track classification accuracy, coverage rate, retention schedule adherence, or disposal execution. CTL-037's documented automation does not match operational reality, as evidence_collection_automated = FALSE and KPIs are null, indicating manual verification processes.</w:t>
      </w:r>
    </w:p>
    <w:p>
      <w:r>
        <w:br w:type="page"/>
      </w:r>
    </w:p>
    <w:p>
      <w:pPr>
        <w:pStyle w:val="Heading1"/>
        <w:spacing w:after="200" w:before="300"/>
      </w:pPr>
      <w:r>
        <w:rPr>
          <w:rFonts w:ascii="Arial" w:cs="Arial" w:eastAsia="Arial" w:hAnsi="Arial"/>
        </w:rPr>
        <w:t xml:space="preserve">2. Sub-Capability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5.1 Data Lifecycle Strategy and Policy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Comprehensive policies; measurement void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5.2 Data Classification and Cataloging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4-tier scheme; 0% coverage measurement</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5.3 Data Retention and Archival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Domain-specific policies; legal holds active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5.4 Data Disposal and Destruction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Methods defined; automated purge not verified</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The sub-capability scores reveal a capability that is uniformly mature in policy articulation but uniformly deficient in operational measurement. All four sub-capabilities score 3 (Defined), indicating that Rackspace has documented requirements, created controls, assigned ownership, and begun implementation. However, none of the four dimensions have mature key performance indicators, automated evidence collection, or compliance dashboards that verify execution. The capability is policy-rich and measurement-poor, creating a maturity ceiling at the Defined level (3) until compliance measurement infrastructure is operationalized.</w:t>
      </w:r>
    </w:p>
    <w:p>
      <w:pPr>
        <w:pStyle w:val="Heading3"/>
        <w:spacing w:after="200" w:before="300"/>
      </w:pPr>
      <w:r>
        <w:rPr>
          <w:rFonts w:ascii="Arial" w:cs="Arial" w:eastAsia="Arial" w:hAnsi="Arial"/>
        </w:rPr>
        <w:t xml:space="preserve">Data Lifecycle Stages and Current Maturity</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LIFECYCLE STAGES — MATURITY PER STAGE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CREATE       CLASSIFY      STORE        USE       ARCHIVE     DISPOSE  │</w:t>
      </w:r>
    </w:p>
    <w:p>
      <w:pPr>
        <w:spacing w:after="0" w:line="240"/>
      </w:pPr>
      <w:r>
        <w:rPr>
          <w:rFonts w:ascii="Courier New" w:cs="Courier New" w:eastAsia="Courier New" w:hAnsi="Courier New"/>
          <w:color w:val="1B3A5C"/>
          <w:sz w:val="16"/>
          <w:szCs w:val="16"/>
        </w:rPr>
        <w:t xml:space="preserve">│   │           │            │          │         │          │      │</w:t>
      </w:r>
    </w:p>
    <w:p>
      <w:pPr>
        <w:spacing w:after="0" w:line="240"/>
      </w:pPr>
      <w:r>
        <w:rPr>
          <w:rFonts w:ascii="Courier New" w:cs="Courier New" w:eastAsia="Courier New" w:hAnsi="Courier New"/>
          <w:color w:val="1B3A5C"/>
          <w:sz w:val="16"/>
          <w:szCs w:val="16"/>
        </w:rPr>
        <w:t xml:space="preserve">│   ▲           ▲            ▲          ▲         ▲          ▲      │</w:t>
      </w:r>
    </w:p>
    <w:p>
      <w:pPr>
        <w:spacing w:after="0" w:line="240"/>
      </w:pPr>
      <w:r>
        <w:rPr>
          <w:rFonts w:ascii="Courier New" w:cs="Courier New" w:eastAsia="Courier New" w:hAnsi="Courier New"/>
          <w:color w:val="1B3A5C"/>
          <w:sz w:val="16"/>
          <w:szCs w:val="16"/>
        </w:rPr>
        <w:t xml:space="preserve">│  Score 3    Score 3       Score 3     Score 3    Score 3    Score 3  │</w:t>
      </w:r>
    </w:p>
    <w:p>
      <w:pPr>
        <w:spacing w:after="0" w:line="240"/>
      </w:pPr>
      <w:r>
        <w:rPr>
          <w:rFonts w:ascii="Courier New" w:cs="Courier New" w:eastAsia="Courier New" w:hAnsi="Courier New"/>
          <w:color w:val="1B3A5C"/>
          <w:sz w:val="16"/>
          <w:szCs w:val="16"/>
        </w:rPr>
        <w:t xml:space="preserve">│ Defined    Defined       Defined     Defined    Defined    Defined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Policy: POL-026 &amp; POL-016 define requirements across lifecycle      │</w:t>
      </w:r>
    </w:p>
    <w:p>
      <w:pPr>
        <w:spacing w:after="0" w:line="240"/>
      </w:pPr>
      <w:r>
        <w:rPr>
          <w:rFonts w:ascii="Courier New" w:cs="Courier New" w:eastAsia="Courier New" w:hAnsi="Courier New"/>
          <w:color w:val="1B3A5C"/>
          <w:sz w:val="16"/>
          <w:szCs w:val="16"/>
        </w:rPr>
        <w:t xml:space="preserve">│ Controls: CTL-031 (classify), CTL-037 (retain/purge)               │</w:t>
      </w:r>
    </w:p>
    <w:p>
      <w:pPr>
        <w:spacing w:after="0" w:line="240"/>
      </w:pPr>
      <w:r>
        <w:rPr>
          <w:rFonts w:ascii="Courier New" w:cs="Courier New" w:eastAsia="Courier New" w:hAnsi="Courier New"/>
          <w:color w:val="1B3A5C"/>
          <w:sz w:val="16"/>
          <w:szCs w:val="16"/>
        </w:rPr>
        <w:t xml:space="preserve">│ Gap: No measurement at any stage; legal holds override disposal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3. Sub-Capability 5.1: Data Lifecycle Strategy and Policy</w:t>
      </w:r>
    </w:p>
    <w:p>
      <w:pPr>
        <w:spacing w:after="160" w:line="300"/>
      </w:pPr>
      <w:r>
        <w:rPr>
          <w:rFonts w:ascii="Arial" w:cs="Arial" w:eastAsia="Arial" w:hAnsi="Arial"/>
          <w:b w:val="false"/>
          <w:bCs w:val="false"/>
          <w:i w:val="false"/>
          <w:iCs w:val="false"/>
          <w:color w:val="333333"/>
          <w:sz w:val="22"/>
          <w:szCs w:val="22"/>
        </w:rPr>
        <w:t xml:space="preserve">Sub-Capability 5.1 assesses the organization's ability to define, communicate, and enforce data lifecycle strategy and foundational governance policies. Rackspace scores 3 (Defined) on this dimension, reflecting comprehensive policy articulation (POL-016, POL-026), executive governance structure (Data Governance Council leadership), and alignment to regulatory frameworks. However, the defining tension is the Compliance Measurement Void: while retention_policy objects are populated across all 90 data domains with minimum/maximum retention periods, destruction methods, legal hold status, and regulatory basis, the compliance_measurement fields for both POL-016 and POL-026 are empty. Organizations cannot improve what they do not measure, and they cannot demonstrate compliance without measurement.</w:t>
      </w:r>
    </w:p>
    <w:p>
      <w:pPr>
        <w:spacing w:after="160" w:line="300"/>
      </w:pPr>
      <w:r>
        <w:rPr>
          <w:rFonts w:ascii="Arial" w:cs="Arial" w:eastAsia="Arial" w:hAnsi="Arial"/>
          <w:b w:val="false"/>
          <w:bCs w:val="false"/>
          <w:i w:val="false"/>
          <w:iCs w:val="false"/>
          <w:color w:val="333333"/>
          <w:sz w:val="22"/>
          <w:szCs w:val="22"/>
        </w:rPr>
        <w:t xml:space="preserve">POL-026 (Data Retention and Disposal Policy) is the cornerstone of lifecycle strategy. It defines retention requirements across seven regulatory categories: SOX (7-year retention for financial records, audit-relevant data, change management board records), GDPR (6-year retention for contractual obligations, 30-day breach notification period, indefinite for consent records), PCI DSS (1-year minimum, 3-month minimum for security logs), CMMC (classified information handling per Department of Defense standards), FedRAMP (3-year minimum for audit logs, compliance documentation), jurisdiction-specific regimes (VCDPA, DPDP Act, PDPA variants requiring 1-5 year retention), and sector-specific requirements (HIPAA, COPPA, financial services regulations). Yet the policy document does not specify metrics to measure adherence: no target compliance percentage, no current measurement baseline, no automated or manual verification methodology, and no measurement frequency defined. This creates the paradox of Rackspace's lifecycle governance: extraordinarily detailed domain-specific retention requirements coupled with zero compliance measurement infrastructure.</w:t>
      </w:r>
    </w:p>
    <w:p>
      <w:pPr>
        <w:spacing w:after="160" w:line="300"/>
      </w:pPr>
      <w:r>
        <w:rPr>
          <w:rFonts w:ascii="Arial" w:cs="Arial" w:eastAsia="Arial" w:hAnsi="Arial"/>
          <w:b w:val="false"/>
          <w:bCs w:val="false"/>
          <w:i w:val="false"/>
          <w:iCs w:val="false"/>
          <w:color w:val="333333"/>
          <w:sz w:val="22"/>
          <w:szCs w:val="22"/>
        </w:rPr>
        <w:t xml:space="preserve">The organizational structure supporting lifecycle strategy includes two data protection departments with distinct but complementary mandates. Dept-053 (Data Protection Department, $1.092M, 7 HC) operates data loss prevention systems, manages compliant data storage infrastructure (ensuring encryption at rest and in transit), enforces data sovereignty constraints (geographic data location restrictions), and implements key management lifecycle controls (CTL-036). Dept-242 (Privacy &amp; Data Protection Department, $3.25M, 10 HC) focuses on regulatory compliance, data protection agreements, GDPR/CCPA implementation, privacy notices, and data subject rights fulfillment (access requests, deletion requests, portability). The combined investment ($4.34M, 17 FTE) is substantial, yet neither department can currently report on classification accuracy, retention schedule adherence, or purge execution rates. The roles responsible for lifecycle management include the Data Protection Specialist (role-258, P4, $156K), who is explicitly chartered for encryption, DLP, data classification, and key management, yet compliance dashboards for these responsibilities do not exist.</w:t>
      </w:r>
    </w:p>
    <w:p>
      <w:pPr>
        <w:spacing w:after="160" w:line="300"/>
      </w:pPr>
      <w:r>
        <w:rPr>
          <w:rFonts w:ascii="Arial" w:cs="Arial" w:eastAsia="Arial" w:hAnsi="Arial"/>
          <w:b w:val="false"/>
          <w:bCs w:val="false"/>
          <w:i w:val="false"/>
          <w:iCs w:val="false"/>
          <w:color w:val="333333"/>
          <w:sz w:val="22"/>
          <w:szCs w:val="22"/>
        </w:rPr>
        <w:t xml:space="preserve">The strategic gap manifests across three dimensions. First, policy-to-measurement translation is absent: POL-026 defines retention requirements but not the mechanism to verify compliance. Organizations like Rackspace operate across 70 regulations (reg-001 through reg-070, including GDPR, SOX, PCI DSS, HIPAA, CMMC, FedRAMP, and 64 others), each with distinct retention mandates that must be harmonized into a single retention policy. Without measurement, Rackspace cannot confirm that its data assets are being retained according to requirements or that purge processes are executing correctly. Second, legal hold complexity is documented but not mechanically tracked: multiple data domains (dd-029 Config &amp; Change Mgmt Data, dd-033 Data Pipeline &amp; ETL, dd-037 ISO Certification Data) have active legal holds from the December 2022 Hosted Exchange breach, which override normal retention schedules indefinitely. Tracking and enforcing these exceptions requires a separate legal hold management process distinct from standard retention scheduling. Third, the automated purge contradiction remains: CTL-037 promises 'automated purge processes for expired data,' yet evidence_collection_automated = FALSE, all KPIs are null, and no automation tool has been deployed. The control is defined, partially implemented, and not measured.</w:t>
      </w:r>
    </w:p>
    <w:p>
      <w:pPr>
        <w:spacing w:after="160" w:line="300"/>
      </w:pPr>
      <w:r>
        <w:rPr>
          <w:rFonts w:ascii="Arial" w:cs="Arial" w:eastAsia="Arial" w:hAnsi="Arial"/>
          <w:b w:val="false"/>
          <w:bCs w:val="false"/>
          <w:i w:val="false"/>
          <w:iCs w:val="false"/>
          <w:color w:val="333333"/>
          <w:sz w:val="22"/>
          <w:szCs w:val="22"/>
        </w:rPr>
        <w:t xml:space="preserve">Moving from Defined (3) to Managed (4) requires operationalizing compliance measurement infrastructure. This includes deploying a retention compliance dashboard that tracks percentage of data assets being retained according to schedule (target 100%), measuring classification accuracy across the four tiers (Public, Internal, Confidential, Restricted), automating purge execution with audit logs, establishing legal hold tracking with litigation hold override flags, and creating a monthly compliance report visible to the Data Governance Council. The timeline to Managed is 12-18 months, contingent on selecting a retention management platform, training dept-053 and dept-242 on compliance verification mechanics, and integrating retention compliance into the data governance scorecard.</w:t>
      </w:r>
    </w:p>
    <w:p>
      <w:pPr>
        <w:pStyle w:val="Heading3"/>
        <w:spacing w:after="200" w:before="300"/>
      </w:pPr>
      <w:r>
        <w:rPr>
          <w:rFonts w:ascii="Arial" w:cs="Arial" w:eastAsia="Arial" w:hAnsi="Arial"/>
        </w:rPr>
        <w:t xml:space="preserve">Retention Richness and Regulatory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1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 / Framework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Retention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Retention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Basis / Justification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GDPR (reg-001)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 years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Indefinite*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Art. 5(1)(e), Art. 17</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SOX (US)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7 years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7 years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Financial audit, records mgmt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PCI DSS (reg-014)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 year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 years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 3.1, security logs 13mo</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CMMC (reg-036)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Varies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Per DCD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CUI classification controls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FedRAMP (US)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 years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5 years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Audit logs, compliance records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HIPAA (US)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 years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Indefinite*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Regulatory investigation holds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UK GDPR (reg-007)</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 years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Indefinite*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DPA 2018 Sch. 1 conditions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Security Logs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13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13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Audit-ready compliance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bl>
    <w:p>
      <w:pPr>
        <w:spacing w:after="160" w:line="300"/>
      </w:pPr>
      <w:r>
        <w:rPr>
          <w:rFonts w:ascii="Arial" w:cs="Arial" w:eastAsia="Arial" w:hAnsi="Arial"/>
          <w:b w:val="false"/>
          <w:bCs w:val="false"/>
          <w:i/>
          <w:iCs/>
          <w:color w:val="333333"/>
          <w:sz w:val="22"/>
          <w:szCs w:val="22"/>
        </w:rPr>
        <w:t xml:space="preserve">Rackspace operates in a 70-regulation landscape with retention requirements spanning 1 year (PCI DSS minimum) to indefinite (litigation holds, investigations). POL-026 must harmonize these conflicting mandates: the organization's default retention is driven by the longest applicable requirement (typically SOX 7-year or GDPR 6-year), with domain-specific overrides for sectors with different requirements. The '*' notation indicates indefinite retention for litigation holds, investigation holds, regulatory investigation holds, and similar exceptions. Without automated retention compliance tracking, verifying adherence across this regulatory complexity is operationally infeasible at scale across 90 data domains. The policy exists; the measurement infrastructure does not.</w:t>
      </w:r>
    </w:p>
    <w:p>
      <w:r>
        <w:br w:type="page"/>
      </w:r>
    </w:p>
    <w:p>
      <w:pPr>
        <w:pStyle w:val="Heading1"/>
        <w:spacing w:after="200" w:before="300"/>
      </w:pPr>
      <w:r>
        <w:rPr>
          <w:rFonts w:ascii="Arial" w:cs="Arial" w:eastAsia="Arial" w:hAnsi="Arial"/>
        </w:rPr>
        <w:t xml:space="preserve">4. Sub-Capability 5.2: Data Classification and Cataloging</w:t>
      </w:r>
    </w:p>
    <w:p>
      <w:pPr>
        <w:spacing w:after="160" w:line="300"/>
      </w:pPr>
      <w:r>
        <w:rPr>
          <w:rFonts w:ascii="Arial" w:cs="Arial" w:eastAsia="Arial" w:hAnsi="Arial"/>
          <w:b w:val="false"/>
          <w:bCs w:val="false"/>
          <w:i w:val="false"/>
          <w:iCs w:val="false"/>
          <w:color w:val="333333"/>
          <w:sz w:val="22"/>
          <w:szCs w:val="22"/>
        </w:rPr>
        <w:t xml:space="preserve">Sub-Capability 5.2 assesses the organization's ability to classify data assets, maintain a data catalog with classification metadata, and enforce classification-driven downstream controls. Rackspace scores 3 (Defined) on this dimension, reflecting the existence of a comprehensive four-tier classification scheme (POL-016: Public, Internal, Confidential, Restricted), a preventive control enforcing classification labeling (CTL-031), and documented downstream controls (encryption, access, retention, disposal) mapped to each tier. However, the defining gap is what the assessment terms the 'Classification Coverage Void': while the four-tier scheme is defined, zero compliance measurement exists for classification accuracy, coverage rate, misclassification rate, or tier distribution across the 90 data domains.</w:t>
      </w:r>
    </w:p>
    <w:p>
      <w:pPr>
        <w:spacing w:after="160" w:line="300"/>
      </w:pPr>
      <w:r>
        <w:rPr>
          <w:rFonts w:ascii="Arial" w:cs="Arial" w:eastAsia="Arial" w:hAnsi="Arial"/>
          <w:b w:val="false"/>
          <w:bCs w:val="false"/>
          <w:i w:val="false"/>
          <w:iCs w:val="false"/>
          <w:color w:val="333333"/>
          <w:sz w:val="22"/>
          <w:szCs w:val="22"/>
        </w:rPr>
        <w:t xml:space="preserve">POL-016 (Data Classification Policy) defines a four-tier classification scheme with explicit handling requirements mapped to each tier. Public tier: no access restrictions, no encryption required, standard retention (1-3 years operational). Internal tier: restricted to Rackspace employees, encryption in transit, 3-5 year retention tied to business value. Confidential tier: restricted to authorized personnel, encryption at rest and in transit, 6-7 year retention per SOX/GDPR, access logging. Restricted tier: limited to executive/legal/compliance personnel, encryption at rest/in transit/in use, indefinite retention for litigation holds, comprehensive access controls and change audit trails. Each tier drives downstream controls: classification determines encryption key assignment (via CTL-036 Key Management Lifecycle), access control scope (via identity governance policies), retention requirements (via CTL-037), and disposal method (secure deletion for Restricted, standard purge for Public). However, no metrics measure whether data assets are classified correctly into these tiers. The schema includes a 'data_classification' field for each of the 90 domains, but no compliance metrics track whether classification assignments are accurate, whether coverage is complete, whether new data is classified at ingestion, or whether reclassification occurs when data sensitivity changes.</w:t>
      </w:r>
    </w:p>
    <w:p>
      <w:pPr>
        <w:spacing w:after="160" w:line="300"/>
      </w:pPr>
      <w:r>
        <w:rPr>
          <w:rFonts w:ascii="Arial" w:cs="Arial" w:eastAsia="Arial" w:hAnsi="Arial"/>
          <w:b w:val="false"/>
          <w:bCs w:val="false"/>
          <w:i w:val="false"/>
          <w:iCs w:val="false"/>
          <w:color w:val="333333"/>
          <w:sz w:val="22"/>
          <w:szCs w:val="22"/>
        </w:rPr>
        <w:t xml:space="preserve">CTL-031 (Data Classification Labeling) is the preventive control enforcing classification scheme adoption. Described as 'Data classification scheme enforcement with defined handling requirements per classification level (Public, Internal, Confidential, Restricted). Drives downstream controls including encryption, access, retention, and disposal,' this control is owned by Information Security (likely the Chief Information Security Officer or Information Security department). The control is documented as Implemented and Preventive, meaning it prevents misclassified data from entering the data estate. However, the control's KPIs are all null, evidence_collection_automated = FALSE, and no compliance dashboard tracks what percentage of data domains have been classified, what percentage of new ingest flows classify data at ingestion, or what percentage of classified data matches the appropriate tier for its sensitivity. The control prevents downstream problems but provides no visibility into whether classification is actually occurring at scale.</w:t>
      </w:r>
    </w:p>
    <w:p>
      <w:pPr>
        <w:spacing w:after="160" w:line="300"/>
      </w:pPr>
      <w:r>
        <w:rPr>
          <w:rFonts w:ascii="Arial" w:cs="Arial" w:eastAsia="Arial" w:hAnsi="Arial"/>
          <w:b w:val="false"/>
          <w:bCs w:val="false"/>
          <w:i w:val="false"/>
          <w:iCs w:val="false"/>
          <w:color w:val="333333"/>
          <w:sz w:val="22"/>
          <w:szCs w:val="22"/>
        </w:rPr>
        <w:t xml:space="preserve">The organizational investment in classification infrastructure is significant. Dept-053 (Data Protection Department) and dept-242 (Privacy &amp; Data Protection Department) together employ 17 full-time equivalents focused on data protection. The Data Protection Specialist role (role-258, P4, $156K) is explicitly chartered for 'data classification,' along with encryption, DLP, and key management. Data Governance leadership owns classification policy (POL-016). Yet none of these organizational units can currently answer fundamental questions: What percentage of the 90 data domains are classified? Which domains are missing classification? Are there any misclassifications (e.g., Restricted data labeled Internal)? What is the distribution of data across the four tiers (e.g., 30% Public, 25% Internal, 25% Confidential, 20% Restricted)? These questions cannot be answered without a compliance measurement infrastructure.</w:t>
      </w:r>
    </w:p>
    <w:p>
      <w:pPr>
        <w:spacing w:after="160" w:line="300"/>
      </w:pPr>
      <w:r>
        <w:rPr>
          <w:rFonts w:ascii="Arial" w:cs="Arial" w:eastAsia="Arial" w:hAnsi="Arial"/>
          <w:b w:val="false"/>
          <w:bCs w:val="false"/>
          <w:i w:val="false"/>
          <w:iCs w:val="false"/>
          <w:color w:val="333333"/>
          <w:sz w:val="22"/>
          <w:szCs w:val="22"/>
        </w:rPr>
        <w:t xml:space="preserve">The strategic gap is twofold. First, classification enforcement is point-in-time but not continuous: CTL-031 can enforce classification at data ingestion, but it does not enforce reclassification when data sensitivity changes (e.g., when Confidential customer data becomes Restricted after a privacy incident). Second, classification coverage is unknown: without measurement, Rackspace cannot confirm that classification is complete across the 90 domains or that new data ingestion flows are classifying data according to policy. Moving from Defined (3) to Managed (4) requires implementing a data catalog with classification metadata tracked per domain, deploying a compliance dashboard measuring classification coverage (target 100%), accuracy (target 100%), and tier distribution, integrating classification into data governance reviews, and establishing quarterly reporting on classification metrics to the Data Governance Council.</w:t>
      </w:r>
    </w:p>
    <w:p>
      <w:pPr>
        <w:pStyle w:val="Heading3"/>
        <w:spacing w:after="200" w:before="300"/>
      </w:pPr>
      <w:r>
        <w:rPr>
          <w:rFonts w:ascii="Arial" w:cs="Arial" w:eastAsia="Arial" w:hAnsi="Arial"/>
        </w:rPr>
        <w:t xml:space="preserve">Classification Tier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 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Control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Encryption Req.</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 Driver</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Domains Classified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Public</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Optional</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Operational needs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Unknown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Internal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Employee role-based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Encryption in transit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3-5 year business value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Unknown %</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Authorization required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At-rest + in-transit</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SOX/GDPR 6-7 year</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Unknown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Restricted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Executive/Legal/Compliance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At-rest/transit/use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Indefinite (litigation holds)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Unknown %</w:t>
            </w:r>
          </w:p>
        </w:tc>
      </w:tr>
    </w:tbl>
    <w:p>
      <w:pPr>
        <w:spacing w:after="160" w:line="300"/>
      </w:pPr>
      <w:r>
        <w:rPr>
          <w:rFonts w:ascii="Arial" w:cs="Arial" w:eastAsia="Arial" w:hAnsi="Arial"/>
          <w:b w:val="false"/>
          <w:bCs w:val="false"/>
          <w:i/>
          <w:iCs/>
          <w:color w:val="333333"/>
          <w:sz w:val="22"/>
          <w:szCs w:val="22"/>
        </w:rPr>
        <w:t xml:space="preserve">The four-tier classification scheme is well-defined at the policy level. Each tier has explicit access requirements, encryption specifications, retention drivers, and downstream control implications. However, no measurement dashboard tracks the percentage of the 90 data domains currently classified into each tier, the percentage of new data ingestion flows classifying data, or the accuracy of existing classifications. The 'Unknown %' entries reflect the Capability 5 assessment's core finding: Rackspace has defined classification tiers and controls but lacks measurement infrastructure to verify implementation at scale.</w:t>
      </w:r>
    </w:p>
    <w:p>
      <w:pPr>
        <w:spacing w:after="200"/>
      </w:pPr>
    </w:p>
    <w:p>
      <w:pPr>
        <w:pStyle w:val="Heading3"/>
        <w:spacing w:after="200" w:before="300"/>
      </w:pPr>
      <w:r>
        <w:rPr>
          <w:rFonts w:ascii="Arial" w:cs="Arial" w:eastAsia="Arial" w:hAnsi="Arial"/>
        </w:rPr>
        <w:t xml:space="preserve">Classification-to-Downstream-Controls Chain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CLASSIFICATION DRIVES DOWNSTREAM CONTROLS (CTL-031)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POL-016 (Classification Tier)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CTL-031 (Classify)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CTL-036 CTL-032 CTL-037 (downstream)                           │</w:t>
      </w:r>
    </w:p>
    <w:p>
      <w:pPr>
        <w:spacing w:after="0" w:line="240"/>
      </w:pPr>
      <w:r>
        <w:rPr>
          <w:rFonts w:ascii="Courier New" w:cs="Courier New" w:eastAsia="Courier New" w:hAnsi="Courier New"/>
          <w:color w:val="1B3A5C"/>
          <w:sz w:val="16"/>
          <w:szCs w:val="16"/>
        </w:rPr>
        <w:t xml:space="preserve">│  /   (Keys) (DLP)  (Retention)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Tier → Encrypt → Access Control → Retention → Disposal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Gap: Classification coverage unknown, accuracy unmeasured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5. Sub-Capability 5.3: Data Retention and Archival</w:t>
      </w:r>
    </w:p>
    <w:p>
      <w:pPr>
        <w:spacing w:after="160" w:line="300"/>
      </w:pPr>
      <w:r>
        <w:rPr>
          <w:rFonts w:ascii="Arial" w:cs="Arial" w:eastAsia="Arial" w:hAnsi="Arial"/>
          <w:b w:val="false"/>
          <w:bCs w:val="false"/>
          <w:i w:val="false"/>
          <w:iCs w:val="false"/>
          <w:color w:val="333333"/>
          <w:sz w:val="22"/>
          <w:szCs w:val="22"/>
        </w:rPr>
        <w:t xml:space="preserve">Sub-Capability 5.3 assesses the organization's ability to define, enforce, and measure data retention and archival requirements across its data estate. Rackspace scores 3 (Defined) on this dimension, reflecting the existence of comprehensive retention_policy objects across all 90 data domains (each specifying minimum retention period, maximum retention period, retention basis, destruction method, and legal hold status), the preventive control CTL-037 (Data Retention and Automated Purge), and alignment to 70 regulatory frameworks. However, the defining gap is the 'Automated Purge Contradiction': CTL-037 is named for and describes 'automated data retention enforcement' and 'automated purge processes for expired data,' yet the control's evidence_collection_automated field is FALSE, all KPIs are null, and no automated purge tool has been deployed. The organization has defined what should happen but not verified that it is actually happening.</w:t>
      </w:r>
    </w:p>
    <w:p>
      <w:pPr>
        <w:spacing w:after="160" w:line="300"/>
      </w:pPr>
      <w:r>
        <w:rPr>
          <w:rFonts w:ascii="Arial" w:cs="Arial" w:eastAsia="Arial" w:hAnsi="Arial"/>
          <w:b w:val="false"/>
          <w:bCs w:val="false"/>
          <w:i w:val="false"/>
          <w:iCs w:val="false"/>
          <w:color w:val="333333"/>
          <w:sz w:val="22"/>
          <w:szCs w:val="22"/>
        </w:rPr>
        <w:t xml:space="preserve">The retention policy landscape is extraordinarily rich at the domain level. Each of the 90 data domains has a populated retention_policy object specifying minimum and maximum retention periods with explicit regulatory basis. For example, dd-029 (Config &amp; Change Mgmt Data) specifies: minimum retention '1 year for CAB records; 3 years for IaC baselines' with basis 'PCI DSS, FedRAMP'; maximum retention '7 years for SOX ITGC; perpetual for IaC in git'; destruction method 'Git archival; CMDB auto-purge; Engineering VP approval for IaC'; legal hold status 'Active — CAB records from Oct-Dec 2022 under breach litigation hold.' Similarly, dd-033 (Data Pipeline &amp; ETL) specifies: minimum '1 year operational logs; 3 years ETL baselines' (SOC 2, FedRAMP); maximum '3 years pipeline configs; perpetual IaC; 90 days telemetry'; destruction 'Git archival; time-series auto-purge; VP approval for cloud pipeline state'; legal hold 'Pipeline configs processing Hosted Exchange data during Dec 2022 under hold.' And dd-037 (ISO Certification Data) specifies: minimum '3 years ISMS records' (ISO 27001 Clause 7.5); maximum '3 years per re-cert cycle; 5 years environmental/safety'; destruction 'Systematic ISMS document control; cert body notification required'; legal hold 'Active — ISO 27001 ISMS records during Dec 2022 breach under litigation hold.' These examples demonstrate that Rackspace has invested in creating domain-specific retention policies aligned to regulatory requirements and destruction methods. Yet the compliance_measurement fields for POL-026 (which governs all 90 domains) are empty: no compliance percentage target, no baseline measurement, no methodology, no frequency.</w:t>
      </w:r>
    </w:p>
    <w:p>
      <w:pPr>
        <w:spacing w:after="160" w:line="300"/>
      </w:pPr>
      <w:r>
        <w:rPr>
          <w:rFonts w:ascii="Arial" w:cs="Arial" w:eastAsia="Arial" w:hAnsi="Arial"/>
          <w:b w:val="false"/>
          <w:bCs w:val="false"/>
          <w:i w:val="false"/>
          <w:iCs w:val="false"/>
          <w:color w:val="333333"/>
          <w:sz w:val="22"/>
          <w:szCs w:val="22"/>
        </w:rPr>
        <w:t xml:space="preserve">The December 2022 Hosted Exchange breach created a critical complication: multiple data domains that would normally be subject to standard retention schedules now have active legal holds that override those schedules. A legal hold (litigation hold, regulatory investigation hold) suspends normal data destruction and requires the data to be retained indefinitely until the hold is lifted by legal counsel or a regulatory authority. This creates a dual retention management challenge: standard retention schedules for most data (following POL-026 retention requirements per domain) and exception management for data under legal hold (indefinite retention until hold lifted). The current governance model as described in the knowledge graph documents which domains have holds (dd-029, dd-033, dd-037) and why (Oct-Dec 2022 CAB records, Hosted Exchange data, ISMS records), but does not specify the mechanics of how these exceptions are tracked, how legal holds are released, how retention is resumed after hold expiration, or how compliance is measured. Moving from Defined (3) to Managed (4) requires implementing legal hold management infrastructure that tracks hold status, expected hold expiration, and hold release procedures.</w:t>
      </w:r>
    </w:p>
    <w:p>
      <w:pPr>
        <w:spacing w:after="160" w:line="300"/>
      </w:pPr>
      <w:r>
        <w:rPr>
          <w:rFonts w:ascii="Arial" w:cs="Arial" w:eastAsia="Arial" w:hAnsi="Arial"/>
          <w:b w:val="false"/>
          <w:bCs w:val="false"/>
          <w:i w:val="false"/>
          <w:iCs w:val="false"/>
          <w:color w:val="333333"/>
          <w:sz w:val="22"/>
          <w:szCs w:val="22"/>
        </w:rPr>
        <w:t xml:space="preserve">The organizational structure supporting retention governance includes dept-053 (Data Protection Department, responsible for compliant data storage, encryption, data sovereignty) and dept-242 (Privacy &amp; Data Protection Department, responsible for GDPR/CCPA compliance, data protection agreements, privacy notices, data subject rights). However, neither department can currently report on: (1) percentage of data domains being retained according to schedule (target should be 100%); (2) percentage of expired data that has been purged within 30 days of expiration deadline; (3) percentage of data under legal hold being tracked in the hold management system; (4) average time from hold release to data purge completion. These metrics are fundamental to demonstrating compliance with POL-026 and regulatory requirements (GDPR Art. 5(1)(e) storage limitation, SOX retention requirements, PCI DSS data retention rules). Without these metrics, Rackspace cannot prove compliance to regulators or auditors.</w:t>
      </w:r>
    </w:p>
    <w:p>
      <w:pPr>
        <w:spacing w:after="160" w:line="300"/>
      </w:pPr>
      <w:r>
        <w:rPr>
          <w:rFonts w:ascii="Arial" w:cs="Arial" w:eastAsia="Arial" w:hAnsi="Arial"/>
          <w:b w:val="false"/>
          <w:bCs w:val="false"/>
          <w:i w:val="false"/>
          <w:iCs w:val="false"/>
          <w:color w:val="333333"/>
          <w:sz w:val="22"/>
          <w:szCs w:val="22"/>
        </w:rPr>
        <w:t xml:space="preserve">The gap between promised and operational automation is the defining tension. CTL-037 describes 'automated data retention enforcement aligned with regulatory requirements (7-year SOX, 6-year GDPR, sector-specific). 13-month security log retention for audit-ready compliance. Automated purge processes for expired data.' The language suggests that expired data is automatically purged according to schedule. However, the control's evidence_collection_automated = FALSE, no automated purge tool is documented, and the control's KPIs are all null. This indicates that purge execution is currently manual, verification is manual, and compliance is not measured. The cobbler's children scenario repeats: Rackspace delivers automated data retention services to customers (via prd-014 Rackspace Data Protection on Cohesity), yet the organization's internal retention processes are not automated. Moving from Defined (3) to Managed (4) requires deploying a retention compliance system that automates purge execution, logs all purge operations for audit trails, measures purge compliance (percentage of expired data purged within SLA), and reports monthly to the Data Governance Council.</w:t>
      </w:r>
    </w:p>
    <w:p>
      <w:pPr>
        <w:pStyle w:val="Heading3"/>
        <w:spacing w:after="200" w:before="300"/>
      </w:pPr>
      <w:r>
        <w:rPr>
          <w:rFonts w:ascii="Arial" w:cs="Arial" w:eastAsia="Arial" w:hAnsi="Arial"/>
        </w:rPr>
        <w:t xml:space="preserve">Retention Requirement Landscape (70 Regulations, 1 Policy)</w:t>
      </w:r>
    </w:p>
    <w:p>
      <w:pPr>
        <w:spacing w:after="160" w:line="300"/>
      </w:pPr>
      <w:r>
        <w:rPr>
          <w:rFonts w:ascii="Arial" w:cs="Arial" w:eastAsia="Arial" w:hAnsi="Arial"/>
          <w:b w:val="false"/>
          <w:bCs w:val="false"/>
          <w:i/>
          <w:iCs/>
          <w:color w:val="333333"/>
          <w:sz w:val="22"/>
          <w:szCs w:val="22"/>
        </w:rPr>
        <w:t xml:space="preserve">Rackspace's retention policy must reconcile 70 distinct regulatory requirements spanning 1-year minimum (PCI DSS) to indefinite (litigation holds). The policy is unified at the enterprise level (POL-026) but operationalized with domain-specific overrides per the examples above (dd-029, dd-033, dd-037). Each domain's retention_policy specifies the minimum and maximum retention periods that apply to that domain's data, calculated as the intersection of: regulatory requirements applicable to that domain, the data classification (Public/Internal/Confidential/Restricted driving retention), the business use case (e.g., audit trails retain 13 months; transaction data retains 7 years), and any active legal holds. Without a compliance measurement dashboard, verifying that all 90 domains are being retained according to their specified requirements is operationally infeasible. The organization must move from policy documentation to automated compliance verification.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LEGAL HOLD COMPLEXITY (December 2022 Breach)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Normal Retention Schedule          Legal Hold Override              │</w:t>
      </w:r>
    </w:p>
    <w:p>
      <w:pPr>
        <w:spacing w:after="0" w:line="240"/>
      </w:pPr>
      <w:r>
        <w:rPr>
          <w:rFonts w:ascii="Courier New" w:cs="Courier New" w:eastAsia="Courier New" w:hAnsi="Courier New"/>
          <w:color w:val="1B3A5C"/>
          <w:sz w:val="16"/>
          <w:szCs w:val="16"/>
        </w:rPr>
        <w:t xml:space="preserve">│   (POL-026)                        (Litigation Hold)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POL-026 retention rule             Legal hold — indefinite        │</w:t>
      </w:r>
    </w:p>
    <w:p>
      <w:pPr>
        <w:spacing w:after="0" w:line="240"/>
      </w:pPr>
      <w:r>
        <w:rPr>
          <w:rFonts w:ascii="Courier New" w:cs="Courier New" w:eastAsia="Courier New" w:hAnsi="Courier New"/>
          <w:color w:val="1B3A5C"/>
          <w:sz w:val="16"/>
          <w:szCs w:val="16"/>
        </w:rPr>
        <w:t xml:space="preserve">│   per domain (1-7 years)             retention until lifted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dd-029 CAB records:                dd-029: Oct-Dec 2022             │</w:t>
      </w:r>
    </w:p>
    <w:p>
      <w:pPr>
        <w:spacing w:after="0" w:line="240"/>
      </w:pPr>
      <w:r>
        <w:rPr>
          <w:rFonts w:ascii="Courier New" w:cs="Courier New" w:eastAsia="Courier New" w:hAnsi="Courier New"/>
          <w:color w:val="1B3A5C"/>
          <w:sz w:val="16"/>
          <w:szCs w:val="16"/>
        </w:rPr>
        <w:t xml:space="preserve">│   Min 1y / Max 7y                    records under litigation hold    │</w:t>
      </w:r>
    </w:p>
    <w:p>
      <w:pPr>
        <w:spacing w:after="0" w:line="240"/>
      </w:pPr>
      <w:r>
        <w:rPr>
          <w:rFonts w:ascii="Courier New" w:cs="Courier New" w:eastAsia="Courier New" w:hAnsi="Courier New"/>
          <w:color w:val="1B3A5C"/>
          <w:sz w:val="16"/>
          <w:szCs w:val="16"/>
        </w:rPr>
        <w:t xml:space="preserve">│   ► Purge after 7 years              ► Indefinite (on hold)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dd-033: Pipeline configs           dd-033: Hosted Exchange data     │</w:t>
      </w:r>
    </w:p>
    <w:p>
      <w:pPr>
        <w:spacing w:after="0" w:line="240"/>
      </w:pPr>
      <w:r>
        <w:rPr>
          <w:rFonts w:ascii="Courier New" w:cs="Courier New" w:eastAsia="Courier New" w:hAnsi="Courier New"/>
          <w:color w:val="1B3A5C"/>
          <w:sz w:val="16"/>
          <w:szCs w:val="16"/>
        </w:rPr>
        <w:t xml:space="preserve">│   Min 1y / Max 3y                    under hold                      │</w:t>
      </w:r>
    </w:p>
    <w:p>
      <w:pPr>
        <w:spacing w:after="0" w:line="240"/>
      </w:pPr>
      <w:r>
        <w:rPr>
          <w:rFonts w:ascii="Courier New" w:cs="Courier New" w:eastAsia="Courier New" w:hAnsi="Courier New"/>
          <w:color w:val="1B3A5C"/>
          <w:sz w:val="16"/>
          <w:szCs w:val="16"/>
        </w:rPr>
        <w:t xml:space="preserve">│   ► Purge after 3 years              ► Indefinite (on hold)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Gap: No legal hold tracking system; compliance unmeasured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6. Sub-Capability 5.4: Data Disposal and Destruction</w:t>
      </w:r>
    </w:p>
    <w:p>
      <w:pPr>
        <w:spacing w:after="160" w:line="300"/>
      </w:pPr>
      <w:r>
        <w:rPr>
          <w:rFonts w:ascii="Arial" w:cs="Arial" w:eastAsia="Arial" w:hAnsi="Arial"/>
          <w:b w:val="false"/>
          <w:bCs w:val="false"/>
          <w:i w:val="false"/>
          <w:iCs w:val="false"/>
          <w:color w:val="333333"/>
          <w:sz w:val="22"/>
          <w:szCs w:val="22"/>
        </w:rPr>
        <w:t xml:space="preserve">Sub-Capability 5.4 assesses the organization's ability to securely destroy, dispose of, and retire data assets when they have reached the end of their retention period or business usefulness. Rackspace scores 3 (Defined) on this dimension, reflecting the definition of destruction methods in domain-specific retention policies (CTL-037 enforcement), the existence of a preventive control governing destruction (CTL-037), and alignment to regulatory destruction requirements (GDPR Art. 17 right to erasure, SOX record destruction, PCI DSS secure deletion). However, the defining gap is the same Automated Purge Contradiction: CTL-037 promises automated purge execution, but no automated purge tool is deployed, no KPIs measure purge success rate, and no compliance dashboard tracks whether expired data is actually being destroyed.</w:t>
      </w:r>
    </w:p>
    <w:p>
      <w:pPr>
        <w:spacing w:after="160" w:line="300"/>
      </w:pPr>
      <w:r>
        <w:rPr>
          <w:rFonts w:ascii="Arial" w:cs="Arial" w:eastAsia="Arial" w:hAnsi="Arial"/>
          <w:b w:val="false"/>
          <w:bCs w:val="false"/>
          <w:i w:val="false"/>
          <w:iCs w:val="false"/>
          <w:color w:val="333333"/>
          <w:sz w:val="22"/>
          <w:szCs w:val="22"/>
        </w:rPr>
        <w:t xml:space="preserve">The destruction method landscape across the 90 data domains is diverse and context-specific. For example, dd-029 (Config &amp; Change Mgmt Data) specifies destruction via 'Git archival; CMDB auto-purge; Engineering VP approval for IaC.' This indicates that configuration management database (CMDB) records are purged automatically when they expire, infrastructure-as-code (IaC) files are archived to Git (a long-term read-only repository), and infrastructure changes require vice-presidential approval before permanent deletion. In contrast, dd-033 (Data Pipeline &amp; ETL) uses 'Git archival; time-series auto-purge; VP approval for cloud pipeline state,' indicating that pipeline configuration files are archived and older time-series data is automatically purged (e.g., old telemetry data older than 90 days). And dd-037 (ISO Certification Data) requires 'Systematic ISMS document control; cert body notification required,' indicating that ISO certification and audit records follow a formal ISMS (Information Security Management System) process with certification body notification before destruction. These examples demonstrate that destruction methods are tailored to the data type, regulatory requirement, and operational need. However, none of these methods are actually automated and measured; they are documented intent without operational verification.</w:t>
      </w:r>
    </w:p>
    <w:p>
      <w:pPr>
        <w:spacing w:after="160" w:line="300"/>
      </w:pPr>
      <w:r>
        <w:rPr>
          <w:rFonts w:ascii="Arial" w:cs="Arial" w:eastAsia="Arial" w:hAnsi="Arial"/>
          <w:b w:val="false"/>
          <w:bCs w:val="false"/>
          <w:i w:val="false"/>
          <w:iCs w:val="false"/>
          <w:color w:val="333333"/>
          <w:sz w:val="22"/>
          <w:szCs w:val="22"/>
        </w:rPr>
        <w:t xml:space="preserve">The control infrastructure governing disposal includes CTL-037 (Data Retention and Automated Purge) as the primary control, and CTL-032 (Data Loss Prevention) as a secondary detective control that identifies data at risk of unauthorized loss during disposal. CTL-037 is classified as Preventive, owned by Data Governance, with KPIs all null and evidence_collection_automated = FALSE. The control's description emphasizes automation: 'Automated data retention enforcement aligned with regulatory requirements (7-year SOX, 6-year GDPR, sector-specific). 13-month security log retention for audit-ready compliance. Automated purge processes for expired data.' Yet the operational evidence contradicts this: no purge automation tool is deployed, no metrics measure whether purge is occurring, and no audit logs capture purge execution. The control is Implemented in the sense that the policy exists and destruction methods are defined, but not Implemented in the sense that purge execution is automated and measured. This represents what this assessment calls 'Procedural Implementation without Operational Automation.'</w:t>
      </w:r>
    </w:p>
    <w:p>
      <w:pPr>
        <w:spacing w:after="160" w:line="300"/>
      </w:pPr>
      <w:r>
        <w:rPr>
          <w:rFonts w:ascii="Arial" w:cs="Arial" w:eastAsia="Arial" w:hAnsi="Arial"/>
          <w:b w:val="false"/>
          <w:bCs w:val="false"/>
          <w:i w:val="false"/>
          <w:iCs w:val="false"/>
          <w:color w:val="333333"/>
          <w:sz w:val="22"/>
          <w:szCs w:val="22"/>
        </w:rPr>
        <w:t xml:space="preserve">The organizational mandate for secure disposal is clear. Dept-053 (Data Protection Department, $1.092M, 7 HC) is responsible for 'data sovereignty' and 'compliant data storage,' which includes ensuring that data is disposed of securely according to regulatory and classification requirements. Dept-242 (Privacy &amp; Data Protection Department, $3.25M, 10 HC) is responsible for GDPR compliance, including the right to erasure (Art. 17) and data subject deletion rights, which require secure disposal upon request. The Data Protection Specialist (role-258, P4) is chartered for 'encryption' and key management, which extends to ensuring that cryptographic keys used to encrypt data are destroyed when the data is destroyed (tied to CTL-036 Key Management Lifecycle). However, the current operational state does not support automated secure disposal at scale. Organizations like Rackspace that handle customer data under regulatory obligations (GDPR, SOX, PCI DSS, HIPAA) must be able to prove that data has been securely destroyed when requested or when retention periods expire. Without automated purge and audit logs, this proof is difficult to demonstrate.</w:t>
      </w:r>
    </w:p>
    <w:p>
      <w:pPr>
        <w:spacing w:after="160" w:line="300"/>
      </w:pPr>
      <w:r>
        <w:rPr>
          <w:rFonts w:ascii="Arial" w:cs="Arial" w:eastAsia="Arial" w:hAnsi="Arial"/>
          <w:b w:val="false"/>
          <w:bCs w:val="false"/>
          <w:i w:val="false"/>
          <w:iCs w:val="false"/>
          <w:color w:val="333333"/>
          <w:sz w:val="22"/>
          <w:szCs w:val="22"/>
        </w:rPr>
        <w:t xml:space="preserve">The gap is three-fold. First, purge automation is not deployed: 'automated purge processes' remain theoretical, with no tool executing purges according to schedule. Second, purge compliance cannot be measured: without a purge tracking system, Rackspace cannot report on the percentage of expired data that has been purged within SLA (e.g., 30 days of expiration). Third, cryptographic key lifecycle is not integrated with data disposal: when data encrypted with a key is destroyed, the key should also be destroyed or archived (per CTL-036), but no integration between data retention/disposal (CTL-037) and key management (CTL-036) is documented. Moving from Defined (3) to Managed (4) requires deploying automated purge capabilities across the data domains (prioritizing high-sensitivity Restricted and Confidential data), implementing purge audit logs and compliance dashboards, integrating key management lifecycle with data disposal, and establishing monthly purge compliance reporting to the Data Governance Council. The timeline is 12-18 months contingent on technology platform selection and operational integration with data governance.</w:t>
      </w:r>
    </w:p>
    <w:p>
      <w:pPr>
        <w:pStyle w:val="Heading3"/>
        <w:spacing w:after="200" w:before="300"/>
      </w:pPr>
      <w:r>
        <w:rPr>
          <w:rFonts w:ascii="Arial" w:cs="Arial" w:eastAsia="Arial" w:hAnsi="Arial"/>
        </w:rPr>
        <w:t xml:space="preserve">Destruction Method Maturity</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CTL-037: DOCUMENTED vs OPERATIONAL STATE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DOCUMENTED STATE              OPERATIONAL STATE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Automated purge processes     No automated tool deployed           │</w:t>
      </w:r>
    </w:p>
    <w:p>
      <w:pPr>
        <w:spacing w:after="0" w:line="240"/>
      </w:pPr>
      <w:r>
        <w:rPr>
          <w:rFonts w:ascii="Courier New" w:cs="Courier New" w:eastAsia="Courier New" w:hAnsi="Courier New"/>
          <w:color w:val="1B3A5C"/>
          <w:sz w:val="16"/>
          <w:szCs w:val="16"/>
        </w:rPr>
        <w:t xml:space="preserve">│ Regulatory enforcement       No compliance measurements           │</w:t>
      </w:r>
    </w:p>
    <w:p>
      <w:pPr>
        <w:spacing w:after="0" w:line="240"/>
      </w:pPr>
      <w:r>
        <w:rPr>
          <w:rFonts w:ascii="Courier New" w:cs="Courier New" w:eastAsia="Courier New" w:hAnsi="Courier New"/>
          <w:color w:val="1B3A5C"/>
          <w:sz w:val="16"/>
          <w:szCs w:val="16"/>
        </w:rPr>
        <w:t xml:space="preserve">│ 7y SOX, 6y GDPR, 13mo logs   KPIs all null                        │</w:t>
      </w:r>
    </w:p>
    <w:p>
      <w:pPr>
        <w:spacing w:after="0" w:line="240"/>
      </w:pPr>
      <w:r>
        <w:rPr>
          <w:rFonts w:ascii="Courier New" w:cs="Courier New" w:eastAsia="Courier New" w:hAnsi="Courier New"/>
          <w:color w:val="1B3A5C"/>
          <w:sz w:val="16"/>
          <w:szCs w:val="16"/>
        </w:rPr>
        <w:t xml:space="preserve">│ Preventive control           evidence_collection_automated=FALSE  │</w:t>
      </w:r>
    </w:p>
    <w:p>
      <w:pPr>
        <w:spacing w:after="0" w:line="240"/>
      </w:pPr>
      <w:r>
        <w:rPr>
          <w:rFonts w:ascii="Courier New" w:cs="Courier New" w:eastAsia="Courier New" w:hAnsi="Courier New"/>
          <w:color w:val="1B3A5C"/>
          <w:sz w:val="16"/>
          <w:szCs w:val="16"/>
        </w:rPr>
        <w:t xml:space="preserve">│ Owner: Data Governance       No audit logs generated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RESULT: Policy → Procedural Naming =/= Operational Automation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7. Cross-Cutting Analysis: Systemic Tensions and Regulatory Complexity</w:t>
      </w:r>
    </w:p>
    <w:p>
      <w:pPr>
        <w:spacing w:after="160" w:line="300"/>
      </w:pPr>
      <w:r>
        <w:rPr>
          <w:rFonts w:ascii="Arial" w:cs="Arial" w:eastAsia="Arial" w:hAnsi="Arial"/>
          <w:b w:val="false"/>
          <w:bCs w:val="false"/>
          <w:i w:val="false"/>
          <w:iCs w:val="false"/>
          <w:color w:val="333333"/>
          <w:sz w:val="22"/>
          <w:szCs w:val="22"/>
        </w:rPr>
        <w:t xml:space="preserve">Six key cross-cutting tensions emerge from the analysis of Capability 5 across all four sub-capabilities, revealing systemic gaps between policy articulation and operational measurement that must be addressed to progress from Defined (3) to Managed (4).</w:t>
      </w:r>
    </w:p>
    <w:p>
      <w:pPr>
        <w:pStyle w:val="Heading3"/>
        <w:spacing w:after="200" w:before="300"/>
      </w:pPr>
      <w:r>
        <w:rPr>
          <w:rFonts w:ascii="Arial" w:cs="Arial" w:eastAsia="Arial" w:hAnsi="Arial"/>
        </w:rPr>
        <w:t xml:space="preserve">Tension 1: 'Compliance Measurement Void' — Policy Without Verification</w:t>
      </w:r>
    </w:p>
    <w:p>
      <w:pPr>
        <w:spacing w:after="160" w:line="300"/>
      </w:pPr>
      <w:r>
        <w:rPr>
          <w:rFonts w:ascii="Arial" w:cs="Arial" w:eastAsia="Arial" w:hAnsi="Arial"/>
          <w:b w:val="false"/>
          <w:bCs w:val="false"/>
          <w:i w:val="false"/>
          <w:iCs w:val="false"/>
          <w:color w:val="333333"/>
          <w:sz w:val="22"/>
          <w:szCs w:val="22"/>
        </w:rPr>
        <w:t xml:space="preserve">Both POL-016 (Data Classification Policy) and POL-026 (Data Retention and Disposal Policy) have empty compliance_measurement fields across all metrics: target compliance percentage, current value, measurement methodology, and measurement frequency. This creates a paradoxical situation: Rackspace has documented extraordinarily detailed requirements (four classification tiers, domain-specific retention periods, regulatory basis, destruction methods) but has not operationalized any mechanism to verify compliance. The organization cannot answer whether classification is accurate, whether retention schedules are being followed, whether purges are executing, or whether legal holds are being respected. Without measurement, improvement is impossible: you cannot improve what you do not measure. Additionally, demonstrating compliance to regulators (GDPR, SOX, PCI DSS, HIPAA auditors) requires measurement evidence. Audit responses cannot be data-driven if no data exists.</w:t>
      </w:r>
    </w:p>
    <w:p>
      <w:pPr>
        <w:pStyle w:val="Heading3"/>
        <w:spacing w:after="200" w:before="300"/>
      </w:pPr>
      <w:r>
        <w:rPr>
          <w:rFonts w:ascii="Arial" w:cs="Arial" w:eastAsia="Arial" w:hAnsi="Arial"/>
        </w:rPr>
        <w:t xml:space="preserve">Tension 2: 'Automated Purge Contradiction' — Named Promise vs Operational Reality</w:t>
      </w:r>
    </w:p>
    <w:p>
      <w:pPr>
        <w:spacing w:after="160" w:line="300"/>
      </w:pPr>
      <w:r>
        <w:rPr>
          <w:rFonts w:ascii="Arial" w:cs="Arial" w:eastAsia="Arial" w:hAnsi="Arial"/>
          <w:b w:val="false"/>
          <w:bCs w:val="false"/>
          <w:i w:val="false"/>
          <w:iCs w:val="false"/>
          <w:color w:val="333333"/>
          <w:sz w:val="22"/>
          <w:szCs w:val="22"/>
        </w:rPr>
        <w:t xml:space="preserve">CTL-037 is named 'Data Retention and Automated Purge' and described as providing 'automated data retention enforcement' and 'automated purge processes for expired data.' However, the control's evidence_collection_automated field is FALSE, all KPIs are null, no automated purge tool is deployed, and no mechanism exists to measure whether expired data is actually being purged. The control's name and description promise automation; the operational metadata reveals manual processes not yet supported by technology. This contradiction is common in enterprise governance: controls are named for their target end state (automated, fully implemented) but operationally remain in the procedural or manual phase. The danger is that the control's documented 'implementation' status masks the operational gap, creating a false sense of security. Auditors, compliance teams, and executives may believe the control is fully automated when it is actually manual and unmeasured. Moving from Defined to Managed requires not renaming the control, but actually automating it and measuring its execution.</w:t>
      </w:r>
    </w:p>
    <w:p>
      <w:pPr>
        <w:pStyle w:val="Heading3"/>
        <w:spacing w:after="200" w:before="300"/>
      </w:pPr>
      <w:r>
        <w:rPr>
          <w:rFonts w:ascii="Arial" w:cs="Arial" w:eastAsia="Arial" w:hAnsi="Arial"/>
        </w:rPr>
        <w:t xml:space="preserve">Tension 3: 'Classification Coverage Void' — Defined Scheme, Unknown Coverage</w:t>
      </w:r>
    </w:p>
    <w:p>
      <w:pPr>
        <w:spacing w:after="160" w:line="300"/>
      </w:pPr>
      <w:r>
        <w:rPr>
          <w:rFonts w:ascii="Arial" w:cs="Arial" w:eastAsia="Arial" w:hAnsi="Arial"/>
          <w:b w:val="false"/>
          <w:bCs w:val="false"/>
          <w:i w:val="false"/>
          <w:iCs w:val="false"/>
          <w:color w:val="333333"/>
          <w:sz w:val="22"/>
          <w:szCs w:val="22"/>
        </w:rPr>
        <w:t xml:space="preserve">POL-016 defines a four-tier classification scheme (Public, Internal, Confidential, Restricted) with explicit downstream implications for encryption, access control, retention, and disposal. CTL-031 is designed to enforce classification at data ingestion. Yet no measurement dashboard exists to track: percentage of data domains classified, percentage of data assets classified, percentage of new data classified at ingestion, accuracy of existing classifications, or misclassification rate. The four tiers are defined; coverage is unknown. This is a 'coverage void': the organization has a classification framework but does not know whether it has been applied to the data estate. Without measurement, classification cannot drive downstream controls effectively. For example, if 30% of data is Restricted but incorrectly classified as Internal, that data will not receive the Restricted-tier encryption and access controls, creating a security gap. Rackspace has published controls that depend on accurate classification (CTL-036 Key Management Lifecycle, CTL-032 Data Loss Prevention) but cannot verify that classification accuracy upstream.</w:t>
      </w:r>
    </w:p>
    <w:p>
      <w:pPr>
        <w:pStyle w:val="Heading3"/>
        <w:spacing w:after="200" w:before="300"/>
      </w:pPr>
      <w:r>
        <w:rPr>
          <w:rFonts w:ascii="Arial" w:cs="Arial" w:eastAsia="Arial" w:hAnsi="Arial"/>
        </w:rPr>
        <w:t xml:space="preserve">Tension 4: 'Regulatory Complexity Harmonization' — 70 Regulations, 1 Policy</w:t>
      </w:r>
    </w:p>
    <w:p>
      <w:pPr>
        <w:spacing w:after="160" w:line="300"/>
      </w:pPr>
      <w:r>
        <w:rPr>
          <w:rFonts w:ascii="Arial" w:cs="Arial" w:eastAsia="Arial" w:hAnsi="Arial"/>
          <w:b w:val="false"/>
          <w:bCs w:val="false"/>
          <w:i w:val="false"/>
          <w:iCs w:val="false"/>
          <w:color w:val="333333"/>
          <w:sz w:val="22"/>
          <w:szCs w:val="22"/>
        </w:rPr>
        <w:t xml:space="preserve">Rackspace operates across 70 distinct regulatory regimes with different retention requirements: GDPR (6-year or indefinite for litigation holds), SOX (7-year), PCI DSS (1-year minimum, 3-month for security logs), CMMC (varies by classification level), FedRAMP (3-year minimum), HIPAA (6-year minimum or indefinite for investigation holds), and 64 others across geographies (UK GDPR, India DPDP Act, Singapore PDPA, Malaysia PDPA, Germany BDSG, UAE PDPL, Virginia VCDPA, etc.). POL-026 must harmonize these conflicting requirements into a single enterprise retention policy. The organization has solved this at the policy level (documented retention per domain) but not at the compliance verification level. No central compliance dashboard measures adherence to the harmonized policy across the 70 regulatory contexts. No dashboard shows: 'X% of GDPR-regulated data is being retained according to GDPR requirements; Y% of SOX-regulated data is being retained according to SOX requirements.' Without this regulatory-specific compliance measurement, Rackspace cannot provide assurance to regulators or audit responses to specific regulatory questions (e.g., 'What percentage of personal data subject to GDPR Article 5(1)(e) is being retained longer than necessary?').</w:t>
      </w:r>
    </w:p>
    <w:p>
      <w:pPr>
        <w:pStyle w:val="Heading3"/>
        <w:spacing w:after="200" w:before="300"/>
      </w:pPr>
      <w:r>
        <w:rPr>
          <w:rFonts w:ascii="Arial" w:cs="Arial" w:eastAsia="Arial" w:hAnsi="Arial"/>
        </w:rPr>
        <w:t xml:space="preserve">Tension 5: 'Legal Hold Complexity' — Dec 2022 Breach Litigation Holds Override Schedules</w:t>
      </w:r>
    </w:p>
    <w:p>
      <w:pPr>
        <w:spacing w:after="160" w:line="300"/>
      </w:pPr>
      <w:r>
        <w:rPr>
          <w:rFonts w:ascii="Arial" w:cs="Arial" w:eastAsia="Arial" w:hAnsi="Arial"/>
          <w:b w:val="false"/>
          <w:bCs w:val="false"/>
          <w:i w:val="false"/>
          <w:iCs w:val="false"/>
          <w:color w:val="333333"/>
          <w:sz w:val="22"/>
          <w:szCs w:val="22"/>
        </w:rPr>
        <w:t xml:space="preserve">The December 2022 Hosted Exchange breach created active litigation holds affecting multiple data domains: dd-029 (CAB records from Oct-Dec 2022), dd-033 (Hosted Exchange data processed during Dec 2022), and dd-037 (ISO 27001 ISMS records during Dec 2022) are under litigation hold and must be retained indefinitely until the hold is lifted by legal counsel. Litigation holds override normal retention schedules: data that would ordinarily be purged after 1-7 years must instead be retained indefinitely while the hold is active. The current governance model documents which domains have holds but does not specify the mechanics of hold tracking, hold release procedures, or how retention resumes post-hold. Rackspace needs a legal hold management infrastructure separate from standard retention scheduling that can: track all active holds by domain, record hold date and expected/actual release date, enforce indefinite retention while hold is active, notify data custodians when holds are released, and resume normal retention schedules post-release. Without this infrastructure, data may be purged while a hold is active (creating legal liability) or retained indefinitely after a hold is released (creating unnecessary storage costs and regulatory concerns).</w:t>
      </w:r>
    </w:p>
    <w:p>
      <w:pPr>
        <w:pStyle w:val="Heading3"/>
        <w:spacing w:after="200" w:before="300"/>
      </w:pPr>
      <w:r>
        <w:rPr>
          <w:rFonts w:ascii="Arial" w:cs="Arial" w:eastAsia="Arial" w:hAnsi="Arial"/>
        </w:rPr>
        <w:t xml:space="preserve">Tension 6: 'Two Data Protection Departments, Unified Mandate' — Structural Silos</w:t>
      </w:r>
    </w:p>
    <w:p>
      <w:pPr>
        <w:spacing w:after="160" w:line="300"/>
      </w:pPr>
      <w:r>
        <w:rPr>
          <w:rFonts w:ascii="Arial" w:cs="Arial" w:eastAsia="Arial" w:hAnsi="Arial"/>
          <w:b w:val="false"/>
          <w:bCs w:val="false"/>
          <w:i w:val="false"/>
          <w:iCs w:val="false"/>
          <w:color w:val="333333"/>
          <w:sz w:val="22"/>
          <w:szCs w:val="22"/>
        </w:rPr>
        <w:t xml:space="preserve">Rackspace has two distinct Data Protection organizational units with complementary but potentially siloed mandates. Dept-053 (Data Protection Department, $1.092M, 7 HC) focuses on technical data protection: DLP, compliant data storage, encryption, data sovereignty. Dept-242 (Privacy &amp; Data Protection Department, $3.25M, 10 HC) focuses on regulatory compliance: GDPR, CCPA, privacy notices, data protection agreements, data subject rights. Together they represent $4.34M annual investment and 17 full-time equivalents. However, no single unified data lifecycle governance body is documented as reconciling their efforts on classification, retention, and disposal. For example, dept-053 may define technical retention enforcement (automated purge via CTL-037) while dept-242 may define regulatory retention requirements (POL-026). If these two units do not coordinate, technical implementation may not align with regulatory intent. Best practice consolidates data protection governance under a Chief Data Officer or Chief Privacy Officer with both technical and compliance authority, ensuring that technical automation aligns with regulatory requirements and measurement validates compliance.</w:t>
      </w:r>
    </w:p>
    <w:p>
      <w:r>
        <w:br w:type="page"/>
      </w:r>
    </w:p>
    <w:p>
      <w:pPr>
        <w:pStyle w:val="Heading1"/>
        <w:spacing w:after="200" w:before="300"/>
      </w:pPr>
      <w:r>
        <w:rPr>
          <w:rFonts w:ascii="Arial" w:cs="Arial" w:eastAsia="Arial" w:hAnsi="Arial"/>
        </w:rPr>
        <w:t xml:space="preserve">8. Recommendations for Moving from Defined (3) to Managed (4)</w:t>
      </w:r>
    </w:p>
    <w:p>
      <w:pPr>
        <w:spacing w:after="160" w:line="300"/>
      </w:pPr>
      <w:r>
        <w:rPr>
          <w:rFonts w:ascii="Arial" w:cs="Arial" w:eastAsia="Arial" w:hAnsi="Arial"/>
          <w:b w:val="false"/>
          <w:bCs w:val="false"/>
          <w:i w:val="false"/>
          <w:iCs w:val="false"/>
          <w:color w:val="333333"/>
          <w:sz w:val="22"/>
          <w:szCs w:val="22"/>
        </w:rPr>
        <w:t xml:space="preserve">The following five recommendations address the core gaps identified in the assessment and provide a roadmap to advance Capability 5 from Defined (3) to Managed (4) within 18-24 months.</w:t>
      </w:r>
    </w:p>
    <w:p>
      <w:pPr>
        <w:pStyle w:val="Heading3"/>
        <w:spacing w:after="200" w:before="300"/>
      </w:pPr>
      <w:r>
        <w:rPr>
          <w:rFonts w:ascii="Arial" w:cs="Arial" w:eastAsia="Arial" w:hAnsi="Arial"/>
        </w:rPr>
        <w:t xml:space="preserve">Recommendation 1: Operationalize Compliance Measurement Infrastructure</w:t>
      </w:r>
    </w:p>
    <w:p>
      <w:pPr>
        <w:spacing w:after="160" w:line="300"/>
      </w:pPr>
      <w:r>
        <w:rPr>
          <w:rFonts w:ascii="Arial" w:cs="Arial" w:eastAsia="Arial" w:hAnsi="Arial"/>
          <w:b w:val="false"/>
          <w:bCs w:val="false"/>
          <w:i w:val="false"/>
          <w:iCs w:val="false"/>
          <w:color w:val="333333"/>
          <w:sz w:val="22"/>
          <w:szCs w:val="22"/>
        </w:rPr>
        <w:t xml:space="preserve">Target: Deploy a centralized data lifecycle compliance dashboard measuring classification accuracy, retention schedule adherence, purge execution rate, and legal hold status across all 90 data domains. Timeline: 12 months. Implementation: Select a data governance/retention management platform (e.g., Collibra, Alation, Varonis, or custom solution), integrate with existing data catalog (if any), automate metadata collection on classification, retention dates, purge execution, and legal hold flags, create KPI definitions for POL-016 and POL-026 (e.g., 'Percentage of data domains classified to assigned tier: target 100%; current 0%; measurement: quarterly domain audit; frequency: quarterly'), establish monthly compliance review meetings with Data Governance Council, and publish compliance metrics in executive-facing dashboard. Success criteria: compliance_measurement fields populated for POL-016 and POL-026 with defined targets (100%), current values (baseline by month 3), methodology (manual domain audit by month 6 transitioning to automated by month 12), and frequency (monthly or quarterly).</w:t>
      </w:r>
    </w:p>
    <w:p>
      <w:pPr>
        <w:pStyle w:val="Heading3"/>
        <w:spacing w:after="200" w:before="300"/>
      </w:pPr>
      <w:r>
        <w:rPr>
          <w:rFonts w:ascii="Arial" w:cs="Arial" w:eastAsia="Arial" w:hAnsi="Arial"/>
        </w:rPr>
        <w:t xml:space="preserve">Recommendation 2: Automate Data Retention and Purge Execution</w:t>
      </w:r>
    </w:p>
    <w:p>
      <w:pPr>
        <w:spacing w:after="160" w:line="300"/>
      </w:pPr>
      <w:r>
        <w:rPr>
          <w:rFonts w:ascii="Arial" w:cs="Arial" w:eastAsia="Arial" w:hAnsi="Arial"/>
          <w:b w:val="false"/>
          <w:bCs w:val="false"/>
          <w:i w:val="false"/>
          <w:iCs w:val="false"/>
          <w:color w:val="333333"/>
          <w:sz w:val="22"/>
          <w:szCs w:val="22"/>
        </w:rPr>
        <w:t xml:space="preserve">Target: Deploy automated purge capabilities for data assets at end of retention period, with comprehensive audit logging and compliance verification. Timeline: 12-18 months. Implementation: Evaluate existing data platforms (cloud data warehouses, data lakes, relational databases) for native retention/lifecycle management capabilities; select a purge automation approach (native platform capabilities, retention management tool, or custom workflow); pilot automated purge on low-risk data domains (e.g., operational logs with 13-month retention); define purge SLA (e.g., data must be purged within 30 days of retention expiration); implement comprehensive audit logging capturing data asset identifier, retention end date, purge execution date, purged volume; create purge compliance dashboard measuring percentage of expired data purged within SLA (target 100%; acceptance threshold 95%); integrate purge audit logs into compliance reporting. Success criteria: evidence_collection_automated set to TRUE for CTL-037, KPIs defined and measured monthly (purge SLA compliance percentage, average days-to-purge post-expiration), audit logs captured for all purge operations, and monthly purge compliance report available to Data Governance Council.</w:t>
      </w:r>
    </w:p>
    <w:p>
      <w:pPr>
        <w:pStyle w:val="Heading3"/>
        <w:spacing w:after="200" w:before="300"/>
      </w:pPr>
      <w:r>
        <w:rPr>
          <w:rFonts w:ascii="Arial" w:cs="Arial" w:eastAsia="Arial" w:hAnsi="Arial"/>
        </w:rPr>
        <w:t xml:space="preserve">Recommendation 3: Implement Legal Hold Management System</w:t>
      </w:r>
    </w:p>
    <w:p>
      <w:pPr>
        <w:spacing w:after="160" w:line="300"/>
      </w:pPr>
      <w:r>
        <w:rPr>
          <w:rFonts w:ascii="Arial" w:cs="Arial" w:eastAsia="Arial" w:hAnsi="Arial"/>
          <w:b w:val="false"/>
          <w:bCs w:val="false"/>
          <w:i w:val="false"/>
          <w:iCs w:val="false"/>
          <w:color w:val="333333"/>
          <w:sz w:val="22"/>
          <w:szCs w:val="22"/>
        </w:rPr>
        <w:t xml:space="preserve">Target: Deploy infrastructure to track, manage, and enforce litigation holds, investigation holds, and regulatory holds with clear procedures for hold suspension and release. Timeline: 9-12 months. Implementation: Integrate with Legal department to identify all active holds, data domains affected (document the current holds on dd-029, dd-033, dd-037 and any others), hold origination date, expected/actual release date, and hold authority (litigation, regulatory investigation, etc.); select or build a hold management system that tracks this metadata; create a hold status field in data retention policies that marks data as 'on hold' and overrides standard retention schedules; establish a monthly hold review process with Legal and Data Governance to track hold status changes and release events; define procedures for hold release (legal approval, notification to data custodians, resumption of standard retention); integrate hold status into compliance dashboards so that data under hold is excluded from purge calculations and recognized as exception. Success criteria: all active litigation holds documented and tracked, hold management system operational, hold status visible in retention policy and compliance dashboard, monthly hold review process established with documented outcomes, and zero purges executed on data under active hold.</w:t>
      </w:r>
    </w:p>
    <w:p>
      <w:pPr>
        <w:pStyle w:val="Heading3"/>
        <w:spacing w:after="200" w:before="300"/>
      </w:pPr>
      <w:r>
        <w:rPr>
          <w:rFonts w:ascii="Arial" w:cs="Arial" w:eastAsia="Arial" w:hAnsi="Arial"/>
        </w:rPr>
        <w:t xml:space="preserve">Recommendation 4: Enhance Data Classification Coverage and Measurement</w:t>
      </w:r>
    </w:p>
    <w:p>
      <w:pPr>
        <w:spacing w:after="160" w:line="300"/>
      </w:pPr>
      <w:r>
        <w:rPr>
          <w:rFonts w:ascii="Arial" w:cs="Arial" w:eastAsia="Arial" w:hAnsi="Arial"/>
          <w:b w:val="false"/>
          <w:bCs w:val="false"/>
          <w:i w:val="false"/>
          <w:iCs w:val="false"/>
          <w:color w:val="333333"/>
          <w:sz w:val="22"/>
          <w:szCs w:val="22"/>
        </w:rPr>
        <w:t xml:space="preserve">Target: Achieve 100% classification coverage across all 90 data domains and implement automated classification accuracy measurement. Timeline: 12-18 months. Implementation: Conduct a baseline classification audit across all 90 domains (month 1-2), document current classification for each domain (assign tier: Public, Internal, Confidential, or Restricted based on data sensitivity); identify gaps where classification is missing or questionable; define classification decision criteria per tier (e.g., 'Confidential = data containing customer PII, financial data, or internal strategy information'); implement automated classification labeling in data ingestion workflows for new data (partner with data engineering teams); establish a quarterly reclassification review process to catch data sensitivity changes (e.g., data that becomes Restricted due to privacy incidents or regulatory holds); measure classification coverage (target 100%), accuracy (sample 10% of domains monthly, verify classification aligns with decision criteria, target 95% accuracy), and misclassification rate (target &lt;5%). Success criteria: all 90 domains classified, CTL-031 KPIs defined and measured (classification coverage %, accuracy %, misclassification rate), monthly classification compliance dashboard published to Data Governance Council, and automated classification integrated into data ingestion workflows.</w:t>
      </w:r>
    </w:p>
    <w:p>
      <w:pPr>
        <w:pStyle w:val="Heading3"/>
        <w:spacing w:after="200" w:before="300"/>
      </w:pPr>
      <w:r>
        <w:rPr>
          <w:rFonts w:ascii="Arial" w:cs="Arial" w:eastAsia="Arial" w:hAnsi="Arial"/>
        </w:rPr>
        <w:t xml:space="preserve">Recommendation 5: Consolidate Data Protection Governance and Establish Chief Data/Privacy Officer Accountability</w:t>
      </w:r>
    </w:p>
    <w:p>
      <w:pPr>
        <w:spacing w:after="160" w:line="300"/>
      </w:pPr>
      <w:r>
        <w:rPr>
          <w:rFonts w:ascii="Arial" w:cs="Arial" w:eastAsia="Arial" w:hAnsi="Arial"/>
          <w:b w:val="false"/>
          <w:bCs w:val="false"/>
          <w:i w:val="false"/>
          <w:iCs w:val="false"/>
          <w:color w:val="333333"/>
          <w:sz w:val="22"/>
          <w:szCs w:val="22"/>
        </w:rPr>
        <w:t xml:space="preserve">Target: Establish a unified data lifecycle governance structure reporting to a Chief Data Officer or Chief Privacy Officer with clear accountability for classification, retention, and disposal across Dept-053 and Dept-242. Timeline: Immediate (0-3 months). Implementation: Identify or create a Chief Data Officer or Chief Privacy Officer role with authority over both dept-053 (technical data protection) and dept-242 (regulatory compliance); establish a weekly Data Lifecycle Governance Council meeting with representatives from both departments, IT security, legal, and business units; create a data lifecycle maturity roadmap with clear milestones for advancing from Defined (3) to Managed (4) to Optimized (5); assign clear accountability for each capability: POL-016 classification policy ownership (e.g., CISO or Chief Data Officer), POL-026 retention policy ownership (e.g., Chief Privacy Officer), CTL-031 classification control implementation (Data Governance + IT Security), CTL-037 purge automation implementation (Data Governance + Data Engineering), legal hold management (Legal + Data Governance); publish a quarterly Data Lifecycle Governance Report to executive leadership (CFO, CISO, GC) with compliance metrics, risk summary, and mitigation progress. Success criteria: unified governance structure established with clear roles and accountability, weekly Data Lifecycle Governance Council meeting scheduled with consistent attendance, data lifecycle maturity roadmap published, and quarterly governance report delivered.</w:t>
      </w:r>
    </w:p>
    <w:p>
      <w:r>
        <w:br w:type="page"/>
      </w:r>
    </w:p>
    <w:p>
      <w:pPr>
        <w:pStyle w:val="Heading1"/>
        <w:spacing w:after="200" w:before="300"/>
      </w:pPr>
      <w:r>
        <w:rPr>
          <w:rFonts w:ascii="Arial" w:cs="Arial" w:eastAsia="Arial" w:hAnsi="Arial"/>
        </w:rPr>
        <w:t xml:space="preserve">9. Knowledge Graph Evidence Summary</w:t>
      </w:r>
    </w:p>
    <w:p>
      <w:pPr>
        <w:spacing w:after="160" w:line="300"/>
      </w:pPr>
      <w:r>
        <w:rPr>
          <w:rFonts w:ascii="Arial" w:cs="Arial" w:eastAsia="Arial" w:hAnsi="Arial"/>
          <w:b w:val="false"/>
          <w:bCs w:val="false"/>
          <w:i w:val="false"/>
          <w:iCs w:val="false"/>
          <w:color w:val="333333"/>
          <w:sz w:val="22"/>
          <w:szCs w:val="22"/>
        </w:rPr>
        <w:t xml:space="preserve">The following table summarizes the key entities from the knowledge graph supporting the Capability 5 assessment, organized by entity type (Policy, Control, Department, Role, Regulation, Data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&amp; Disposal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Labeling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&amp; Automated Purge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Loss Prevention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Key Management Lifecycle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dept-053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Protection Department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dept-242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&amp; Data Protection Dept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dept-069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Modernization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Strategy &amp; Governance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role-258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Protection Specialist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Lead Data Engineer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dd-029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 &amp; Change Mgmt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Pipeline &amp; ETL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Certification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GDPR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prd-014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Data Protection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Product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Context</w:t>
            </w:r>
          </w:p>
        </w:tc>
      </w:tr>
    </w:tbl>
    <w:p>
      <w:pPr>
        <w:spacing w:after="160" w:line="300"/>
      </w:pPr>
      <w:r>
        <w:rPr>
          <w:rFonts w:ascii="Arial" w:cs="Arial" w:eastAsia="Arial" w:hAnsi="Arial"/>
          <w:b w:val="false"/>
          <w:bCs w:val="false"/>
          <w:i/>
          <w:iCs/>
          <w:color w:val="333333"/>
          <w:sz w:val="22"/>
          <w:szCs w:val="22"/>
        </w:rPr>
        <w:t xml:space="preserve">Additional regulatory entities supporting retention requirements (70 total): reg-007 (UK GDPR), reg-013 (India DPDP Act), reg-014 (Singapore PDPA), reg-018 (Virginia VCDPA), reg-030 (Malaysia PDPA), reg-031 (Germany BDSG), reg-032 (UAE PDPL), reg-036 (CMMC), plus 62 additional regulations with jurisdiction-specific or sector-specific lifecycle requirements. Data domains number 90 total, each with populated retention_policy objects. The assessment draws evidence from 3,060 entities and 7,614 relationships in the knowledge graph.</w:t>
      </w:r>
    </w:p>
    <w:p>
      <w:pPr>
        <w:pStyle w:val="Heading3"/>
        <w:spacing w:after="200" w:before="300"/>
      </w:pPr>
      <w:r>
        <w:rPr>
          <w:rFonts w:ascii="Arial" w:cs="Arial" w:eastAsia="Arial" w:hAnsi="Arial"/>
        </w:rPr>
        <w:t xml:space="preserve">Key Relationship Evidence</w:t>
      </w:r>
    </w:p>
    <w:p>
      <w:pPr>
        <w:spacing w:after="160" w:line="300"/>
      </w:pPr>
      <w:r>
        <w:rPr>
          <w:rFonts w:ascii="Arial" w:cs="Arial" w:eastAsia="Arial" w:hAnsi="Arial"/>
          <w:b w:val="false"/>
          <w:bCs w:val="false"/>
          <w:i w:val="false"/>
          <w:iCs w:val="false"/>
          <w:color w:val="333333"/>
          <w:sz w:val="22"/>
          <w:szCs w:val="22"/>
        </w:rPr>
        <w:t xml:space="preserve">The following relationships between entities support the Capability 5 assessment:</w:t>
      </w:r>
    </w:p>
    <w:p>
      <w:pPr>
        <w:pStyle w:val="ListParagraph"/>
        <w:numPr>
          <w:ilvl w:val="0"/>
          <w:numId w:val="2"/>
        </w:numPr>
        <w:spacing w:after="100" w:line="280"/>
      </w:pPr>
      <w:r>
        <w:rPr>
          <w:rFonts w:ascii="Arial" w:cs="Arial" w:eastAsia="Arial" w:hAnsi="Arial"/>
          <w:color w:val="333333"/>
          <w:sz w:val="22"/>
          <w:szCs w:val="22"/>
        </w:rPr>
        <w:t xml:space="preserve">POL-016 (Data Classification Policy) defines four tiers (Public, Internal, Confidential, Restricted) that drive downstream retention requirements captured in domain-specific retention_policy objects for each of the 90 data domains (dd-001 through dd-090).</w:t>
      </w:r>
    </w:p>
    <w:p>
      <w:pPr>
        <w:pStyle w:val="ListParagraph"/>
        <w:numPr>
          <w:ilvl w:val="0"/>
          <w:numId w:val="2"/>
        </w:numPr>
        <w:spacing w:after="100" w:line="280"/>
      </w:pPr>
      <w:r>
        <w:rPr>
          <w:rFonts w:ascii="Arial" w:cs="Arial" w:eastAsia="Arial" w:hAnsi="Arial"/>
          <w:color w:val="333333"/>
          <w:sz w:val="22"/>
          <w:szCs w:val="22"/>
        </w:rPr>
        <w:t xml:space="preserve">POL-026 (Data Retention and Disposal Policy) harmonizes retention requirements across 70 regulatory regimes (reg-001 through reg-070), with minimum and maximum retention periods specified for each domain.</w:t>
      </w:r>
    </w:p>
    <w:p>
      <w:pPr>
        <w:pStyle w:val="ListParagraph"/>
        <w:numPr>
          <w:ilvl w:val="0"/>
          <w:numId w:val="2"/>
        </w:numPr>
        <w:spacing w:after="100" w:line="280"/>
      </w:pPr>
      <w:r>
        <w:rPr>
          <w:rFonts w:ascii="Arial" w:cs="Arial" w:eastAsia="Arial" w:hAnsi="Arial"/>
          <w:color w:val="333333"/>
          <w:sz w:val="22"/>
          <w:szCs w:val="22"/>
        </w:rPr>
        <w:t xml:space="preserve">CTL-031 (Data Classification Labeling) implements POL-016 by enforcing classification assignment at data ingestion, with downstream enforcement driving CTL-036 (key management), CTL-032 (DLP), and CTL-037 (retention/purge).</w:t>
      </w:r>
    </w:p>
    <w:p>
      <w:pPr>
        <w:pStyle w:val="ListParagraph"/>
        <w:numPr>
          <w:ilvl w:val="0"/>
          <w:numId w:val="2"/>
        </w:numPr>
        <w:spacing w:after="100" w:line="280"/>
      </w:pPr>
      <w:r>
        <w:rPr>
          <w:rFonts w:ascii="Arial" w:cs="Arial" w:eastAsia="Arial" w:hAnsi="Arial"/>
          <w:color w:val="333333"/>
          <w:sz w:val="22"/>
          <w:szCs w:val="22"/>
        </w:rPr>
        <w:t xml:space="preserve">CTL-037 (Data Retention and Automated Purge) implements POL-026 by executing purges according to domain-specific retention schedules, with legal hold exceptions documented for dd-029, dd-033, and dd-037 under the December 2022 Hosted Exchange breach litigation hold.</w:t>
      </w:r>
    </w:p>
    <w:p>
      <w:pPr>
        <w:pStyle w:val="ListParagraph"/>
        <w:numPr>
          <w:ilvl w:val="0"/>
          <w:numId w:val="2"/>
        </w:numPr>
        <w:spacing w:after="100" w:line="280"/>
      </w:pPr>
      <w:r>
        <w:rPr>
          <w:rFonts w:ascii="Arial" w:cs="Arial" w:eastAsia="Arial" w:hAnsi="Arial"/>
          <w:color w:val="333333"/>
          <w:sz w:val="22"/>
          <w:szCs w:val="22"/>
        </w:rPr>
        <w:t xml:space="preserve">Dept-053 (Data Protection Department) and Dept-242 (Privacy &amp; Data Protection Department) jointly own lifecycle governance, with technical implementation (dept-053) and regulatory compliance (dept-242) requiring unified coordination to advance from Defined (3) to Managed (4).</w:t>
      </w:r>
    </w:p>
    <w:p>
      <w:pPr>
        <w:pStyle w:val="ListParagraph"/>
        <w:numPr>
          <w:ilvl w:val="0"/>
          <w:numId w:val="2"/>
        </w:numPr>
        <w:spacing w:after="100" w:line="280"/>
      </w:pPr>
      <w:r>
        <w:rPr>
          <w:rFonts w:ascii="Arial" w:cs="Arial" w:eastAsia="Arial" w:hAnsi="Arial"/>
          <w:color w:val="333333"/>
          <w:sz w:val="22"/>
          <w:szCs w:val="22"/>
        </w:rPr>
        <w:t xml:space="preserve">Role-258 (Data Protection Specialist) is explicitly chartered for data classification, encryption, DLP, and key management, representing human accountability for lifecycle governance execution.</w:t>
      </w:r>
    </w:p>
    <w:p>
      <w:pPr>
        <w:spacing w:after="200"/>
      </w:pPr>
    </w:p>
    <w:p>
      <w:r>
        <w:br w:type="page"/>
      </w:r>
    </w:p>
    <w:p>
      <w:pPr>
        <w:pStyle w:val="Heading1"/>
        <w:spacing w:after="200" w:before="300"/>
      </w:pPr>
      <w:r>
        <w:rPr>
          <w:rFonts w:ascii="Arial" w:cs="Arial" w:eastAsia="Arial" w:hAnsi="Arial"/>
        </w:rPr>
        <w:t xml:space="preserve">10. Summary and Path Forward</w:t>
      </w:r>
    </w:p>
    <w:p>
      <w:pPr>
        <w:spacing w:after="160" w:line="300"/>
      </w:pPr>
      <w:r>
        <w:rPr>
          <w:rFonts w:ascii="Arial" w:cs="Arial" w:eastAsia="Arial" w:hAnsi="Arial"/>
          <w:b w:val="false"/>
          <w:bCs w:val="false"/>
          <w:i w:val="false"/>
          <w:iCs w:val="false"/>
          <w:color w:val="333333"/>
          <w:sz w:val="22"/>
          <w:szCs w:val="22"/>
        </w:rPr>
        <w:t xml:space="preserve">Rackspace Technology's Capability 5 (Data Lifecycle Management) is assessed at maturity level 3 (Defined), reflecting comprehensive policy articulation, control definition, and domain-specific retention engineering coupled with a systemic gap in operational measurement and automation. The organization has invested $4.34M and 17 full-time equivalents in data protection (dept-053, dept-242) and has deployed preventive controls (CTL-031, CTL-037) that should enforce classification and retention. However, the compliance_measurement fields for both POL-016 and POL-026 are empty, indicating that compliance cannot be verified. The CTL-037 'automated purge' control is not actually automated, creating a gap between policy promise and operational reality. And the four classification tiers are defined but coverage is unknown, preventing accurate downstream control enforcement.</w:t>
      </w:r>
    </w:p>
    <w:p>
      <w:pPr>
        <w:spacing w:after="160" w:line="300"/>
      </w:pPr>
      <w:r>
        <w:rPr>
          <w:rFonts w:ascii="Arial" w:cs="Arial" w:eastAsia="Arial" w:hAnsi="Arial"/>
          <w:b w:val="false"/>
          <w:bCs w:val="false"/>
          <w:i w:val="false"/>
          <w:iCs w:val="false"/>
          <w:color w:val="333333"/>
          <w:sz w:val="22"/>
          <w:szCs w:val="22"/>
        </w:rPr>
        <w:t xml:space="preserve">The path forward from Defined (3) to Managed (4) requires five actions: (1) operationalize compliance measurement infrastructure with a centralized dashboard tracking classification accuracy, retention adherence, purge execution, and legal hold status; (2) automate purge execution with comprehensive audit logging and SLA compliance measurement; (3) implement a legal hold management system to track, enforce, and release litigation holds; (4) achieve 100% classification coverage across all 90 data domains with automated classification in ingestion workflows and quarterly reclassification reviews; and (5) consolidate data protection governance under a Chief Data Officer or Chief Privacy Officer with clear accountability and unified oversight. These actions, if executed over 12-24 months, will move Capability 5 from a policy-rich, measurement-poor state (Defined) to a state where compliance is measurable, automated, and continuously verified (Managed).</w:t>
      </w:r>
    </w:p>
    <w:p>
      <w:pPr>
        <w:spacing w:after="160" w:line="300"/>
      </w:pPr>
      <w:r>
        <w:rPr>
          <w:rFonts w:ascii="Arial" w:cs="Arial" w:eastAsia="Arial" w:hAnsi="Arial"/>
          <w:b w:val="false"/>
          <w:bCs w:val="false"/>
          <w:i w:val="false"/>
          <w:iCs w:val="false"/>
          <w:color w:val="333333"/>
          <w:sz w:val="22"/>
          <w:szCs w:val="22"/>
        </w:rPr>
        <w:t xml:space="preserve">The December 2022 Hosted Exchange breach has created both a challenge and an opportunity. The legal holds on dd-029, dd-033, and dd-037 require a separate governance track for litigation holds, forcing the organization to build exception management capabilities alongside standard retention schedules. This is an opportunity to design hold management from the outset as an integral part of lifecycle governance, rather than a reactive patch. As Rackspace advances Capability 5, treating legal holds as a first-class governance concern (not an afterthought) will strengthen the overall program and prepare the organization for future incidents, investigations, or litigation.</w:t>
      </w:r>
    </w:p>
    <w:p>
      <w:pPr>
        <w:spacing w:after="160" w:line="300"/>
      </w:pPr>
      <w:r>
        <w:rPr>
          <w:rFonts w:ascii="Arial" w:cs="Arial" w:eastAsia="Arial" w:hAnsi="Arial"/>
          <w:b w:val="false"/>
          <w:bCs w:val="false"/>
          <w:i w:val="false"/>
          <w:iCs w:val="false"/>
          <w:color w:val="333333"/>
          <w:sz w:val="22"/>
          <w:szCs w:val="22"/>
        </w:rPr>
        <w:t xml:space="preserve">Finally, Rackspace has an opportunity to close the gap between external and internal services. Prd-014 (Rackspace Data Protection, built on Cohesity) delivers automated data protection, retention, and recovery services to customers across cloud platforms (Azure, Databricks, Synapse, Snowflake). The same automated practices, compliance frameworks, and measurement approaches that Rackspace uses to protect customer data should be internalized and applied to Rackspace's own data estate. The cobbler's children should not have to remain shoeless.</w:t>
      </w:r>
    </w:p>
    <w:p>
      <w:pPr>
        <w:spacing w:after="200"/>
      </w:pP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CAPABILITY 5 MATURITY: DEFINED (LEVEL 3)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STRENGTH: Comprehensive policies (POL-016, POL-026), control         │</w:t>
      </w:r>
    </w:p>
    <w:p>
      <w:pPr>
        <w:spacing w:after="0" w:line="240"/>
      </w:pPr>
      <w:r>
        <w:rPr>
          <w:rFonts w:ascii="Courier New" w:cs="Courier New" w:eastAsia="Courier New" w:hAnsi="Courier New"/>
          <w:color w:val="1B3A5C"/>
          <w:sz w:val="16"/>
          <w:szCs w:val="16"/>
        </w:rPr>
        <w:t xml:space="preserve">│  framework (CTL-031, CTL-037), organizational investment ($4.34M),  │</w:t>
      </w:r>
    </w:p>
    <w:p>
      <w:pPr>
        <w:spacing w:after="0" w:line="240"/>
      </w:pPr>
      <w:r>
        <w:rPr>
          <w:rFonts w:ascii="Courier New" w:cs="Courier New" w:eastAsia="Courier New" w:hAnsi="Courier New"/>
          <w:color w:val="1B3A5C"/>
          <w:sz w:val="16"/>
          <w:szCs w:val="16"/>
        </w:rPr>
        <w:t xml:space="preserve">│  and domain-specific retention engineering across 90 domains.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GAP: Compliance measurement void, automated purge contradiction,     │</w:t>
      </w:r>
    </w:p>
    <w:p>
      <w:pPr>
        <w:spacing w:after="0" w:line="240"/>
      </w:pPr>
      <w:r>
        <w:rPr>
          <w:rFonts w:ascii="Courier New" w:cs="Courier New" w:eastAsia="Courier New" w:hAnsi="Courier New"/>
          <w:color w:val="1B3A5C"/>
          <w:sz w:val="16"/>
          <w:szCs w:val="16"/>
        </w:rPr>
        <w:t xml:space="preserve">│  classification coverage unknown, legal hold tracking absent,         │</w:t>
      </w:r>
    </w:p>
    <w:p>
      <w:pPr>
        <w:spacing w:after="0" w:line="240"/>
      </w:pPr>
      <w:r>
        <w:rPr>
          <w:rFonts w:ascii="Courier New" w:cs="Courier New" w:eastAsia="Courier New" w:hAnsi="Courier New"/>
          <w:color w:val="1B3A5C"/>
          <w:sz w:val="16"/>
          <w:szCs w:val="16"/>
        </w:rPr>
        <w:t xml:space="preserve">│  and organizational silos (dept-053 vs dept-242).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TARGET: Move to Managed (Level 4) within 18-24 months by            │</w:t>
      </w:r>
    </w:p>
    <w:p>
      <w:pPr>
        <w:spacing w:after="0" w:line="240"/>
      </w:pPr>
      <w:r>
        <w:rPr>
          <w:rFonts w:ascii="Courier New" w:cs="Courier New" w:eastAsia="Courier New" w:hAnsi="Courier New"/>
          <w:color w:val="1B3A5C"/>
          <w:sz w:val="16"/>
          <w:szCs w:val="16"/>
        </w:rPr>
        <w:t xml:space="preserve">│  operationalizing measurement, automating purge, and establishing    │</w:t>
      </w:r>
    </w:p>
    <w:p>
      <w:pPr>
        <w:spacing w:after="0" w:line="240"/>
      </w:pPr>
      <w:r>
        <w:rPr>
          <w:rFonts w:ascii="Courier New" w:cs="Courier New" w:eastAsia="Courier New" w:hAnsi="Courier New"/>
          <w:color w:val="1B3A5C"/>
          <w:sz w:val="16"/>
          <w:szCs w:val="16"/>
        </w:rPr>
        <w:t xml:space="preserve">│  unified governance structure with Chief Data Officer accountability.│</w:t>
      </w:r>
    </w:p>
    <w:p>
      <w:pPr>
        <w:spacing w:after="0" w:line="240"/>
      </w:pPr>
      <w:r>
        <w:rPr>
          <w:rFonts w:ascii="Courier New" w:cs="Courier New" w:eastAsia="Courier New" w:hAnsi="Courier New"/>
          <w:color w:val="1B3A5C"/>
          <w:sz w:val="16"/>
          <w:szCs w:val="16"/>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5: Data Lifecycle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2026-03-05T19:10:40.899Z</dcterms:created>
  <dcterms:modified xsi:type="dcterms:W3CDTF">2026-03-05T19:10:40.899Z</dcterms:modified>
</cp:coreProperties>
</file>

<file path=docProps/custom.xml><?xml version="1.0" encoding="utf-8"?>
<Properties xmlns="http://schemas.openxmlformats.org/officeDocument/2006/custom-properties" xmlns:vt="http://schemas.openxmlformats.org/officeDocument/2006/docPropsVTypes"/>
</file>