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1792" w:rsidRDefault="00881792">
      <w:pPr>
        <w:spacing w:before="2000"/>
      </w:pPr>
    </w:p>
    <w:p w:rsidR="00881792" w:rsidRDefault="00000000">
      <w:pPr>
        <w:spacing w:after="100" w:line="276" w:lineRule="auto"/>
        <w:jc w:val="center"/>
      </w:pPr>
      <w:r>
        <w:rPr>
          <w:b/>
          <w:bCs/>
          <w:color w:val="1B3A5C"/>
          <w:sz w:val="36"/>
          <w:szCs w:val="36"/>
        </w:rPr>
        <w:t>CDAMM (Caserta Data &amp; Analytics Maturity Model) Assessment</w:t>
      </w:r>
    </w:p>
    <w:p w:rsidR="00881792" w:rsidRDefault="00000000">
      <w:pPr>
        <w:spacing w:after="400" w:line="276" w:lineRule="auto"/>
        <w:jc w:val="center"/>
      </w:pPr>
      <w:r>
        <w:rPr>
          <w:b/>
          <w:bCs/>
          <w:color w:val="2E75B6"/>
          <w:sz w:val="32"/>
          <w:szCs w:val="32"/>
        </w:rPr>
        <w:t>Rackspace Technology</w:t>
      </w:r>
    </w:p>
    <w:p w:rsidR="00881792" w:rsidRDefault="00881792">
      <w:pPr>
        <w:pBdr>
          <w:top w:val="single" w:sz="6" w:space="1" w:color="2E75B6"/>
        </w:pBdr>
        <w:spacing w:before="200"/>
        <w:jc w:val="center"/>
      </w:pPr>
    </w:p>
    <w:p w:rsidR="00881792" w:rsidRDefault="00881792">
      <w:pPr>
        <w:spacing w:before="200"/>
      </w:pPr>
    </w:p>
    <w:p w:rsidR="00881792" w:rsidRDefault="00000000">
      <w:pPr>
        <w:spacing w:after="80" w:line="276" w:lineRule="auto"/>
        <w:jc w:val="center"/>
      </w:pPr>
      <w:r>
        <w:rPr>
          <w:b/>
          <w:bCs/>
          <w:color w:val="1B3A5C"/>
        </w:rPr>
        <w:t xml:space="preserve">Assessment Date: </w:t>
      </w:r>
      <w:r>
        <w:rPr>
          <w:color w:val="333333"/>
        </w:rPr>
        <w:t>March 2026</w:t>
      </w:r>
    </w:p>
    <w:p w:rsidR="00881792" w:rsidRDefault="00000000">
      <w:pPr>
        <w:spacing w:after="80" w:line="276" w:lineRule="auto"/>
        <w:jc w:val="center"/>
      </w:pPr>
      <w:r>
        <w:rPr>
          <w:b/>
          <w:bCs/>
          <w:color w:val="1B3A5C"/>
        </w:rPr>
        <w:t xml:space="preserve">Methodology: </w:t>
      </w:r>
      <w:r>
        <w:rPr>
          <w:color w:val="333333"/>
        </w:rPr>
        <w:t xml:space="preserve">CDAMM Framework (Doug Laney / Caserta), informed by Gartner EIM Maturity Model and </w:t>
      </w:r>
      <w:proofErr w:type="spellStart"/>
      <w:r>
        <w:rPr>
          <w:color w:val="333333"/>
        </w:rPr>
        <w:t>Infonomics</w:t>
      </w:r>
      <w:proofErr w:type="spellEnd"/>
      <w:r>
        <w:rPr>
          <w:color w:val="333333"/>
        </w:rPr>
        <w:t xml:space="preserve"> principles</w:t>
      </w:r>
    </w:p>
    <w:p w:rsidR="00881792" w:rsidRDefault="00000000">
      <w:pPr>
        <w:spacing w:after="80" w:line="276" w:lineRule="auto"/>
        <w:jc w:val="center"/>
      </w:pPr>
      <w:r>
        <w:rPr>
          <w:b/>
          <w:bCs/>
          <w:color w:val="1B3A5C"/>
        </w:rPr>
        <w:t xml:space="preserve">Source: </w:t>
      </w:r>
      <w:r>
        <w:rPr>
          <w:color w:val="333333"/>
        </w:rPr>
        <w:t>Enterprise Knowledge Graph (3,060 entities | 7,614 relationships)</w:t>
      </w:r>
    </w:p>
    <w:p w:rsidR="00881792" w:rsidRDefault="00000000">
      <w:pPr>
        <w:spacing w:after="80" w:line="276" w:lineRule="auto"/>
        <w:jc w:val="center"/>
      </w:pPr>
      <w:r>
        <w:rPr>
          <w:b/>
          <w:bCs/>
          <w:color w:val="1B3A5C"/>
        </w:rPr>
        <w:t xml:space="preserve">Classification: </w:t>
      </w:r>
      <w:r>
        <w:rPr>
          <w:color w:val="333333"/>
        </w:rPr>
        <w:t>Confidential</w:t>
      </w:r>
    </w:p>
    <w:p w:rsidR="00881792" w:rsidRDefault="00000000">
      <w:pPr>
        <w:pStyle w:val="Heading1"/>
        <w:pageBreakBefore/>
        <w:spacing w:before="0"/>
      </w:pPr>
      <w:r>
        <w:lastRenderedPageBreak/>
        <w:t>Executive Summary</w:t>
      </w:r>
    </w:p>
    <w:p w:rsidR="00881792" w:rsidRDefault="00000000">
      <w:pPr>
        <w:spacing w:after="200" w:line="276" w:lineRule="auto"/>
      </w:pPr>
      <w:r>
        <w:rPr>
          <w:b/>
          <w:bCs/>
          <w:color w:val="1B3A5C"/>
        </w:rPr>
        <w:t>Overall Maturity Level: Reactive (Level 2 of 5)</w:t>
      </w:r>
      <w:r>
        <w:rPr>
          <w:color w:val="333333"/>
        </w:rPr>
        <w:t>, with significant dispersion across dimensions that tells a more interesting story than the composite number suggests.</w:t>
      </w:r>
    </w:p>
    <w:p w:rsidR="00881792" w:rsidRDefault="00000000">
      <w:pPr>
        <w:spacing w:after="200" w:line="276" w:lineRule="auto"/>
      </w:pPr>
      <w:r>
        <w:rPr>
          <w:color w:val="333333"/>
        </w:rPr>
        <w:t xml:space="preserve">The CDAMM framework, built by Doug Laney at Caserta with 200+ vendor-independent indicators, evaluates data and analytics maturity through seven dimensions that map to the </w:t>
      </w:r>
      <w:proofErr w:type="spellStart"/>
      <w:r>
        <w:rPr>
          <w:color w:val="333333"/>
        </w:rPr>
        <w:t>Infonomics</w:t>
      </w:r>
      <w:proofErr w:type="spellEnd"/>
      <w:r>
        <w:rPr>
          <w:color w:val="333333"/>
        </w:rPr>
        <w:t xml:space="preserve"> triad: Monetize, Manage, and Measure information as an actual enterprise asset. The framework’s five maturity levels — Unaware, Aware, Reactive, Proactive, Managed, Effective — ask a fundamentally different question than DCAM does. Where DCAM asks “how well do you manage data,” CDAMM asks “how effectively do you treat data as an asset that generates measurable economic value.”</w:t>
      </w:r>
    </w:p>
    <w:p w:rsidR="00881792" w:rsidRDefault="00000000">
      <w:pPr>
        <w:spacing w:after="200" w:line="276" w:lineRule="auto"/>
      </w:pPr>
      <w:r>
        <w:rPr>
          <w:color w:val="333333"/>
        </w:rPr>
        <w:t xml:space="preserve">That distinction matters enormously for Rackspace. The knowledge graph reveals an organization that has built a $2.7B revenue business on managing other people’s data, launched a 700+ engagement AI practice (FAIR), and is actively commercializing data </w:t>
      </w:r>
      <w:proofErr w:type="spellStart"/>
      <w:r>
        <w:rPr>
          <w:color w:val="333333"/>
        </w:rPr>
        <w:t>lakehouse</w:t>
      </w:r>
      <w:proofErr w:type="spellEnd"/>
      <w:r>
        <w:rPr>
          <w:color w:val="333333"/>
        </w:rPr>
        <w:t xml:space="preserve"> services — yet does not formally value its own information assets, lacks an enterprise data catalog, and cannot reconcile the definition of “customer” across its own CRM, Billing, and Support systems.</w:t>
      </w:r>
    </w:p>
    <w:p w:rsidR="00881792" w:rsidRDefault="00000000">
      <w:pPr>
        <w:spacing w:after="200" w:line="276" w:lineRule="auto"/>
      </w:pPr>
      <w:r>
        <w:rPr>
          <w:color w:val="333333"/>
        </w:rPr>
        <w:t>The most revealing dimension is Data Monetization and Value Creation, where Rackspace scores Proactive (Level 3) externally — data is literally the product — but Aware (Level 1) internally. The company sells data services it does not yet consume. That asymmetry is not unusual for managed services firms, but it is a credibility liability as Rackspace positions FAIR and AI services as growth engines.</w:t>
      </w:r>
    </w:p>
    <w:p w:rsidR="00881792" w:rsidRDefault="00000000">
      <w:pPr>
        <w:pStyle w:val="Heading1"/>
        <w:pageBreakBefore/>
        <w:spacing w:before="0"/>
      </w:pPr>
      <w:r>
        <w:lastRenderedPageBreak/>
        <w:t>Maturity Level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2"/>
        <w:gridCol w:w="1399"/>
        <w:gridCol w:w="7249"/>
      </w:tblGrid>
      <w:tr w:rsidR="00881792">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Level</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Name</w:t>
            </w:r>
          </w:p>
        </w:tc>
        <w:tc>
          <w:tcPr>
            <w:tcW w:w="72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Description</w:t>
            </w:r>
          </w:p>
        </w:tc>
      </w:tr>
      <w:tr w:rsidR="00881792">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w:t>
            </w:r>
          </w:p>
        </w:tc>
        <w:tc>
          <w:tcPr>
            <w:tcW w:w="14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Unaware</w:t>
            </w:r>
          </w:p>
        </w:tc>
        <w:tc>
          <w:tcPr>
            <w:tcW w:w="72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No awareness of information as an asset. Data distrust pervasive.</w:t>
            </w:r>
          </w:p>
        </w:tc>
      </w:tr>
      <w:tr w:rsidR="00881792">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Aware</w:t>
            </w:r>
          </w:p>
        </w:tc>
        <w:tc>
          <w:tcPr>
            <w:tcW w:w="7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Recognition of need for strategy and governance. Minimal investment.</w:t>
            </w:r>
          </w:p>
        </w:tc>
      </w:tr>
      <w:tr w:rsidR="00881792">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14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Reactive</w:t>
            </w:r>
          </w:p>
        </w:tc>
        <w:tc>
          <w:tcPr>
            <w:tcW w:w="72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Emerging strategy and governance. Cross-departmental sharing initiated. Policy published but compliance inconsistent.</w:t>
            </w:r>
          </w:p>
        </w:tc>
      </w:tr>
      <w:tr w:rsidR="00881792">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Proactive</w:t>
            </w:r>
          </w:p>
        </w:tc>
        <w:tc>
          <w:tcPr>
            <w:tcW w:w="7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Full strategy, governance, processes implemented. Business sponsorship. Standardized architecture.</w:t>
            </w:r>
          </w:p>
        </w:tc>
      </w:tr>
      <w:tr w:rsidR="00881792">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4</w:t>
            </w:r>
          </w:p>
        </w:tc>
        <w:tc>
          <w:tcPr>
            <w:tcW w:w="14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Managed</w:t>
            </w:r>
          </w:p>
        </w:tc>
        <w:tc>
          <w:tcPr>
            <w:tcW w:w="72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Information recognized as strategic asset. Mature governance. Performance managed via dashboards and scorecards.</w:t>
            </w:r>
          </w:p>
        </w:tc>
      </w:tr>
      <w:tr w:rsidR="00881792">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Effective</w:t>
            </w:r>
          </w:p>
        </w:tc>
        <w:tc>
          <w:tcPr>
            <w:tcW w:w="7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Information leveraged as competitive advantage. Enterprise data managed ethically and efficiently across value chain.</w:t>
            </w:r>
          </w:p>
        </w:tc>
      </w:tr>
    </w:tbl>
    <w:p w:rsidR="00881792" w:rsidRDefault="00000000">
      <w:pPr>
        <w:pStyle w:val="Heading1"/>
      </w:pPr>
      <w:r>
        <w:t>Overall Maturity Scores by Dimension</w:t>
      </w:r>
    </w:p>
    <w:p w:rsidR="00881792" w:rsidRDefault="008817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000"/>
        <w:gridCol w:w="3360"/>
      </w:tblGrid>
      <w:tr w:rsidR="00881792">
        <w:tblPrEx>
          <w:tblCellMar>
            <w:top w:w="0" w:type="dxa"/>
            <w:bottom w:w="0" w:type="dxa"/>
          </w:tblCellMar>
        </w:tblPrEx>
        <w:tc>
          <w:tcPr>
            <w:tcW w:w="5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CDAMM Dimension</w:t>
            </w:r>
          </w:p>
        </w:tc>
        <w:tc>
          <w:tcPr>
            <w:tcW w:w="1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Level</w:t>
            </w:r>
          </w:p>
        </w:tc>
        <w:tc>
          <w:tcPr>
            <w:tcW w:w="33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Maturity Name</w:t>
            </w:r>
          </w:p>
        </w:tc>
      </w:tr>
      <w:tr w:rsidR="00881792">
        <w:tblPrEx>
          <w:tblCellMar>
            <w:top w:w="0" w:type="dxa"/>
            <w:bottom w:w="0" w:type="dxa"/>
          </w:tblCellMar>
        </w:tblPrEx>
        <w:tc>
          <w:tcPr>
            <w:tcW w:w="50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 Vision &amp; Strategy</w:t>
            </w:r>
          </w:p>
        </w:tc>
        <w:tc>
          <w:tcPr>
            <w:tcW w:w="10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3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Reactive</w:t>
            </w:r>
          </w:p>
        </w:tc>
      </w:tr>
      <w:tr w:rsidR="00881792">
        <w:tblPrEx>
          <w:tblCellMar>
            <w:top w:w="0" w:type="dxa"/>
            <w:bottom w:w="0" w:type="dxa"/>
          </w:tblCellMar>
        </w:tblPrEx>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 Metrics &amp; Value Measurement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1</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Aware</w:t>
            </w:r>
          </w:p>
        </w:tc>
      </w:tr>
      <w:tr w:rsidR="00881792">
        <w:tblPrEx>
          <w:tblCellMar>
            <w:top w:w="0" w:type="dxa"/>
            <w:bottom w:w="0" w:type="dxa"/>
          </w:tblCellMar>
        </w:tblPrEx>
        <w:tc>
          <w:tcPr>
            <w:tcW w:w="50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 Information Governance</w:t>
            </w:r>
          </w:p>
        </w:tc>
        <w:tc>
          <w:tcPr>
            <w:tcW w:w="10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w:t>
            </w:r>
          </w:p>
        </w:tc>
        <w:tc>
          <w:tcPr>
            <w:tcW w:w="3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Proactive</w:t>
            </w:r>
          </w:p>
        </w:tc>
      </w:tr>
      <w:tr w:rsidR="00881792">
        <w:tblPrEx>
          <w:tblCellMar>
            <w:top w:w="0" w:type="dxa"/>
            <w:bottom w:w="0" w:type="dxa"/>
          </w:tblCellMar>
        </w:tblPrEx>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 Organization, Roles &amp; Culture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Reactive</w:t>
            </w:r>
          </w:p>
        </w:tc>
      </w:tr>
      <w:tr w:rsidR="00881792">
        <w:tblPrEx>
          <w:tblCellMar>
            <w:top w:w="0" w:type="dxa"/>
            <w:bottom w:w="0" w:type="dxa"/>
          </w:tblCellMar>
        </w:tblPrEx>
        <w:tc>
          <w:tcPr>
            <w:tcW w:w="50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5. Information Lifecycle</w:t>
            </w:r>
          </w:p>
        </w:tc>
        <w:tc>
          <w:tcPr>
            <w:tcW w:w="10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w:t>
            </w:r>
          </w:p>
        </w:tc>
        <w:tc>
          <w:tcPr>
            <w:tcW w:w="3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Proactive</w:t>
            </w:r>
          </w:p>
        </w:tc>
      </w:tr>
      <w:tr w:rsidR="00881792">
        <w:tblPrEx>
          <w:tblCellMar>
            <w:top w:w="0" w:type="dxa"/>
            <w:bottom w:w="0" w:type="dxa"/>
          </w:tblCellMar>
        </w:tblPrEx>
        <w:tc>
          <w:tcPr>
            <w:tcW w:w="5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6. Enabling Infrastructure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Reactive</w:t>
            </w:r>
          </w:p>
        </w:tc>
      </w:tr>
      <w:tr w:rsidR="00881792">
        <w:tblPrEx>
          <w:tblCellMar>
            <w:top w:w="0" w:type="dxa"/>
            <w:bottom w:w="0" w:type="dxa"/>
          </w:tblCellMar>
        </w:tblPrEx>
        <w:tc>
          <w:tcPr>
            <w:tcW w:w="50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7. Data Monetization &amp; Value Creation</w:t>
            </w:r>
          </w:p>
        </w:tc>
        <w:tc>
          <w:tcPr>
            <w:tcW w:w="10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3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Reactive</w:t>
            </w:r>
          </w:p>
        </w:tc>
      </w:tr>
    </w:tbl>
    <w:p w:rsidR="00881792" w:rsidRDefault="00000000">
      <w:pPr>
        <w:pStyle w:val="Heading1"/>
        <w:pageBreakBefore/>
        <w:spacing w:before="0"/>
      </w:pPr>
      <w:r>
        <w:lastRenderedPageBreak/>
        <w:t>Detailed Dimension Assessments</w:t>
      </w:r>
    </w:p>
    <w:p w:rsidR="00881792" w:rsidRDefault="00000000">
      <w:pPr>
        <w:pStyle w:val="Heading2"/>
      </w:pPr>
      <w:r>
        <w:t>1. Vision &amp; Strategy — Level 2 (Reactive)</w:t>
      </w:r>
    </w:p>
    <w:p w:rsidR="00881792" w:rsidRDefault="00000000">
      <w:pPr>
        <w:spacing w:after="200" w:line="276" w:lineRule="auto"/>
      </w:pPr>
      <w:r>
        <w:rPr>
          <w:color w:val="333333"/>
        </w:rPr>
        <w:t>An emerging information management strategy exists, but it lives inside multiple concurrent initiatives rather than a single articulated vision with enterprise-wide sponsorship. The knowledge graph reveals 25 strategic initiatives, at least seven of which directly involve data and AI — Data Platform and AI Readiness, AIDE Commercialization, Managed Data Lake and Lakehouse Services Launch, Customer Success Platform Build, and others. These initiatives demonstrate that leadership understands data’s strategic importance. They have committed real capital: FAIR is a funded organizational unit, the AIDE platform has a $50M+ ARR target, and data services bookings doubled in FY2024.</w:t>
      </w:r>
    </w:p>
    <w:p w:rsidR="00881792" w:rsidRDefault="00000000">
      <w:pPr>
        <w:spacing w:after="200" w:line="276" w:lineRule="auto"/>
      </w:pPr>
      <w:r>
        <w:rPr>
          <w:color w:val="333333"/>
        </w:rPr>
        <w:t>What’s missing is the unifying layer. There is no published enterprise data strategy document visible in the knowledge graph. The Data Governance Policy references data as a strategic asset, but policy is not strategy. The Chief AI Officer has cross-functional authority and P&amp;L accountability — the right structural move — but there is no Chief Data Officer or equivalent role whose explicit mandate is enterprise data management rather than AI services delivery. Strategy is initiative-driven rather than vision-driven, which means it depends on individual initiative sponsors maintaining momentum rather than organizational commitment sustaining direction.</w:t>
      </w:r>
    </w:p>
    <w:p w:rsidR="00881792" w:rsidRDefault="008817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712"/>
        <w:gridCol w:w="6450"/>
      </w:tblGrid>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Sub-Dimension</w:t>
            </w:r>
          </w:p>
        </w:tc>
        <w:tc>
          <w:tcPr>
            <w:tcW w:w="7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Level</w:t>
            </w:r>
          </w:p>
        </w:tc>
        <w:tc>
          <w:tcPr>
            <w:tcW w:w="64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Evidence &amp; Gaps</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1.1 Enterprise Data Vision</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Data Governance Policy articulates principles. AI/data initiatives articulate direction. No unified enterprise data vision statement or strategy document.</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1.2 Strategic Roadmap</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25 initiatives provide tactical roadmap. FAIR three-phase methodology (Ideate, Incubate, Industrialize) is structured. Roadmap is initiative-fragmented, not enterprise-unified.</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1.3 Executive Sponsorship</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Chief AI Officer with P&amp;L authority exists. FAIR funded as innovation unit. No CDO. Board-level data strategy sponsorship not visible. Data governance reports through CIO, not C-suite.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1.4 Business-IT Alignment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3</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 xml:space="preserve">Data initiatives aligned to revenue (AI services, </w:t>
            </w:r>
            <w:proofErr w:type="spellStart"/>
            <w:r>
              <w:rPr>
                <w:color w:val="333333"/>
                <w:sz w:val="20"/>
                <w:szCs w:val="20"/>
              </w:rPr>
              <w:t>lakehouse</w:t>
            </w:r>
            <w:proofErr w:type="spellEnd"/>
            <w:r>
              <w:rPr>
                <w:color w:val="333333"/>
                <w:sz w:val="20"/>
                <w:szCs w:val="20"/>
              </w:rPr>
              <w:t>), cost (Project Eagle), compliance (FedRAMP). 67 business capabilities mapped. Alignment exists but is initiative-specific.</w:t>
            </w:r>
          </w:p>
        </w:tc>
      </w:tr>
    </w:tbl>
    <w:p w:rsidR="00881792" w:rsidRDefault="00000000">
      <w:pPr>
        <w:pStyle w:val="Heading2"/>
      </w:pPr>
      <w:r>
        <w:t>2. Metrics &amp; Value Measurement — Level 1 (Aware)</w:t>
      </w:r>
    </w:p>
    <w:p w:rsidR="00881792" w:rsidRDefault="00000000">
      <w:pPr>
        <w:spacing w:after="200" w:line="276" w:lineRule="auto"/>
      </w:pPr>
      <w:r>
        <w:rPr>
          <w:color w:val="333333"/>
        </w:rPr>
        <w:t xml:space="preserve">This is the dimension where the </w:t>
      </w:r>
      <w:proofErr w:type="spellStart"/>
      <w:r>
        <w:rPr>
          <w:color w:val="333333"/>
        </w:rPr>
        <w:t>Infonomics</w:t>
      </w:r>
      <w:proofErr w:type="spellEnd"/>
      <w:r>
        <w:rPr>
          <w:color w:val="333333"/>
        </w:rPr>
        <w:t xml:space="preserve"> lens bites hardest. CDAMM asks whether an organization measures the economic value of its information assets, tracks data management effectiveness through quantified metrics, and uses measurement to drive improvement. The knowledge graph provides almost no evidence of data-specific measurement beyond operational IT metrics.</w:t>
      </w:r>
    </w:p>
    <w:p w:rsidR="00881792" w:rsidRDefault="00000000">
      <w:pPr>
        <w:spacing w:after="200" w:line="276" w:lineRule="auto"/>
      </w:pPr>
      <w:r>
        <w:rPr>
          <w:color w:val="333333"/>
        </w:rPr>
        <w:lastRenderedPageBreak/>
        <w:t>No data management KPIs, data quality scorecards, data availability SLAs, or information asset valuation methods are visible. The Internal Data &amp; Analytics Department is consolidating from 400 dashboards to a unified platform — the number “400” itself is a metric worth lingering on, because it implies a measurement culture that proliferated without governance, which is arguably worse than having no dashboards at all. Operational metrics exist (cloud SLAs at 99.9%+, S1-S4 incident severity classification, Moogsoft AIOps correlation), but these measure infrastructure, not information.</w:t>
      </w:r>
    </w:p>
    <w:p w:rsidR="00881792" w:rsidRDefault="00000000">
      <w:pPr>
        <w:spacing w:after="200" w:line="276" w:lineRule="auto"/>
      </w:pPr>
      <w:r>
        <w:rPr>
          <w:color w:val="333333"/>
        </w:rPr>
        <w:t xml:space="preserve">The closest the organization comes to data valuation is the implicit revenue attribution of data services: AIDE targeting $50M+ ARR, data services bookings doubling in FY2024, and 300+ DBAs managing customer data. But these measure the revenue from data services, not the value of enterprise information assets. Laney’s </w:t>
      </w:r>
      <w:proofErr w:type="spellStart"/>
      <w:r>
        <w:rPr>
          <w:color w:val="333333"/>
        </w:rPr>
        <w:t>Infonomics</w:t>
      </w:r>
      <w:proofErr w:type="spellEnd"/>
      <w:r>
        <w:rPr>
          <w:color w:val="333333"/>
        </w:rPr>
        <w:t xml:space="preserve"> framework explicitly distinguishes between these — one is a P&amp;L line item, the other is a balance sheet concept that treats data as capital.</w:t>
      </w:r>
    </w:p>
    <w:p w:rsidR="00881792" w:rsidRDefault="008817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712"/>
        <w:gridCol w:w="6450"/>
      </w:tblGrid>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Sub-Dimension</w:t>
            </w:r>
          </w:p>
        </w:tc>
        <w:tc>
          <w:tcPr>
            <w:tcW w:w="7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Level</w:t>
            </w:r>
          </w:p>
        </w:tc>
        <w:tc>
          <w:tcPr>
            <w:tcW w:w="64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Evidence &amp; Gaps</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2.1 Data Management KPIs</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No data quality KPIs, stewardship metrics, or governance effectiveness measures visible. 400-dashboard consolidation implies measurement was uncontrolled.</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2.2 Information Asset Valuation</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 xml:space="preserve">No evidence of formal information asset valuation. No economic models for data worth. </w:t>
            </w:r>
            <w:proofErr w:type="spellStart"/>
            <w:r>
              <w:rPr>
                <w:color w:val="333333"/>
                <w:sz w:val="20"/>
                <w:szCs w:val="20"/>
              </w:rPr>
              <w:t>Infonomics</w:t>
            </w:r>
            <w:proofErr w:type="spellEnd"/>
            <w:r>
              <w:rPr>
                <w:color w:val="333333"/>
                <w:sz w:val="20"/>
                <w:szCs w:val="20"/>
              </w:rPr>
              <w:t xml:space="preserve"> principles not applied to own data.</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2.3 ROI Measurement</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AI services revenue targets provide implicit ROI framing ($50M+ AIDE ARR). No formal data management investment ROI measurement or cost-of-poor-quality quantification.</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2.4 Performance Dashboards and Scorecards</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Consolidating to unified analytics platform. Operational dashboards exist (Splunk, Moogsoft, ServiceNow). No data management-specific scorecards visible.</w:t>
            </w:r>
          </w:p>
        </w:tc>
      </w:tr>
    </w:tbl>
    <w:p w:rsidR="00881792" w:rsidRDefault="00000000">
      <w:r>
        <w:br w:type="page"/>
      </w:r>
    </w:p>
    <w:p w:rsidR="00881792" w:rsidRDefault="00000000">
      <w:pPr>
        <w:pStyle w:val="Heading2"/>
      </w:pPr>
      <w:r>
        <w:lastRenderedPageBreak/>
        <w:t>3. Information Governance — Level 3 (Proactive)</w:t>
      </w:r>
    </w:p>
    <w:p w:rsidR="00881792" w:rsidRDefault="00000000">
      <w:pPr>
        <w:spacing w:after="200" w:line="276" w:lineRule="auto"/>
      </w:pPr>
      <w:r>
        <w:rPr>
          <w:color w:val="333333"/>
        </w:rPr>
        <w:t>This is Rackspace’s strongest CDAMM dimension, and it is strong because the business model demands it. When your customers entrust you with their production workloads across 50+ countries, governance is not optional — it is existential. The knowledge graph reveals 123 policies, 351 controls with 386 enforcement relationships, 90 formally defined data domains, and 70 mapped regulations with 527 data-domain-to-regulation relationships.</w:t>
      </w:r>
    </w:p>
    <w:p w:rsidR="00881792" w:rsidRDefault="00000000">
      <w:pPr>
        <w:spacing w:after="200" w:line="276" w:lineRule="auto"/>
      </w:pPr>
      <w:r>
        <w:rPr>
          <w:color w:val="333333"/>
        </w:rPr>
        <w:t>The Data Governance Policy establishes an enterprise framework covering ownership, stewardship, quality standards, lineage tracking, and master data management. The Data Classification Policy defines four tiers with handling requirements. 23 data-specific policies span classification, quality, retention, privacy, architecture, DLP, and cross-border transfer. This is a policy framework that would pass most audit scrutiny.</w:t>
      </w:r>
    </w:p>
    <w:p w:rsidR="00881792" w:rsidRDefault="00000000">
      <w:pPr>
        <w:spacing w:after="200" w:line="276" w:lineRule="auto"/>
      </w:pPr>
      <w:r>
        <w:rPr>
          <w:color w:val="333333"/>
        </w:rPr>
        <w:t>What keeps this at Proactive rather than Managed is the execution gap beneath the policy surface. Stewardship confidence scores average 0.77 — the lowest of any relationship type in the graph — meaning the organization can articulate who should be responsible for data domains but cannot always confirm who actually is. No Data Governance Council or formal governance body is visible. The governance operating model is policy-defined but not structurally instantiated.</w:t>
      </w:r>
    </w:p>
    <w:p w:rsidR="00881792" w:rsidRDefault="008817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712"/>
        <w:gridCol w:w="6450"/>
      </w:tblGrid>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Sub-Dimension</w:t>
            </w:r>
          </w:p>
        </w:tc>
        <w:tc>
          <w:tcPr>
            <w:tcW w:w="7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Level</w:t>
            </w:r>
          </w:p>
        </w:tc>
        <w:tc>
          <w:tcPr>
            <w:tcW w:w="64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Evidence &amp; Gaps</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3.1 Policy Framework</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4</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23 data-specific policies. Data Governance Policy, Classification, Quality, Retention, DLP, Architecture Standards. Comprehensive and cross-referenced to regulations.</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3.2 Data Stewardship and Ownership</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 xml:space="preserve">90 data domains with </w:t>
            </w:r>
            <w:proofErr w:type="spellStart"/>
            <w:r>
              <w:rPr>
                <w:color w:val="333333"/>
                <w:sz w:val="20"/>
                <w:szCs w:val="20"/>
              </w:rPr>
              <w:t>managed_by</w:t>
            </w:r>
            <w:proofErr w:type="spellEnd"/>
            <w:r>
              <w:rPr>
                <w:color w:val="333333"/>
                <w:sz w:val="20"/>
                <w:szCs w:val="20"/>
              </w:rPr>
              <w:t xml:space="preserve"> relationships (avg confidence 0.77). 27 domains at 0.65 confidence. Data Strategy &amp; Governance Lead role exists but is services-facing. No steward registry.</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3.3 Regulatory Compliance</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4</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70 regulations mapped. 527 domain-to-regulation relationships. FedRAMP, PCI DSS Level 1, HITRUST, SOC 1/2/3, GDPR, SOX. Multi-framework continuous compliance.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3.4 Data Privacy</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DPIA Policy, Data Subject Rights Response, Cross-Border Transfer, Cookie Consent controls. Privacy Notice. Customer DPA. Operationally mature privacy program.</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3.5 Standards and Classification</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4</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Four-tier classification scheme. Data Tagging for PII (PT-4). FIPS 199 categorization. NIST 800-88 media handling. CUI handling policy. Mature standards.</w:t>
            </w:r>
          </w:p>
        </w:tc>
      </w:tr>
    </w:tbl>
    <w:p w:rsidR="00881792" w:rsidRDefault="00000000">
      <w:pPr>
        <w:pStyle w:val="Heading2"/>
      </w:pPr>
      <w:r>
        <w:t>4. Organization, Roles &amp; Culture — Level 2 (Reactive)</w:t>
      </w:r>
    </w:p>
    <w:p w:rsidR="00881792" w:rsidRDefault="00000000">
      <w:pPr>
        <w:spacing w:after="200" w:line="276" w:lineRule="auto"/>
      </w:pPr>
      <w:r>
        <w:rPr>
          <w:color w:val="333333"/>
        </w:rPr>
        <w:t xml:space="preserve">The organizational structure reveals both strength and a telling imbalance. Rackspace has invested in data and AI talent — but the investment flows outward to customers, not inward to enterprise data management. The knowledge graph maps 430 roles, and the data-specific role inventory is extensive: Data Scientists, Data Engineers, Data Architects, </w:t>
      </w:r>
      <w:proofErr w:type="spellStart"/>
      <w:r>
        <w:rPr>
          <w:color w:val="333333"/>
        </w:rPr>
        <w:t>DataOps</w:t>
      </w:r>
      <w:proofErr w:type="spellEnd"/>
      <w:r>
        <w:rPr>
          <w:color w:val="333333"/>
        </w:rPr>
        <w:t xml:space="preserve"> Engineers, </w:t>
      </w:r>
      <w:r>
        <w:rPr>
          <w:color w:val="333333"/>
        </w:rPr>
        <w:lastRenderedPageBreak/>
        <w:t xml:space="preserve">Data Platform Engineers, Snowflake Data Architects, Azure Data Engineers, Databricks Engineers, Data </w:t>
      </w:r>
      <w:proofErr w:type="spellStart"/>
      <w:r>
        <w:rPr>
          <w:color w:val="333333"/>
        </w:rPr>
        <w:t>Modellers</w:t>
      </w:r>
      <w:proofErr w:type="spellEnd"/>
      <w:r>
        <w:rPr>
          <w:color w:val="333333"/>
        </w:rPr>
        <w:t>, Data Strategy &amp; Governance Leads, and more. Collectively these represent a deep bench of data talent.</w:t>
      </w:r>
    </w:p>
    <w:p w:rsidR="00881792" w:rsidRDefault="00000000">
      <w:pPr>
        <w:spacing w:after="200" w:line="276" w:lineRule="auto"/>
      </w:pPr>
      <w:r>
        <w:rPr>
          <w:color w:val="333333"/>
        </w:rPr>
        <w:t>The problem is organizational orientation. Nearly all of these roles sit within services delivery organizations — FAIR, Public Cloud practice, Private Cloud practice, or acquired practices like Just Analytics. The Internal Data &amp; Analytics Department exists and is running a dashboard consolidation project, but its scale relative to the customer-facing data organization is modest. No Chief Data Officer exists. The Chief AI Officer role is P&amp;L-accountable for AI services revenue, not enterprise data management.</w:t>
      </w:r>
    </w:p>
    <w:p w:rsidR="00881792" w:rsidRDefault="00000000">
      <w:pPr>
        <w:spacing w:after="200" w:line="276" w:lineRule="auto"/>
      </w:pPr>
      <w:r>
        <w:rPr>
          <w:color w:val="333333"/>
        </w:rPr>
        <w:t>Data culture in the CDAMM sense — where the organization broadly treats information as an asset, where non-technical staff demonstrate data literacy, where data-driven decision making is embedded in how work gets done — is not visible in the evidence base. Rackspace University delivers 52+ Learning Hours and manages 3,800+ AWS accreditations and 500+ GCP certifications, but no data literacy program targeting non-technical staff is present.</w:t>
      </w:r>
    </w:p>
    <w:p w:rsidR="00881792" w:rsidRDefault="008817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712"/>
        <w:gridCol w:w="6450"/>
      </w:tblGrid>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Sub-Dimension</w:t>
            </w:r>
          </w:p>
        </w:tc>
        <w:tc>
          <w:tcPr>
            <w:tcW w:w="7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Level</w:t>
            </w:r>
          </w:p>
        </w:tc>
        <w:tc>
          <w:tcPr>
            <w:tcW w:w="64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Evidence &amp; Gaps</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4.1 Leadership and CDO Function</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Chief AI Officer (P&amp;L-accountable, cross-functional). No CDO or equivalent enterprise data management executive. Internal Data &amp; Analytics Dept reports through CIO.</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4.2 Data Management Staffing</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Extensive data talent (30+ data-specific role types). Overwhelmingly services-facing. Internal data team is consolidation-focused. No dedicated enterprise DQ, MDM, or metadata team.</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4.3 Data Literacy and Culture</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Rackspace University for technical training. 3,800+ cloud certifications. No data literacy program for non-technical staff. No visible data culture initiatives.</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4.4 Cross-Functional Collaboration</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67 business capabilities mapped. Cross-Functional Decision Authority capability identified. Operating Model Remediation initiative found structural gaps in decision authority and escalation.</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4.5 Skills and Training</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Strong technical training: 3,800+ AWS, 500+ GCP, 300+ DBA certifications. FAIR methodology training (Ideate/Incubate/Industrialize). Gap: training is cloud/AI-focused, not data management-focused.</w:t>
            </w:r>
          </w:p>
        </w:tc>
      </w:tr>
    </w:tbl>
    <w:p w:rsidR="00881792" w:rsidRDefault="00000000">
      <w:r>
        <w:br w:type="page"/>
      </w:r>
    </w:p>
    <w:p w:rsidR="00881792" w:rsidRDefault="00000000">
      <w:pPr>
        <w:pStyle w:val="Heading2"/>
      </w:pPr>
      <w:r>
        <w:lastRenderedPageBreak/>
        <w:t>5. Information Lifecycle — Level 3 (Proactive)</w:t>
      </w:r>
    </w:p>
    <w:p w:rsidR="00881792" w:rsidRDefault="00000000">
      <w:pPr>
        <w:spacing w:after="200" w:line="276" w:lineRule="auto"/>
      </w:pPr>
      <w:r>
        <w:rPr>
          <w:color w:val="333333"/>
        </w:rPr>
        <w:t xml:space="preserve">Information lifecycle management is well-established, again driven by the compliance imperative of managing customer data across regulated environments. The Data Retention and Disposal Policy </w:t>
      </w:r>
      <w:proofErr w:type="gramStart"/>
      <w:r>
        <w:rPr>
          <w:color w:val="333333"/>
        </w:rPr>
        <w:t>defines</w:t>
      </w:r>
      <w:proofErr w:type="gramEnd"/>
      <w:r>
        <w:rPr>
          <w:color w:val="333333"/>
        </w:rPr>
        <w:t xml:space="preserve"> retention periods aligned to regulatory requirements: 7-year SOX retention, 6-year GDPR limitation, 13-month security log retention. Secure Media Disposal follows NIST 800-88 with cryptographic erasure, degaussing, or physical destruction based on classification. The Document Retention and Destruction Schedule </w:t>
      </w:r>
      <w:proofErr w:type="gramStart"/>
      <w:r>
        <w:rPr>
          <w:color w:val="333333"/>
        </w:rPr>
        <w:t>operationalizes</w:t>
      </w:r>
      <w:proofErr w:type="gramEnd"/>
      <w:r>
        <w:rPr>
          <w:color w:val="333333"/>
        </w:rPr>
        <w:t xml:space="preserve"> lifecycle management across corporate document categories.</w:t>
      </w:r>
    </w:p>
    <w:p w:rsidR="00881792" w:rsidRDefault="00000000">
      <w:pPr>
        <w:spacing w:after="200" w:line="276" w:lineRule="auto"/>
      </w:pPr>
      <w:r>
        <w:rPr>
          <w:color w:val="333333"/>
        </w:rPr>
        <w:t>The Data Classification Policy with its four-tier scheme (Public, Internal, Confidential, Restricted) and associated handling controls provides the classification backbone that lifecycle management depends on. Data Tagging for PII and Security Categorization per FIPS 199 add regulatory-specific classification layers. 165 stores relationships map data assets to their storage systems.</w:t>
      </w:r>
    </w:p>
    <w:p w:rsidR="00881792" w:rsidRDefault="00000000">
      <w:pPr>
        <w:spacing w:after="200" w:line="276" w:lineRule="auto"/>
      </w:pPr>
      <w:r>
        <w:rPr>
          <w:color w:val="333333"/>
        </w:rPr>
        <w:t xml:space="preserve">What keeps this from Managed is the absence of lifecycle tooling and lineage. The Data Governance Policy references lineage tracking, but no data lineage tool is visible in the 164-system inventory. The 790 </w:t>
      </w:r>
      <w:proofErr w:type="spellStart"/>
      <w:r>
        <w:rPr>
          <w:color w:val="333333"/>
        </w:rPr>
        <w:t>depends_on</w:t>
      </w:r>
      <w:proofErr w:type="spellEnd"/>
      <w:r>
        <w:rPr>
          <w:color w:val="333333"/>
        </w:rPr>
        <w:t xml:space="preserve"> relationships in the knowledge graph provide an implicit lineage proxy — they trace how systems depend on each other — but end-to-end data flow traceability from source to consumption does not exist. Lifecycle management is also entirely compliance-driven rather than value-driven: there is no evidence of data archival strategies optimized for cost, tiered storage based on data value, or lifecycle-based data product management.</w:t>
      </w:r>
    </w:p>
    <w:p w:rsidR="00881792" w:rsidRDefault="008817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712"/>
        <w:gridCol w:w="6450"/>
      </w:tblGrid>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Sub-Dimension</w:t>
            </w:r>
          </w:p>
        </w:tc>
        <w:tc>
          <w:tcPr>
            <w:tcW w:w="7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Level</w:t>
            </w:r>
          </w:p>
        </w:tc>
        <w:tc>
          <w:tcPr>
            <w:tcW w:w="64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Evidence &amp; Gaps</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5.1 Data Retention and Archival</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Retention/Disposal Policy with regulatory-aligned periods. Automated purge controls. Document Retention Schedule operational. Compliance-driven, not value-optimized.</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5.2 Data Disposal and Destruction</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NIST 800-88 media sanitization. Cryptographic erasure, degaussing, physical destruction. Certificates of destruction. Mature capability.</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5.3 Data Lineage and Provenance</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 xml:space="preserve">Data Governance Policy references lineage. No lineage tooling in 164-system inventory. 790 </w:t>
            </w:r>
            <w:proofErr w:type="spellStart"/>
            <w:r>
              <w:rPr>
                <w:color w:val="333333"/>
                <w:sz w:val="20"/>
                <w:szCs w:val="20"/>
              </w:rPr>
              <w:t>depends_on</w:t>
            </w:r>
            <w:proofErr w:type="spellEnd"/>
            <w:r>
              <w:rPr>
                <w:color w:val="333333"/>
                <w:sz w:val="20"/>
                <w:szCs w:val="20"/>
              </w:rPr>
              <w:t xml:space="preserve"> relationships provide implicit system-level lineage only.</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5.4 Data Classification</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Four-tier classification. Data Classification Labeling control. PII tagging (PT-4). FIPS 199 categorization. CUI handling. Handling requirements per level.</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5.5 Data Integration and Flow</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378 integrations mapped. Point-to-point dominant. Identity-centric via Keystone. No enterprise integration platform or canonical data flow architecture.</w:t>
            </w:r>
          </w:p>
        </w:tc>
      </w:tr>
    </w:tbl>
    <w:p w:rsidR="00881792" w:rsidRDefault="00000000">
      <w:pPr>
        <w:pStyle w:val="Heading2"/>
      </w:pPr>
      <w:r>
        <w:t>6. Enabling Infrastructure — Level 2 (Reactive)</w:t>
      </w:r>
    </w:p>
    <w:p w:rsidR="00881792" w:rsidRDefault="00000000">
      <w:pPr>
        <w:spacing w:after="200" w:line="276" w:lineRule="auto"/>
      </w:pPr>
      <w:r>
        <w:rPr>
          <w:color w:val="333333"/>
        </w:rPr>
        <w:lastRenderedPageBreak/>
        <w:t xml:space="preserve">The technology estate is large and operationally mature for infrastructure management, but underinvested in data management-specific tooling. The knowledge graph maps 164 systems, and the stack includes serious enterprise platforms: Splunk for SIEM, ServiceNow for ITSM, SailPoint for identity governance, Moogsoft for AIOps event correlation, CrowdStrike for endpoint detection, and </w:t>
      </w:r>
      <w:proofErr w:type="spellStart"/>
      <w:r>
        <w:rPr>
          <w:color w:val="333333"/>
        </w:rPr>
        <w:t>BeyondTrust</w:t>
      </w:r>
      <w:proofErr w:type="spellEnd"/>
      <w:r>
        <w:rPr>
          <w:color w:val="333333"/>
        </w:rPr>
        <w:t xml:space="preserve"> for privileged access management. The architecture spans OpenStack-era platforms through modern cloud partnerships (AWS, Azure, GCP, Oracle Cloud). 55 vendor relationships provide the technology supply chain.</w:t>
      </w:r>
    </w:p>
    <w:p w:rsidR="00881792" w:rsidRDefault="00000000">
      <w:pPr>
        <w:spacing w:after="200" w:line="276" w:lineRule="auto"/>
      </w:pPr>
      <w:r>
        <w:rPr>
          <w:color w:val="333333"/>
        </w:rPr>
        <w:t>What is conspicuously absent is the data management tooling layer. No data catalog or metadata repository (no Collibra, Alation, or equivalent). No master data management platform. No dedicated data quality tool (no Informatica DQ, Great Expectations, or equivalent). No data lineage or impact analysis tool. No enterprise integration platform or API management layer. 378 integrations exist in a predominantly point-to-point topology with Cloud Identity Service (Keystone) as the authentication hub but no data integration hub.</w:t>
      </w:r>
    </w:p>
    <w:p w:rsidR="00881792" w:rsidRDefault="00000000">
      <w:pPr>
        <w:spacing w:after="200" w:line="276" w:lineRule="auto"/>
      </w:pPr>
      <w:r>
        <w:rPr>
          <w:color w:val="333333"/>
        </w:rPr>
        <w:t>The Palantir and Sema4.ai partnerships announced in 2025 suggest movement toward operational AI platforms, and the Rubrik partnership provides cyber recovery infrastructure. But these are capability acquisitions for customer-facing services, not investments in enterprise data management infrastructure. The 400-to-20 dashboard consolidation in Internal Data &amp; Analytics implies the organization is recognizing the infrastructure deficit, but the journey is early.</w:t>
      </w:r>
    </w:p>
    <w:p w:rsidR="00881792" w:rsidRDefault="008817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712"/>
        <w:gridCol w:w="6450"/>
      </w:tblGrid>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Sub-Dimension</w:t>
            </w:r>
          </w:p>
        </w:tc>
        <w:tc>
          <w:tcPr>
            <w:tcW w:w="7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Level</w:t>
            </w:r>
          </w:p>
        </w:tc>
        <w:tc>
          <w:tcPr>
            <w:tcW w:w="64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Evidence &amp; Gaps</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6.1 Data Management Tooling</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No data catalog, MDM platform, DQ tool, or lineage tool visible across 164 systems. Data management tooling layer effectively absent for enterprise use.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6.2 Analytics and BI Platform</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400-to-20 dashboard consolidation in progress. No named enterprise BI platform. Internal Data &amp; Analytics Dept exists but platform is unspecified.</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6.3 Data Integration Architecture</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 xml:space="preserve">378 integrations. Point-to-point dominant. Keystone for identity. </w:t>
            </w:r>
            <w:proofErr w:type="spellStart"/>
            <w:r>
              <w:rPr>
                <w:color w:val="333333"/>
                <w:sz w:val="20"/>
                <w:szCs w:val="20"/>
              </w:rPr>
              <w:t>RackConnect</w:t>
            </w:r>
            <w:proofErr w:type="spellEnd"/>
            <w:r>
              <w:rPr>
                <w:color w:val="333333"/>
                <w:sz w:val="20"/>
                <w:szCs w:val="20"/>
              </w:rPr>
              <w:t xml:space="preserve"> for multi-cloud networking. No data integration hub, ESB, or event-driven architecture.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6.4 Cloud and Infrastructure</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Multi-cloud platform partnerships (AWS, Azure, GCP, OCI). 58 sites. 94 network entities. FedRAMP-authorized infrastructure. Mature cloud infrastructure.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6.5 Security and Access Infrastructure</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4</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351 controls. MFA, RBAC, PAM, EDR, SIEM, bastion hosts. AD domain segregation. SailPoint governance. CrowdStrike, Palo Alto, Splunk. Strong security stack.</w:t>
            </w:r>
          </w:p>
        </w:tc>
      </w:tr>
    </w:tbl>
    <w:p w:rsidR="00881792" w:rsidRDefault="00000000">
      <w:r>
        <w:br w:type="page"/>
      </w:r>
    </w:p>
    <w:p w:rsidR="00881792" w:rsidRDefault="00000000">
      <w:pPr>
        <w:pStyle w:val="Heading2"/>
      </w:pPr>
      <w:r>
        <w:lastRenderedPageBreak/>
        <w:t>7. Data Monetization &amp; Value Creation — Level 2 (Reactive)</w:t>
      </w:r>
    </w:p>
    <w:p w:rsidR="00881792" w:rsidRDefault="00000000">
      <w:pPr>
        <w:spacing w:after="200" w:line="276" w:lineRule="auto"/>
      </w:pPr>
      <w:r>
        <w:rPr>
          <w:color w:val="333333"/>
        </w:rPr>
        <w:t xml:space="preserve">This is the dimension that makes CDAMM distinctly different from DCAM, and it is where Rackspace’s story is most complex. Laney’s </w:t>
      </w:r>
      <w:proofErr w:type="spellStart"/>
      <w:r>
        <w:rPr>
          <w:color w:val="333333"/>
        </w:rPr>
        <w:t>Infonomics</w:t>
      </w:r>
      <w:proofErr w:type="spellEnd"/>
      <w:r>
        <w:rPr>
          <w:color w:val="333333"/>
        </w:rPr>
        <w:t xml:space="preserve"> framework posits three forms of data monetization: selling data or data-derived products, using data to improve internal processes, and using data to create measurable non-cash value (better decisions, reduced risk, enhanced customer experience).</w:t>
      </w:r>
    </w:p>
    <w:p w:rsidR="00881792" w:rsidRDefault="00000000">
      <w:pPr>
        <w:spacing w:after="200" w:line="276" w:lineRule="auto"/>
      </w:pPr>
      <w:r>
        <w:rPr>
          <w:color w:val="333333"/>
        </w:rPr>
        <w:t xml:space="preserve">On external data monetization, Rackspace is well-advanced. The company has built an entire business unit around data services: FAIR has executed 700+ AI engagements, AIDE targets $50M+ ARR, data services bookings doubled in FY2024, managed data lake and </w:t>
      </w:r>
      <w:proofErr w:type="spellStart"/>
      <w:r>
        <w:rPr>
          <w:color w:val="333333"/>
        </w:rPr>
        <w:t>lakehouse</w:t>
      </w:r>
      <w:proofErr w:type="spellEnd"/>
      <w:r>
        <w:rPr>
          <w:color w:val="333333"/>
        </w:rPr>
        <w:t xml:space="preserve"> services are launching, and 56 product portfolios include explicit data, analytics, and AI service lines. The Optimizer+ FinOps tool, Intelligent Co-worker for the Enterprise (ICE), and Rackspace Intelligent Technology Assistant (RITA) are data-driven products that monetize operational data through AI. These represent genuine data monetization — turning information and analytics capability into revenue.</w:t>
      </w:r>
    </w:p>
    <w:p w:rsidR="00881792" w:rsidRDefault="00000000">
      <w:pPr>
        <w:spacing w:after="200" w:line="276" w:lineRule="auto"/>
      </w:pPr>
      <w:r>
        <w:rPr>
          <w:color w:val="333333"/>
        </w:rPr>
        <w:t>On internal data value creation, the picture inverts. The missing Customer Identity Reconciliation Process — where CRM, Billing, and Support cannot agree on what constitutes a “customer” across 81,000+ accounts — is the most direct evidence that Rackspace does not effectively use its own data to improve internal processes. The 400-dashboard problem implies that decision makers built their own analytics because no trusted, governed, enterprise-grade alternative existed. No data marketplace or self-service analytics capability enables internal data consumers to find and use data for value creation. The Customer Success Platform Build initiative (Gainsight deployment, targeting churn reduction below 12%) represents the beginning of internal data-driven value creation, but it is one initiative rather than a pervasive organizational capability.</w:t>
      </w:r>
    </w:p>
    <w:p w:rsidR="00881792" w:rsidRDefault="00000000">
      <w:pPr>
        <w:spacing w:after="200" w:line="276" w:lineRule="auto"/>
      </w:pPr>
      <w:r>
        <w:rPr>
          <w:color w:val="333333"/>
        </w:rPr>
        <w:t>On data valuation, there is no evidence of formal economic valuation of information assets. Rackspace manages data that underpins $2.7B in revenue but does not appear to value that data as a capital asset in any formal sense.</w:t>
      </w:r>
    </w:p>
    <w:p w:rsidR="00881792" w:rsidRDefault="008817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712"/>
        <w:gridCol w:w="6450"/>
      </w:tblGrid>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Sub-Dimension</w:t>
            </w:r>
          </w:p>
        </w:tc>
        <w:tc>
          <w:tcPr>
            <w:tcW w:w="7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Level</w:t>
            </w:r>
          </w:p>
        </w:tc>
        <w:tc>
          <w:tcPr>
            <w:tcW w:w="64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Evidence &amp; Gaps</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7.1 External Data Monetization</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 xml:space="preserve">FAIR (700+ engagements), AIDE ($50M+ ARR target), data services bookings 2x YoY, managed </w:t>
            </w:r>
            <w:proofErr w:type="spellStart"/>
            <w:r>
              <w:rPr>
                <w:color w:val="333333"/>
                <w:sz w:val="20"/>
                <w:szCs w:val="20"/>
              </w:rPr>
              <w:t>lakehouse</w:t>
            </w:r>
            <w:proofErr w:type="spellEnd"/>
            <w:r>
              <w:rPr>
                <w:color w:val="333333"/>
                <w:sz w:val="20"/>
                <w:szCs w:val="20"/>
              </w:rPr>
              <w:t xml:space="preserve"> launch, ICE, RITA, Optimizer+. Active external data monetization.</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7.2 Internal Data Value Creation</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1</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Missing customer reconciliation. 400-dashboard fragmentation. No self-service analytics. No data marketplace. Gainsight/CSM platform is sole visible internal data value initiative.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7.3 Data-as-a-Product Capability</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35 products, 56 portfolios including data/AI services. FAIR methodology (Ideate/Incubate/Industrialize). Three-phase approach to productizing data services. Mature external capability.</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lastRenderedPageBreak/>
              <w:t>7.4 Information Asset Valuation</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No formal data valuation methodology. No balance sheet recognition of information assets. Data services revenue tracked but data-as-capital not measured.</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7.5 Data-Driven Decision Making</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64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Churn risk prediction modeling in Internal Data &amp; Analytics. Moogsoft AIOps for operational decisions. Operating Model Remediation found decision authority gaps. Decision-making is pocketed, not pervasive.</w:t>
            </w:r>
          </w:p>
        </w:tc>
      </w:tr>
    </w:tbl>
    <w:p w:rsidR="00881792" w:rsidRDefault="00000000">
      <w:pPr>
        <w:pStyle w:val="Heading1"/>
        <w:pageBreakBefore/>
        <w:spacing w:before="0"/>
      </w:pPr>
      <w:r>
        <w:lastRenderedPageBreak/>
        <w:t>Cross-Cutting Findings</w:t>
      </w:r>
    </w:p>
    <w:p w:rsidR="00881792" w:rsidRDefault="00000000">
      <w:pPr>
        <w:pStyle w:val="Heading3"/>
      </w:pPr>
      <w:r>
        <w:t xml:space="preserve">Finding 1: The </w:t>
      </w:r>
      <w:proofErr w:type="spellStart"/>
      <w:r>
        <w:t>Infonomics</w:t>
      </w:r>
      <w:proofErr w:type="spellEnd"/>
      <w:r>
        <w:t xml:space="preserve"> Paradox — Selling What You Don’t Consume</w:t>
      </w:r>
    </w:p>
    <w:p w:rsidR="00881792" w:rsidRDefault="00000000">
      <w:pPr>
        <w:spacing w:after="200" w:line="276" w:lineRule="auto"/>
      </w:pPr>
      <w:r>
        <w:rPr>
          <w:color w:val="333333"/>
        </w:rPr>
        <w:t xml:space="preserve">The most striking pattern across the CDAMM assessment is what I’d call the </w:t>
      </w:r>
      <w:proofErr w:type="spellStart"/>
      <w:r>
        <w:rPr>
          <w:color w:val="333333"/>
        </w:rPr>
        <w:t>Infonomics</w:t>
      </w:r>
      <w:proofErr w:type="spellEnd"/>
      <w:r>
        <w:rPr>
          <w:color w:val="333333"/>
        </w:rPr>
        <w:t xml:space="preserve"> Paradox: Rackspace generates revenue by helping customers treat their data as an asset (FAIR, managed </w:t>
      </w:r>
      <w:proofErr w:type="spellStart"/>
      <w:r>
        <w:rPr>
          <w:color w:val="333333"/>
        </w:rPr>
        <w:t>lakehouse</w:t>
      </w:r>
      <w:proofErr w:type="spellEnd"/>
      <w:r>
        <w:rPr>
          <w:color w:val="333333"/>
        </w:rPr>
        <w:t xml:space="preserve">, AIDE, Optimizer+) while not treating its own data as an asset. External Data Monetization </w:t>
      </w:r>
      <w:proofErr w:type="gramStart"/>
      <w:r>
        <w:rPr>
          <w:color w:val="333333"/>
        </w:rPr>
        <w:t>scores</w:t>
      </w:r>
      <w:proofErr w:type="gramEnd"/>
      <w:r>
        <w:rPr>
          <w:color w:val="333333"/>
        </w:rPr>
        <w:t xml:space="preserve"> Proactive (Level 3) while Internal Data Value Creation </w:t>
      </w:r>
      <w:proofErr w:type="gramStart"/>
      <w:r>
        <w:rPr>
          <w:color w:val="333333"/>
        </w:rPr>
        <w:t>scores</w:t>
      </w:r>
      <w:proofErr w:type="gramEnd"/>
      <w:r>
        <w:rPr>
          <w:color w:val="333333"/>
        </w:rPr>
        <w:t xml:space="preserve"> Aware (Level 1). Information Asset Valuation </w:t>
      </w:r>
      <w:proofErr w:type="gramStart"/>
      <w:r>
        <w:rPr>
          <w:color w:val="333333"/>
        </w:rPr>
        <w:t>scores</w:t>
      </w:r>
      <w:proofErr w:type="gramEnd"/>
      <w:r>
        <w:rPr>
          <w:color w:val="333333"/>
        </w:rPr>
        <w:t xml:space="preserve"> Unaware (Level 0). The organization has the intellectual framework — 700+ AI engagements prove the team understands </w:t>
      </w:r>
      <w:proofErr w:type="spellStart"/>
      <w:r>
        <w:rPr>
          <w:color w:val="333333"/>
        </w:rPr>
        <w:t>Infonomics</w:t>
      </w:r>
      <w:proofErr w:type="spellEnd"/>
      <w:r>
        <w:rPr>
          <w:color w:val="333333"/>
        </w:rPr>
        <w:t xml:space="preserve"> principles — but has not turned those principles inward. This is a credibility gap that enterprise buyers will eventually probe: “Show me how you use this internally before I trust you to do it for me.”</w:t>
      </w:r>
    </w:p>
    <w:p w:rsidR="00881792" w:rsidRDefault="00000000">
      <w:pPr>
        <w:pStyle w:val="Heading3"/>
      </w:pPr>
      <w:r>
        <w:t>Finding 2: Policy Without Tooling Creates a Measurement Vacuum</w:t>
      </w:r>
    </w:p>
    <w:p w:rsidR="00881792" w:rsidRDefault="00000000">
      <w:pPr>
        <w:spacing w:after="200" w:line="276" w:lineRule="auto"/>
      </w:pPr>
      <w:r>
        <w:rPr>
          <w:color w:val="333333"/>
        </w:rPr>
        <w:t>CDAMM’s emphasis on metrics and measurement exposes a specific failure mode in Rackspace’s governance architecture: 123 policies define what should happen, but without data management tooling (catalog, lineage, quality monitoring), the organization cannot measure whether it is happening. This matters in the CDAMM context because Laney’s framework treats measurement as the bridge between governance (control) and monetization (value). Without metrics, you have compliance without optimization — you know what data you have and what rules apply to it, but you do not know whether that data is generating the value it could. The 400-dashboard-to-20 consolidation is the canary: the organization measured everything except whether its measurements were consistent, governed, and useful.</w:t>
      </w:r>
    </w:p>
    <w:p w:rsidR="00881792" w:rsidRDefault="00000000">
      <w:pPr>
        <w:pStyle w:val="Heading3"/>
      </w:pPr>
      <w:r>
        <w:t>Finding 3: The CDO Gap as a CDAMM Structural Barrier</w:t>
      </w:r>
    </w:p>
    <w:p w:rsidR="00881792" w:rsidRDefault="00000000">
      <w:pPr>
        <w:spacing w:after="200" w:line="276" w:lineRule="auto"/>
      </w:pPr>
      <w:r>
        <w:rPr>
          <w:color w:val="333333"/>
        </w:rPr>
        <w:t>CDAMM’s Organization dimension asks explicitly about the Chief Data Officer function. Rackspace has a Chief AI Officer with P&amp;L authority — a forward-looking choice — but no CDO or equivalent whose mandate covers enterprise data management, data quality, master data, metadata, and data lifecycle. The CAIO’s authority is oriented toward AI services revenue, which aligns with external monetization but not with the internal data management maturity that CDAMM evaluates. This is not an argument for a CDO as the answer — organizational structure is context-dependent — but it is an observation that enterprise data management currently lacks a single accountable executive, and CDAMM penalizes that gap directly.</w:t>
      </w:r>
    </w:p>
    <w:p w:rsidR="00881792" w:rsidRDefault="00000000">
      <w:pPr>
        <w:pStyle w:val="Heading3"/>
      </w:pPr>
      <w:r>
        <w:t>Finding 4: Stewardship Confidence as a Leading Indicator</w:t>
      </w:r>
    </w:p>
    <w:p w:rsidR="00881792" w:rsidRDefault="00000000">
      <w:pPr>
        <w:spacing w:after="200" w:line="276" w:lineRule="auto"/>
      </w:pPr>
      <w:r>
        <w:rPr>
          <w:color w:val="333333"/>
        </w:rPr>
        <w:t xml:space="preserve">The knowledge graph’s own confidence scores provide a quantitative validation of the CDAMM assessment. The </w:t>
      </w:r>
      <w:proofErr w:type="spellStart"/>
      <w:r>
        <w:rPr>
          <w:color w:val="333333"/>
        </w:rPr>
        <w:t>managed_by</w:t>
      </w:r>
      <w:proofErr w:type="spellEnd"/>
      <w:r>
        <w:rPr>
          <w:color w:val="333333"/>
        </w:rPr>
        <w:t xml:space="preserve"> relationship type averages 0.77 confidence — the lowest of any relationship type in the 7,614-relationship graph. In CDAMM terms, this means the organization has higher confidence in what regulations apply to its data (</w:t>
      </w:r>
      <w:proofErr w:type="spellStart"/>
      <w:r>
        <w:rPr>
          <w:color w:val="333333"/>
        </w:rPr>
        <w:t>subject_to</w:t>
      </w:r>
      <w:proofErr w:type="spellEnd"/>
      <w:r>
        <w:rPr>
          <w:color w:val="333333"/>
        </w:rPr>
        <w:t>: 0.91), what controls enforce its policies (enforces: 0.91), and what systems depend on each other (</w:t>
      </w:r>
      <w:proofErr w:type="spellStart"/>
      <w:r>
        <w:rPr>
          <w:color w:val="333333"/>
        </w:rPr>
        <w:t>depends_on</w:t>
      </w:r>
      <w:proofErr w:type="spellEnd"/>
      <w:r>
        <w:rPr>
          <w:color w:val="333333"/>
        </w:rPr>
        <w:t xml:space="preserve">: 0.91) than in who is accountable for managing the data itself. That ordering is the signature of a compliance-led rather than asset-led data management program. CDAMM, with its </w:t>
      </w:r>
      <w:proofErr w:type="spellStart"/>
      <w:r>
        <w:rPr>
          <w:color w:val="333333"/>
        </w:rPr>
        <w:t>Infonomics</w:t>
      </w:r>
      <w:proofErr w:type="spellEnd"/>
      <w:r>
        <w:rPr>
          <w:color w:val="333333"/>
        </w:rPr>
        <w:t xml:space="preserve"> </w:t>
      </w:r>
      <w:r>
        <w:rPr>
          <w:color w:val="333333"/>
        </w:rPr>
        <w:lastRenderedPageBreak/>
        <w:t>foundation, evaluates specifically for the transition from compliance-led to asset-led management, and Rackspace has not made that transition.</w:t>
      </w:r>
    </w:p>
    <w:p w:rsidR="00881792" w:rsidRDefault="00000000">
      <w:pPr>
        <w:pStyle w:val="Heading3"/>
      </w:pPr>
      <w:r>
        <w:t>Finding 5: The Integration Complexity Tax</w:t>
      </w:r>
    </w:p>
    <w:p w:rsidR="00881792" w:rsidRDefault="00000000">
      <w:pPr>
        <w:spacing w:after="200" w:line="276" w:lineRule="auto"/>
      </w:pPr>
      <w:r>
        <w:rPr>
          <w:color w:val="333333"/>
        </w:rPr>
        <w:t xml:space="preserve">378 integrations and 790 </w:t>
      </w:r>
      <w:proofErr w:type="spellStart"/>
      <w:r>
        <w:rPr>
          <w:color w:val="333333"/>
        </w:rPr>
        <w:t>depends_on</w:t>
      </w:r>
      <w:proofErr w:type="spellEnd"/>
      <w:r>
        <w:rPr>
          <w:color w:val="333333"/>
        </w:rPr>
        <w:t xml:space="preserve"> relationships in a predominantly point-to-point topology create what Laney would call an “information friction” tax — the cost of moving, transforming, and reconciling data across systems without an integration architecture that treats data flow as a first-class concern. The PLAY ransomware attack and ScienceLogic zero-day exploitation demonstrated the blast radius of this coupling from a security perspective. From a CDAMM perspective, the same coupling creates data quality risk (inconsistent transformations across 378 integration points), data lineage opacity (no end-to-end traceability), and data monetization friction (cannot easily access, combine, or productize internal data assets).</w:t>
      </w:r>
    </w:p>
    <w:p w:rsidR="00881792" w:rsidRDefault="00000000">
      <w:pPr>
        <w:pStyle w:val="Heading1"/>
        <w:pageBreakBefore/>
        <w:spacing w:before="0"/>
      </w:pPr>
      <w:r>
        <w:lastRenderedPageBreak/>
        <w:t>Appendix A: Provenance, Confidence &amp; Assumptions</w:t>
      </w:r>
    </w:p>
    <w:p w:rsidR="00881792" w:rsidRDefault="00000000">
      <w:pPr>
        <w:pStyle w:val="Heading2"/>
      </w:pPr>
      <w:r>
        <w:t>A.1 Framework Note</w:t>
      </w:r>
    </w:p>
    <w:p w:rsidR="00881792" w:rsidRDefault="00000000">
      <w:pPr>
        <w:spacing w:after="200" w:line="276" w:lineRule="auto"/>
      </w:pPr>
      <w:r>
        <w:rPr>
          <w:color w:val="333333"/>
        </w:rPr>
        <w:t xml:space="preserve">The Caserta Data &amp; Analytics Maturity Model (CDAMM) is a proprietary 200+ indicator model created by Doug Laney at Caserta (now McKinsey). Its internal structure is not publicly documented at the indicator level. This assessment maps Rackspace’s knowledge graph evidence to the seven building blocks published in Laney’s Gartner Enterprise Information Management Maturity Model (Vision, Strategy, Metrics, Information Governance, Organization &amp; Roles, Information Lifecycle, Enabling Infrastructure), augmented with the </w:t>
      </w:r>
      <w:proofErr w:type="spellStart"/>
      <w:r>
        <w:rPr>
          <w:color w:val="333333"/>
        </w:rPr>
        <w:t>Infonomics</w:t>
      </w:r>
      <w:proofErr w:type="spellEnd"/>
      <w:r>
        <w:rPr>
          <w:color w:val="333333"/>
        </w:rPr>
        <w:t xml:space="preserve"> “Monetize, Manage, Measure” triad and the Data Monetization and Value Creation dimension that distinguishes CDAMM from traditional data management maturity models. The five maturity levels (Unaware through Effective) align to the published Gartner EIM scale. Where CDAMM-specific indicator detail is unavailable, scoring uses the published framework principles and the 12 characteristics of a mature maturity model that Laney has articulated publicly.</w:t>
      </w:r>
    </w:p>
    <w:p w:rsidR="00881792" w:rsidRDefault="00000000">
      <w:pPr>
        <w:pStyle w:val="Heading2"/>
      </w:pPr>
      <w:r>
        <w:t>A.2 Confidence Level by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5"/>
        <w:gridCol w:w="712"/>
        <w:gridCol w:w="1500"/>
        <w:gridCol w:w="4353"/>
      </w:tblGrid>
      <w:tr w:rsidR="00881792">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CDAMM Dimension</w:t>
            </w:r>
          </w:p>
        </w:tc>
        <w:tc>
          <w:tcPr>
            <w:tcW w:w="7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Level</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Assessment Confidence</w:t>
            </w:r>
          </w:p>
        </w:tc>
        <w:tc>
          <w:tcPr>
            <w:tcW w:w="43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Primary KG Evidence</w:t>
            </w:r>
          </w:p>
        </w:tc>
      </w:tr>
      <w:tr w:rsidR="00881792">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 Vision &amp; Strategy</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15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Medium</w:t>
            </w:r>
          </w:p>
        </w:tc>
        <w:tc>
          <w:tcPr>
            <w:tcW w:w="4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25 initiatives, 67 business capabilities, CAIO role, Data Governance Policy, FAIR org unit</w:t>
            </w:r>
          </w:p>
        </w:tc>
      </w:tr>
      <w:tr w:rsidR="00881792">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 Metrics &amp; Value Measurement</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Medium-Low</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400-dashboard reference, operational metrics (SLA, severity). No data management KPIs in evidence. Absence-based scoring.</w:t>
            </w:r>
          </w:p>
        </w:tc>
      </w:tr>
      <w:tr w:rsidR="00881792">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 Information Governance</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w:t>
            </w:r>
          </w:p>
        </w:tc>
        <w:tc>
          <w:tcPr>
            <w:tcW w:w="15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High</w:t>
            </w:r>
          </w:p>
        </w:tc>
        <w:tc>
          <w:tcPr>
            <w:tcW w:w="4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 xml:space="preserve">123 policies, 351 controls, 386 enforces, 90 data domains, 63 </w:t>
            </w:r>
            <w:proofErr w:type="spellStart"/>
            <w:r>
              <w:rPr>
                <w:color w:val="333333"/>
                <w:sz w:val="20"/>
                <w:szCs w:val="20"/>
              </w:rPr>
              <w:t>managed_by</w:t>
            </w:r>
            <w:proofErr w:type="spellEnd"/>
            <w:r>
              <w:rPr>
                <w:color w:val="333333"/>
                <w:sz w:val="20"/>
                <w:szCs w:val="20"/>
              </w:rPr>
              <w:t xml:space="preserve">, 70 regulations, 527 </w:t>
            </w:r>
            <w:proofErr w:type="spellStart"/>
            <w:r>
              <w:rPr>
                <w:color w:val="333333"/>
                <w:sz w:val="20"/>
                <w:szCs w:val="20"/>
              </w:rPr>
              <w:t>subject_to</w:t>
            </w:r>
            <w:proofErr w:type="spellEnd"/>
          </w:p>
        </w:tc>
      </w:tr>
      <w:tr w:rsidR="00881792">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 Organization, Roles &amp; Culture</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Medium</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430 roles, 250 departments, 100 persons, 108 data-related departments. Orientation analysis (services vs. internal).</w:t>
            </w:r>
          </w:p>
        </w:tc>
      </w:tr>
      <w:tr w:rsidR="00881792">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5. Information Lifecycle</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w:t>
            </w:r>
          </w:p>
        </w:tc>
        <w:tc>
          <w:tcPr>
            <w:tcW w:w="15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High</w:t>
            </w:r>
          </w:p>
        </w:tc>
        <w:tc>
          <w:tcPr>
            <w:tcW w:w="4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 xml:space="preserve">Retention/Disposal Policy, NIST 800-88, 165 stores, classification controls, 790 </w:t>
            </w:r>
            <w:proofErr w:type="spellStart"/>
            <w:r>
              <w:rPr>
                <w:color w:val="333333"/>
                <w:sz w:val="20"/>
                <w:szCs w:val="20"/>
              </w:rPr>
              <w:t>depends_on</w:t>
            </w:r>
            <w:proofErr w:type="spellEnd"/>
            <w:r>
              <w:rPr>
                <w:color w:val="333333"/>
                <w:sz w:val="20"/>
                <w:szCs w:val="20"/>
              </w:rPr>
              <w:t xml:space="preserve"> (lineage proxy)</w:t>
            </w:r>
          </w:p>
        </w:tc>
      </w:tr>
      <w:tr w:rsidR="00881792">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6. Enabling Infrastructure</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High</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164 systems, 378 integrations, 55 vendors. Tooling gap is affirmative finding (absence across comprehensive inventory).</w:t>
            </w:r>
          </w:p>
        </w:tc>
      </w:tr>
      <w:tr w:rsidR="00881792">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7. Data Monetization &amp; Value Creation</w:t>
            </w:r>
          </w:p>
        </w:tc>
        <w:tc>
          <w:tcPr>
            <w:tcW w:w="7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w:t>
            </w:r>
          </w:p>
        </w:tc>
        <w:tc>
          <w:tcPr>
            <w:tcW w:w="15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Medium</w:t>
            </w:r>
          </w:p>
        </w:tc>
        <w:tc>
          <w:tcPr>
            <w:tcW w:w="4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35 products, 56 portfolios, 85 customers, FAIR practice, revenue targets. Internal monetization scoring is absence-based.</w:t>
            </w:r>
          </w:p>
        </w:tc>
      </w:tr>
    </w:tbl>
    <w:p w:rsidR="00881792" w:rsidRDefault="00000000">
      <w:pPr>
        <w:pStyle w:val="Heading2"/>
      </w:pPr>
      <w:r>
        <w:t>A.3 Knowledge Graph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lastRenderedPageBreak/>
              <w:t>Metric</w:t>
            </w:r>
          </w:p>
        </w:tc>
        <w:tc>
          <w:tcPr>
            <w:tcW w:w="46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Value</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Total Entities</w:t>
            </w:r>
          </w:p>
        </w:tc>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3,060</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Total Relationships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7,614</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Entity Types</w:t>
            </w:r>
          </w:p>
        </w:tc>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26</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Relationship Types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40</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Average Relationship Confidence</w:t>
            </w:r>
          </w:p>
        </w:tc>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0.89</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Average Relationship Weight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0.93</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Relationships ≥ 0.9 Weight</w:t>
            </w:r>
          </w:p>
        </w:tc>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5,432 (71.3%)</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Relationships 0.7–0.89 Weight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2,007 (26.4%)</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Relationships &lt; 0.7 Weight</w:t>
            </w:r>
          </w:p>
        </w:tc>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175 (2.3%)</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Lowest Confidence Relationship</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proofErr w:type="spellStart"/>
            <w:r>
              <w:rPr>
                <w:color w:val="333333"/>
                <w:sz w:val="20"/>
                <w:szCs w:val="20"/>
              </w:rPr>
              <w:t>managed_by</w:t>
            </w:r>
            <w:proofErr w:type="spellEnd"/>
            <w:r>
              <w:rPr>
                <w:color w:val="333333"/>
                <w:sz w:val="20"/>
                <w:szCs w:val="20"/>
              </w:rPr>
              <w:t xml:space="preserve"> (avg 0.77)</w:t>
            </w:r>
          </w:p>
        </w:tc>
      </w:tr>
      <w:tr w:rsidR="00881792">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Highest Confidence Relationship</w:t>
            </w:r>
          </w:p>
        </w:tc>
        <w:tc>
          <w:tcPr>
            <w:tcW w:w="468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regulates (avg 1.00)</w:t>
            </w:r>
          </w:p>
        </w:tc>
      </w:tr>
    </w:tbl>
    <w:p w:rsidR="00881792" w:rsidRDefault="00000000">
      <w:pPr>
        <w:pStyle w:val="Heading2"/>
      </w:pPr>
      <w:r>
        <w:t>A.4 CDAMM-Relevant Entity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00"/>
        <w:gridCol w:w="6360"/>
      </w:tblGrid>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Entity Type</w:t>
            </w:r>
          </w:p>
        </w:tc>
        <w:tc>
          <w:tcPr>
            <w:tcW w:w="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Count</w:t>
            </w:r>
          </w:p>
        </w:tc>
        <w:tc>
          <w:tcPr>
            <w:tcW w:w="63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CDAMM Dimension Relevance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role</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430</w:t>
            </w:r>
          </w:p>
        </w:tc>
        <w:tc>
          <w:tcPr>
            <w:tcW w:w="6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Organization, Roles &amp; Culture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integration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378</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Enabling Infrastructure, Information Lifecycle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control</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351</w:t>
            </w:r>
          </w:p>
        </w:tc>
        <w:tc>
          <w:tcPr>
            <w:tcW w:w="6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Information Governance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department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250</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Organization, Roles &amp; Culture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proofErr w:type="spellStart"/>
            <w:r>
              <w:rPr>
                <w:color w:val="333333"/>
                <w:sz w:val="20"/>
                <w:szCs w:val="20"/>
              </w:rPr>
              <w:t>data_asset</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164</w:t>
            </w:r>
          </w:p>
        </w:tc>
        <w:tc>
          <w:tcPr>
            <w:tcW w:w="6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Information Lifecycle, Monetization</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system</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164</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Enabling Infrastructure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policy</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123</w:t>
            </w:r>
          </w:p>
        </w:tc>
        <w:tc>
          <w:tcPr>
            <w:tcW w:w="6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Information Governance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proofErr w:type="spellStart"/>
            <w:r>
              <w:rPr>
                <w:color w:val="333333"/>
                <w:sz w:val="20"/>
                <w:szCs w:val="20"/>
              </w:rPr>
              <w:t>organizational_unit</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111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Organization, Roles &amp; Culture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person</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100</w:t>
            </w:r>
          </w:p>
        </w:tc>
        <w:tc>
          <w:tcPr>
            <w:tcW w:w="6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Vision &amp; Strategy (leadership), Organization</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risk</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94</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Information Governance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proofErr w:type="spellStart"/>
            <w:r>
              <w:rPr>
                <w:color w:val="333333"/>
                <w:sz w:val="20"/>
                <w:szCs w:val="20"/>
              </w:rPr>
              <w:t>data_domain</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90</w:t>
            </w:r>
          </w:p>
        </w:tc>
        <w:tc>
          <w:tcPr>
            <w:tcW w:w="6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Information Governance, Lifecycle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customer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85</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Data Monetization (market validation)</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proofErr w:type="spellStart"/>
            <w:r>
              <w:rPr>
                <w:color w:val="333333"/>
                <w:sz w:val="20"/>
                <w:szCs w:val="20"/>
              </w:rPr>
              <w:t>product_portfolio</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71</w:t>
            </w:r>
          </w:p>
        </w:tc>
        <w:tc>
          <w:tcPr>
            <w:tcW w:w="6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Data Monetization &amp; Value Creation</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regulation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70</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Information Governance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vendor</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55</w:t>
            </w:r>
          </w:p>
        </w:tc>
        <w:tc>
          <w:tcPr>
            <w:tcW w:w="6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Enabling Infrastructure</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contract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40</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Data Monetization (revenue instruments)</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product</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35</w:t>
            </w:r>
          </w:p>
        </w:tc>
        <w:tc>
          <w:tcPr>
            <w:tcW w:w="6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Data Monetization &amp; Value Creation</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proofErr w:type="spellStart"/>
            <w:r>
              <w:rPr>
                <w:color w:val="333333"/>
                <w:sz w:val="20"/>
                <w:szCs w:val="20"/>
              </w:rPr>
              <w:t>market_segment</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32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Data Monetization (addressable market)</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lastRenderedPageBreak/>
              <w:t>initiative</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25</w:t>
            </w:r>
          </w:p>
        </w:tc>
        <w:tc>
          <w:tcPr>
            <w:tcW w:w="63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Vision &amp; Strategy</w:t>
            </w:r>
          </w:p>
        </w:tc>
      </w:tr>
      <w:tr w:rsidR="0088179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incident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9</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Information Governance (incident response)</w:t>
            </w:r>
          </w:p>
        </w:tc>
      </w:tr>
    </w:tbl>
    <w:p w:rsidR="00881792" w:rsidRDefault="00000000">
      <w:r>
        <w:br w:type="page"/>
      </w:r>
    </w:p>
    <w:p w:rsidR="00881792" w:rsidRDefault="00000000">
      <w:pPr>
        <w:pStyle w:val="Heading2"/>
      </w:pPr>
      <w:r>
        <w:lastRenderedPageBreak/>
        <w:t>A.5 Relationship Confidence Distribution (CDAMM-Critical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00"/>
        <w:gridCol w:w="900"/>
        <w:gridCol w:w="900"/>
        <w:gridCol w:w="4960"/>
      </w:tblGrid>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Relationship Type</w:t>
            </w:r>
          </w:p>
        </w:tc>
        <w:tc>
          <w:tcPr>
            <w:tcW w:w="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Count</w:t>
            </w:r>
          </w:p>
        </w:tc>
        <w:tc>
          <w:tcPr>
            <w:tcW w:w="9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Avg Conf.</w:t>
            </w:r>
          </w:p>
        </w:tc>
        <w:tc>
          <w:tcPr>
            <w:tcW w:w="9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Min Conf.</w:t>
            </w:r>
          </w:p>
        </w:tc>
        <w:tc>
          <w:tcPr>
            <w:tcW w:w="49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CDAMM Dimension Impact</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proofErr w:type="spellStart"/>
            <w:r>
              <w:rPr>
                <w:color w:val="333333"/>
                <w:sz w:val="20"/>
                <w:szCs w:val="20"/>
              </w:rPr>
              <w:t>managed_by</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385</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0.77</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0.65</w:t>
            </w:r>
          </w:p>
        </w:tc>
        <w:tc>
          <w:tcPr>
            <w:tcW w:w="49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Organization (stewardship certainty)</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proofErr w:type="spellStart"/>
            <w:r>
              <w:rPr>
                <w:color w:val="333333"/>
                <w:sz w:val="20"/>
                <w:szCs w:val="20"/>
              </w:rPr>
              <w:t>applies_to</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601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0.78</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0.75</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Governance (policy coverage)</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contains</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75</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0.83</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0.70</w:t>
            </w:r>
          </w:p>
        </w:tc>
        <w:tc>
          <w:tcPr>
            <w:tcW w:w="49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Lifecycle (domain structure)</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stores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165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0.87</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0.65</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Infrastructure (asset mapping)</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enforces</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386</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0.91</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0.80</w:t>
            </w:r>
          </w:p>
        </w:tc>
        <w:tc>
          <w:tcPr>
            <w:tcW w:w="49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Governance (control enforcement)</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proofErr w:type="spellStart"/>
            <w:r>
              <w:rPr>
                <w:color w:val="333333"/>
                <w:sz w:val="20"/>
                <w:szCs w:val="20"/>
              </w:rPr>
              <w:t>depends_on</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790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0.91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0.60</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Infrastructure (architecture coupling)</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proofErr w:type="spellStart"/>
            <w:r>
              <w:rPr>
                <w:color w:val="333333"/>
                <w:sz w:val="20"/>
                <w:szCs w:val="20"/>
              </w:rPr>
              <w:t>subject_to</w:t>
            </w:r>
            <w:proofErr w:type="spellEnd"/>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1,117</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0.91</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0.55</w:t>
            </w:r>
          </w:p>
        </w:tc>
        <w:tc>
          <w:tcPr>
            <w:tcW w:w="49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Governance (regulatory coverage)</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serves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223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0.91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0.40</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Monetization (market validation)</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supports</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193</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0.95</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0.67</w:t>
            </w:r>
          </w:p>
        </w:tc>
        <w:tc>
          <w:tcPr>
            <w:tcW w:w="49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Strategy (capability enablement)</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delivers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33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0.89</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0.87</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Monetization (product delivery)</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drives</w:t>
            </w:r>
          </w:p>
        </w:tc>
        <w:tc>
          <w:tcPr>
            <w:tcW w:w="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28</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0.92</w:t>
            </w:r>
          </w:p>
        </w:tc>
        <w:tc>
          <w:tcPr>
            <w:tcW w:w="9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0.80</w:t>
            </w:r>
          </w:p>
        </w:tc>
        <w:tc>
          <w:tcPr>
            <w:tcW w:w="49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Strategy (initiative impact)</w:t>
            </w:r>
          </w:p>
        </w:tc>
      </w:tr>
    </w:tbl>
    <w:p w:rsidR="00881792" w:rsidRDefault="00000000">
      <w:pPr>
        <w:pStyle w:val="Heading2"/>
      </w:pPr>
      <w:r>
        <w:t>A.6 Key Assumptions and Limitations</w:t>
      </w:r>
    </w:p>
    <w:p w:rsidR="00881792" w:rsidRDefault="00000000">
      <w:pPr>
        <w:spacing w:after="200" w:line="276" w:lineRule="auto"/>
      </w:pPr>
      <w:r>
        <w:rPr>
          <w:b/>
          <w:bCs/>
          <w:color w:val="333333"/>
        </w:rPr>
        <w:t xml:space="preserve">Framework reconstruction. </w:t>
      </w:r>
      <w:r>
        <w:rPr>
          <w:color w:val="333333"/>
        </w:rPr>
        <w:t xml:space="preserve">CDAMM’s full 200+ indicator structure is proprietary to Caserta/McKinsey. This assessment reconstructs the framework from publicly available sources: Laney’s Gartner EIM maturity model (seven building blocks), the </w:t>
      </w:r>
      <w:proofErr w:type="spellStart"/>
      <w:r>
        <w:rPr>
          <w:color w:val="333333"/>
        </w:rPr>
        <w:t>Infonomics</w:t>
      </w:r>
      <w:proofErr w:type="spellEnd"/>
      <w:r>
        <w:rPr>
          <w:color w:val="333333"/>
        </w:rPr>
        <w:t xml:space="preserve"> triad (Monetize, Manage, Measure), Laney’s published “12 characteristics” article, and general CDAMM descriptions. Indicator-level fidelity to the proprietary model cannot be guaranteed.</w:t>
      </w:r>
    </w:p>
    <w:p w:rsidR="00881792" w:rsidRDefault="00000000">
      <w:pPr>
        <w:spacing w:after="200" w:line="276" w:lineRule="auto"/>
      </w:pPr>
      <w:r>
        <w:rPr>
          <w:b/>
          <w:bCs/>
          <w:color w:val="333333"/>
        </w:rPr>
        <w:t xml:space="preserve">Observational methodology. </w:t>
      </w:r>
      <w:r>
        <w:rPr>
          <w:color w:val="333333"/>
        </w:rPr>
        <w:t xml:space="preserve">As with the DCAM assessment, scores derive from documented knowledge graph evidence without interviews or surveys. Capabilities that exist informally or are </w:t>
      </w:r>
      <w:proofErr w:type="spellStart"/>
      <w:r>
        <w:rPr>
          <w:color w:val="333333"/>
        </w:rPr>
        <w:t>underdocumented</w:t>
      </w:r>
      <w:proofErr w:type="spellEnd"/>
      <w:r>
        <w:rPr>
          <w:color w:val="333333"/>
        </w:rPr>
        <w:t xml:space="preserve"> may be underscored, particularly in Organization &amp; Culture (Level 2) and Metrics (Level 1).</w:t>
      </w:r>
    </w:p>
    <w:p w:rsidR="00881792" w:rsidRDefault="00000000">
      <w:pPr>
        <w:spacing w:after="200" w:line="276" w:lineRule="auto"/>
      </w:pPr>
      <w:r>
        <w:rPr>
          <w:b/>
          <w:bCs/>
          <w:color w:val="333333"/>
        </w:rPr>
        <w:t xml:space="preserve">External vs. internal distinction. </w:t>
      </w:r>
      <w:r>
        <w:rPr>
          <w:color w:val="333333"/>
        </w:rPr>
        <w:t>The CDAMM scoring distinguishes between external-facing (customer services) and internal-facing (enterprise management) data capabilities. Where a single dimension spans both, the sub-dimension scoring captures the disparity. Composite dimension scores reflect the internal-facing posture, which is what CDAMM fundamentally evaluates.</w:t>
      </w:r>
    </w:p>
    <w:p w:rsidR="00881792" w:rsidRDefault="00000000">
      <w:pPr>
        <w:spacing w:after="200" w:line="276" w:lineRule="auto"/>
      </w:pPr>
      <w:r>
        <w:rPr>
          <w:b/>
          <w:bCs/>
          <w:color w:val="333333"/>
        </w:rPr>
        <w:t xml:space="preserve">Monetization scoring complexity. </w:t>
      </w:r>
      <w:r>
        <w:rPr>
          <w:color w:val="333333"/>
        </w:rPr>
        <w:t xml:space="preserve">CDAMM’s Data Monetization dimension evaluates three </w:t>
      </w:r>
      <w:proofErr w:type="spellStart"/>
      <w:r>
        <w:rPr>
          <w:color w:val="333333"/>
        </w:rPr>
        <w:t>Infonomics</w:t>
      </w:r>
      <w:proofErr w:type="spellEnd"/>
      <w:r>
        <w:rPr>
          <w:color w:val="333333"/>
        </w:rPr>
        <w:t xml:space="preserve"> forms: revenue generation, process improvement, and non-cash value creation. Rackspace’s strong external monetization (Level 3) is offset by weak internal monetization (Level 1), yielding a composite Level 2. This is a judgment call that privileges the internal dimension because CDAMM evaluates organizational maturity, not product-market fit.</w:t>
      </w:r>
    </w:p>
    <w:p w:rsidR="00881792" w:rsidRDefault="00000000">
      <w:pPr>
        <w:spacing w:after="200" w:line="276" w:lineRule="auto"/>
      </w:pPr>
      <w:r>
        <w:rPr>
          <w:b/>
          <w:bCs/>
          <w:color w:val="333333"/>
        </w:rPr>
        <w:lastRenderedPageBreak/>
        <w:t xml:space="preserve">Temporal scope. </w:t>
      </w:r>
      <w:r>
        <w:rPr>
          <w:color w:val="333333"/>
        </w:rPr>
        <w:t>The KG reflects organizational state as of early 2026. The Palantir partnership (February 2025), Sema4.ai alliance (June 2025), and Rubrik partnership (April 2025) may have matured beyond what is captured. The AIDE platform and Customer Success Platform initiatives may have advanced.</w:t>
      </w:r>
    </w:p>
    <w:p w:rsidR="00881792" w:rsidRDefault="00000000">
      <w:pPr>
        <w:pStyle w:val="Heading1"/>
        <w:pageBreakBefore/>
        <w:spacing w:before="0"/>
      </w:pPr>
      <w:r>
        <w:lastRenderedPageBreak/>
        <w:t>DCAM vs. CDAMM Comparative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1182"/>
        <w:gridCol w:w="1757"/>
        <w:gridCol w:w="4643"/>
      </w:tblGrid>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Dimension</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DCAM v2 Score</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CDAMM Level</w:t>
            </w:r>
          </w:p>
        </w:tc>
        <w:tc>
          <w:tcPr>
            <w:tcW w:w="47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rsidR="00881792" w:rsidRDefault="00000000">
            <w:r>
              <w:rPr>
                <w:b/>
                <w:bCs/>
                <w:color w:val="FFFFFF"/>
                <w:sz w:val="20"/>
                <w:szCs w:val="20"/>
              </w:rPr>
              <w:t>Key Divergence</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Strategy</w:t>
            </w:r>
          </w:p>
        </w:tc>
        <w:tc>
          <w:tcPr>
            <w:tcW w:w="1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2.0</w:t>
            </w:r>
          </w:p>
        </w:tc>
        <w:tc>
          <w:tcPr>
            <w:tcW w:w="16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 (Reactive)</w:t>
            </w:r>
          </w:p>
        </w:tc>
        <w:tc>
          <w:tcPr>
            <w:tcW w:w="47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Aligned. Both identify fragmented, initiative-driven strategy.</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Governance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3.0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3 (Proactive)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Aligned. Strong policy framework, weak stewardship execution.</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Data Quality</w:t>
            </w:r>
          </w:p>
        </w:tc>
        <w:tc>
          <w:tcPr>
            <w:tcW w:w="1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2.0</w:t>
            </w:r>
          </w:p>
        </w:tc>
        <w:tc>
          <w:tcPr>
            <w:tcW w:w="16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N/A (embedded)</w:t>
            </w:r>
          </w:p>
        </w:tc>
        <w:tc>
          <w:tcPr>
            <w:tcW w:w="47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CDAMM distributes DQ across Governance and Metrics. Same gaps surface: missing MDM, customer reconciliation failure.</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Architecture &amp; Integration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3.0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 (Reactive)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CDAMM penalizes the data tooling gap harder. DCAM credits the architecture scope; CDAMM looks for data-specific infrastructure.</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Lifecycle</w:t>
            </w:r>
          </w:p>
        </w:tc>
        <w:tc>
          <w:tcPr>
            <w:tcW w:w="1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3.0</w:t>
            </w:r>
          </w:p>
        </w:tc>
        <w:tc>
          <w:tcPr>
            <w:tcW w:w="16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3 (Proactive)</w:t>
            </w:r>
          </w:p>
        </w:tc>
        <w:tc>
          <w:tcPr>
            <w:tcW w:w="47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Aligned. Strong retention/classification, weak lineage.</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Privacy &amp; Protection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4.0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N/A (within Gov.)</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CDAMM subsumes privacy into Governance. The 4.0 strength lifts Governance to Proactive.</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Analytics &amp; Enablement</w:t>
            </w:r>
          </w:p>
        </w:tc>
        <w:tc>
          <w:tcPr>
            <w:tcW w:w="1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2.0</w:t>
            </w:r>
          </w:p>
        </w:tc>
        <w:tc>
          <w:tcPr>
            <w:tcW w:w="16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1–2 (Aware/Reactive)</w:t>
            </w:r>
          </w:p>
        </w:tc>
        <w:tc>
          <w:tcPr>
            <w:tcW w:w="47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CDAMM’s Metrics dimension scores lower because it evaluates measurement discipline, not just analytics capability.</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Operations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2.0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N/A (within Infra.)</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CDAMM embeds operations in Infrastructure. Same gap: no data-specific ops.</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Monetization</w:t>
            </w:r>
          </w:p>
        </w:tc>
        <w:tc>
          <w:tcPr>
            <w:tcW w:w="12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N/A</w:t>
            </w:r>
          </w:p>
        </w:tc>
        <w:tc>
          <w:tcPr>
            <w:tcW w:w="160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2 (Reactive)</w:t>
            </w:r>
          </w:p>
        </w:tc>
        <w:tc>
          <w:tcPr>
            <w:tcW w:w="4760" w:type="dxa"/>
            <w:tcBorders>
              <w:top w:val="single" w:sz="1" w:space="0" w:color="BBBBBB"/>
              <w:left w:val="single" w:sz="1" w:space="0" w:color="BBBBBB"/>
              <w:bottom w:val="single" w:sz="1" w:space="0" w:color="BBBBBB"/>
              <w:right w:val="single" w:sz="1" w:space="0" w:color="BBBBBB"/>
            </w:tcBorders>
            <w:shd w:val="clear" w:color="auto" w:fill="EBF1F8"/>
            <w:tcMar>
              <w:top w:w="60" w:type="dxa"/>
              <w:left w:w="100" w:type="dxa"/>
              <w:bottom w:w="60" w:type="dxa"/>
              <w:right w:w="100" w:type="dxa"/>
            </w:tcMar>
          </w:tcPr>
          <w:p w:rsidR="00881792" w:rsidRDefault="00000000">
            <w:pPr>
              <w:spacing w:line="276" w:lineRule="auto"/>
            </w:pPr>
            <w:r>
              <w:rPr>
                <w:color w:val="333333"/>
                <w:sz w:val="20"/>
                <w:szCs w:val="20"/>
              </w:rPr>
              <w:t>CDAMM’s unique dimension. Reveals the external-vs-internal asymmetry that DCAM does not evaluate.</w:t>
            </w:r>
          </w:p>
        </w:tc>
      </w:tr>
      <w:tr w:rsidR="00881792">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Valuation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N/A</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0–1 (Unaware/Aware)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rsidR="00881792" w:rsidRDefault="00000000">
            <w:pPr>
              <w:spacing w:line="276" w:lineRule="auto"/>
            </w:pPr>
            <w:r>
              <w:rPr>
                <w:color w:val="333333"/>
                <w:sz w:val="20"/>
                <w:szCs w:val="20"/>
              </w:rPr>
              <w:t xml:space="preserve">CDAMM’s </w:t>
            </w:r>
            <w:proofErr w:type="spellStart"/>
            <w:r>
              <w:rPr>
                <w:color w:val="333333"/>
                <w:sz w:val="20"/>
                <w:szCs w:val="20"/>
              </w:rPr>
              <w:t>Infonomics</w:t>
            </w:r>
            <w:proofErr w:type="spellEnd"/>
            <w:r>
              <w:rPr>
                <w:color w:val="333333"/>
                <w:sz w:val="20"/>
                <w:szCs w:val="20"/>
              </w:rPr>
              <w:t xml:space="preserve"> lens. No information asset valuation exists. DCAM does not ask this question.</w:t>
            </w:r>
          </w:p>
        </w:tc>
      </w:tr>
    </w:tbl>
    <w:p w:rsidR="00881792" w:rsidRDefault="00881792">
      <w:pPr>
        <w:spacing w:before="200"/>
      </w:pPr>
    </w:p>
    <w:p w:rsidR="00881792" w:rsidRDefault="00000000">
      <w:pPr>
        <w:spacing w:after="200" w:line="276" w:lineRule="auto"/>
      </w:pPr>
      <w:r>
        <w:rPr>
          <w:color w:val="333333"/>
        </w:rPr>
        <w:t xml:space="preserve">The two frameworks converge on the same core finding — policy strength without tooling, stewardship ambiguity, and a services-vs-internal gap — but CDAMM’s </w:t>
      </w:r>
      <w:proofErr w:type="spellStart"/>
      <w:r>
        <w:rPr>
          <w:color w:val="333333"/>
        </w:rPr>
        <w:t>Infonomics</w:t>
      </w:r>
      <w:proofErr w:type="spellEnd"/>
      <w:r>
        <w:rPr>
          <w:color w:val="333333"/>
        </w:rPr>
        <w:t xml:space="preserve"> lens exposes a deeper strategic question that DCAM does not ask: does this organization treat its own data as an economic asset? The answer, today, is no.</w:t>
      </w:r>
    </w:p>
    <w:p w:rsidR="00881792" w:rsidRDefault="00000000">
      <w:pPr>
        <w:pStyle w:val="Heading1"/>
      </w:pPr>
      <w:r>
        <w:t>Sources</w:t>
      </w:r>
    </w:p>
    <w:p w:rsidR="00881792" w:rsidRDefault="00000000">
      <w:pPr>
        <w:pStyle w:val="ListParagraph"/>
        <w:numPr>
          <w:ilvl w:val="0"/>
          <w:numId w:val="2"/>
        </w:numPr>
        <w:spacing w:after="80"/>
      </w:pPr>
      <w:r>
        <w:rPr>
          <w:color w:val="333333"/>
        </w:rPr>
        <w:t>Gartner EIM Maturity Model (GitHub)</w:t>
      </w:r>
    </w:p>
    <w:p w:rsidR="00881792" w:rsidRDefault="00000000">
      <w:pPr>
        <w:pStyle w:val="ListParagraph"/>
        <w:numPr>
          <w:ilvl w:val="0"/>
          <w:numId w:val="2"/>
        </w:numPr>
        <w:spacing w:after="80"/>
      </w:pPr>
      <w:r>
        <w:rPr>
          <w:color w:val="333333"/>
        </w:rPr>
        <w:t xml:space="preserve">Doug Laney Interview — </w:t>
      </w:r>
      <w:proofErr w:type="spellStart"/>
      <w:r>
        <w:rPr>
          <w:color w:val="333333"/>
        </w:rPr>
        <w:t>KDnuggets</w:t>
      </w:r>
      <w:proofErr w:type="spellEnd"/>
    </w:p>
    <w:p w:rsidR="00881792" w:rsidRDefault="00000000">
      <w:pPr>
        <w:pStyle w:val="ListParagraph"/>
        <w:numPr>
          <w:ilvl w:val="0"/>
          <w:numId w:val="2"/>
        </w:numPr>
        <w:spacing w:after="80"/>
      </w:pPr>
      <w:r>
        <w:rPr>
          <w:color w:val="333333"/>
        </w:rPr>
        <w:t>12 Characteristics of a Mature D&amp;A Maturity Model — Caserta</w:t>
      </w:r>
    </w:p>
    <w:p w:rsidR="00881792" w:rsidRDefault="00000000">
      <w:pPr>
        <w:pStyle w:val="ListParagraph"/>
        <w:numPr>
          <w:ilvl w:val="0"/>
          <w:numId w:val="2"/>
        </w:numPr>
        <w:spacing w:after="80"/>
      </w:pPr>
      <w:r>
        <w:rPr>
          <w:color w:val="333333"/>
        </w:rPr>
        <w:t xml:space="preserve">Doug Laney — </w:t>
      </w:r>
      <w:proofErr w:type="spellStart"/>
      <w:r>
        <w:rPr>
          <w:color w:val="333333"/>
        </w:rPr>
        <w:t>Infonomics</w:t>
      </w:r>
      <w:proofErr w:type="spellEnd"/>
      <w:r>
        <w:rPr>
          <w:color w:val="333333"/>
        </w:rPr>
        <w:t xml:space="preserve"> (O’Reilly)</w:t>
      </w:r>
    </w:p>
    <w:p w:rsidR="00881792" w:rsidRDefault="00000000">
      <w:pPr>
        <w:pStyle w:val="ListParagraph"/>
        <w:numPr>
          <w:ilvl w:val="0"/>
          <w:numId w:val="2"/>
        </w:numPr>
        <w:spacing w:after="80"/>
      </w:pPr>
      <w:r>
        <w:rPr>
          <w:color w:val="333333"/>
        </w:rPr>
        <w:lastRenderedPageBreak/>
        <w:t>McKinsey Acquires Caserta</w:t>
      </w:r>
    </w:p>
    <w:sectPr w:rsidR="0088179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5D9C" w:rsidRDefault="00065D9C">
      <w:r>
        <w:separator/>
      </w:r>
    </w:p>
  </w:endnote>
  <w:endnote w:type="continuationSeparator" w:id="0">
    <w:p w:rsidR="00065D9C" w:rsidRDefault="00065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792" w:rsidRDefault="00000000">
    <w:pPr>
      <w:pBdr>
        <w:top w:val="single" w:sz="4" w:space="4" w:color="2E75B6"/>
      </w:pBdr>
      <w:jc w:val="center"/>
    </w:pPr>
    <w:r>
      <w:rPr>
        <w:color w:val="666666"/>
        <w:sz w:val="18"/>
        <w:szCs w:val="18"/>
      </w:rPr>
      <w:t xml:space="preserve">Confidential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422F8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5D9C" w:rsidRDefault="00065D9C">
      <w:r>
        <w:separator/>
      </w:r>
    </w:p>
  </w:footnote>
  <w:footnote w:type="continuationSeparator" w:id="0">
    <w:p w:rsidR="00065D9C" w:rsidRDefault="00065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1792" w:rsidRDefault="00000000">
    <w:pPr>
      <w:pBdr>
        <w:bottom w:val="single" w:sz="4" w:space="4" w:color="2E75B6"/>
      </w:pBdr>
      <w:jc w:val="right"/>
    </w:pPr>
    <w:r>
      <w:rPr>
        <w:i/>
        <w:iCs/>
        <w:color w:val="666666"/>
        <w:sz w:val="18"/>
        <w:szCs w:val="18"/>
      </w:rPr>
      <w:t>CDAMM Assessment — Rackspace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D7CE2"/>
    <w:multiLevelType w:val="hybridMultilevel"/>
    <w:tmpl w:val="95A20524"/>
    <w:lvl w:ilvl="0" w:tplc="93C47162">
      <w:start w:val="1"/>
      <w:numFmt w:val="bullet"/>
      <w:lvlText w:val="•"/>
      <w:lvlJc w:val="left"/>
      <w:pPr>
        <w:ind w:left="720" w:hanging="360"/>
      </w:pPr>
    </w:lvl>
    <w:lvl w:ilvl="1" w:tplc="2B26E070">
      <w:numFmt w:val="decimal"/>
      <w:lvlText w:val=""/>
      <w:lvlJc w:val="left"/>
    </w:lvl>
    <w:lvl w:ilvl="2" w:tplc="AE00CFCC">
      <w:numFmt w:val="decimal"/>
      <w:lvlText w:val=""/>
      <w:lvlJc w:val="left"/>
    </w:lvl>
    <w:lvl w:ilvl="3" w:tplc="483A3202">
      <w:numFmt w:val="decimal"/>
      <w:lvlText w:val=""/>
      <w:lvlJc w:val="left"/>
    </w:lvl>
    <w:lvl w:ilvl="4" w:tplc="DA44EF4C">
      <w:numFmt w:val="decimal"/>
      <w:lvlText w:val=""/>
      <w:lvlJc w:val="left"/>
    </w:lvl>
    <w:lvl w:ilvl="5" w:tplc="EB8ACAB2">
      <w:numFmt w:val="decimal"/>
      <w:lvlText w:val=""/>
      <w:lvlJc w:val="left"/>
    </w:lvl>
    <w:lvl w:ilvl="6" w:tplc="CB9EF2CC">
      <w:numFmt w:val="decimal"/>
      <w:lvlText w:val=""/>
      <w:lvlJc w:val="left"/>
    </w:lvl>
    <w:lvl w:ilvl="7" w:tplc="1DB654FA">
      <w:numFmt w:val="decimal"/>
      <w:lvlText w:val=""/>
      <w:lvlJc w:val="left"/>
    </w:lvl>
    <w:lvl w:ilvl="8" w:tplc="73EC8E30">
      <w:numFmt w:val="decimal"/>
      <w:lvlText w:val=""/>
      <w:lvlJc w:val="left"/>
    </w:lvl>
  </w:abstractNum>
  <w:abstractNum w:abstractNumId="1" w15:restartNumberingAfterBreak="0">
    <w:nsid w:val="3B183F57"/>
    <w:multiLevelType w:val="hybridMultilevel"/>
    <w:tmpl w:val="4FBA1DC0"/>
    <w:lvl w:ilvl="0" w:tplc="C76648E0">
      <w:start w:val="1"/>
      <w:numFmt w:val="bullet"/>
      <w:lvlText w:val="●"/>
      <w:lvlJc w:val="left"/>
      <w:pPr>
        <w:ind w:left="720" w:hanging="360"/>
      </w:pPr>
    </w:lvl>
    <w:lvl w:ilvl="1" w:tplc="149E4E7E">
      <w:start w:val="1"/>
      <w:numFmt w:val="bullet"/>
      <w:lvlText w:val="○"/>
      <w:lvlJc w:val="left"/>
      <w:pPr>
        <w:ind w:left="1440" w:hanging="360"/>
      </w:pPr>
    </w:lvl>
    <w:lvl w:ilvl="2" w:tplc="AF62B7BA">
      <w:start w:val="1"/>
      <w:numFmt w:val="bullet"/>
      <w:lvlText w:val="■"/>
      <w:lvlJc w:val="left"/>
      <w:pPr>
        <w:ind w:left="2160" w:hanging="360"/>
      </w:pPr>
    </w:lvl>
    <w:lvl w:ilvl="3" w:tplc="DB6A03D6">
      <w:start w:val="1"/>
      <w:numFmt w:val="bullet"/>
      <w:lvlText w:val="●"/>
      <w:lvlJc w:val="left"/>
      <w:pPr>
        <w:ind w:left="2880" w:hanging="360"/>
      </w:pPr>
    </w:lvl>
    <w:lvl w:ilvl="4" w:tplc="A706265C">
      <w:start w:val="1"/>
      <w:numFmt w:val="bullet"/>
      <w:lvlText w:val="○"/>
      <w:lvlJc w:val="left"/>
      <w:pPr>
        <w:ind w:left="3600" w:hanging="360"/>
      </w:pPr>
    </w:lvl>
    <w:lvl w:ilvl="5" w:tplc="0750DDF8">
      <w:start w:val="1"/>
      <w:numFmt w:val="bullet"/>
      <w:lvlText w:val="■"/>
      <w:lvlJc w:val="left"/>
      <w:pPr>
        <w:ind w:left="4320" w:hanging="360"/>
      </w:pPr>
    </w:lvl>
    <w:lvl w:ilvl="6" w:tplc="35F6AE2A">
      <w:start w:val="1"/>
      <w:numFmt w:val="bullet"/>
      <w:lvlText w:val="●"/>
      <w:lvlJc w:val="left"/>
      <w:pPr>
        <w:ind w:left="5040" w:hanging="360"/>
      </w:pPr>
    </w:lvl>
    <w:lvl w:ilvl="7" w:tplc="29645C1E">
      <w:start w:val="1"/>
      <w:numFmt w:val="bullet"/>
      <w:lvlText w:val="●"/>
      <w:lvlJc w:val="left"/>
      <w:pPr>
        <w:ind w:left="5760" w:hanging="360"/>
      </w:pPr>
    </w:lvl>
    <w:lvl w:ilvl="8" w:tplc="72B4C586">
      <w:start w:val="1"/>
      <w:numFmt w:val="bullet"/>
      <w:lvlText w:val="●"/>
      <w:lvlJc w:val="left"/>
      <w:pPr>
        <w:ind w:left="6480" w:hanging="360"/>
      </w:pPr>
    </w:lvl>
  </w:abstractNum>
  <w:num w:numId="1" w16cid:durableId="412749694">
    <w:abstractNumId w:val="1"/>
    <w:lvlOverride w:ilvl="0">
      <w:startOverride w:val="1"/>
    </w:lvlOverride>
  </w:num>
  <w:num w:numId="2" w16cid:durableId="1392774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792"/>
    <w:rsid w:val="00065D9C"/>
    <w:rsid w:val="00422F8D"/>
    <w:rsid w:val="00881792"/>
    <w:rsid w:val="0090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A828EF4-5B5F-864F-9819-9690D64F2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300" w:after="160"/>
      <w:outlineLvl w:val="1"/>
    </w:pPr>
    <w:rPr>
      <w:b/>
      <w:bCs/>
      <w:color w:val="1B3A5C"/>
      <w:sz w:val="28"/>
      <w:szCs w:val="28"/>
    </w:rPr>
  </w:style>
  <w:style w:type="paragraph" w:styleId="Heading3">
    <w:name w:val="heading 3"/>
    <w:uiPriority w:val="9"/>
    <w:unhideWhenUsed/>
    <w:qFormat/>
    <w:pPr>
      <w:spacing w:before="24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4990</Words>
  <Characters>28446</Characters>
  <Application>Microsoft Office Word</Application>
  <DocSecurity>0</DocSecurity>
  <Lines>237</Lines>
  <Paragraphs>66</Paragraphs>
  <ScaleCrop>false</ScaleCrop>
  <Company/>
  <LinksUpToDate>false</LinksUpToDate>
  <CharactersWithSpaces>33370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Jones</cp:lastModifiedBy>
  <cp:revision>2</cp:revision>
  <dcterms:created xsi:type="dcterms:W3CDTF">2026-03-05T17:09:00Z</dcterms:created>
  <dcterms:modified xsi:type="dcterms:W3CDTF">2026-03-05T17:09:00Z</dcterms:modified>
</cp:coreProperties>
</file>