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52"/>
          <w:szCs w:val="52"/>
        </w:rPr>
        <w:t xml:space="preserve">DCAM Version 2 Deep-Dive</w:t>
      </w:r>
    </w:p>
    <w:p>
      <w:pPr>
        <w:spacing w:before="200"/>
        <w:jc w:val="center"/>
      </w:pPr>
      <w:r>
        <w:rPr>
          <w:rFonts w:ascii="Arial" w:cs="Arial" w:eastAsia="Arial" w:hAnsi="Arial"/>
          <w:color w:val="2E75B6"/>
          <w:sz w:val="40"/>
          <w:szCs w:val="40"/>
        </w:rPr>
        <w:t xml:space="preserve">Capability 2</w:t>
      </w:r>
    </w:p>
    <w:p>
      <w:pPr>
        <w:pBdr>
          <w:bottom w:val="single" w:color="2E75B6" w:sz="8" w:space="8"/>
        </w:pBdr>
        <w:spacing w:after="400" w:before="120"/>
        <w:jc w:val="center"/>
      </w:pPr>
      <w:r>
        <w:rPr>
          <w:rFonts w:ascii="Arial" w:cs="Arial" w:eastAsia="Arial" w:hAnsi="Arial"/>
          <w:b/>
          <w:bCs/>
          <w:color w:val="1B3A5C"/>
          <w:sz w:val="36"/>
          <w:szCs w:val="36"/>
        </w:rPr>
        <w:t xml:space="preserve">Data Governance</w:t>
      </w:r>
    </w:p>
    <w:p>
      <w:pPr>
        <w:spacing w:before="600"/>
        <w:jc w:val="center"/>
      </w:pPr>
      <w:r>
        <w:rPr>
          <w:rFonts w:ascii="Arial" w:cs="Arial" w:eastAsia="Arial" w:hAnsi="Arial"/>
          <w:color w:val="333333"/>
          <w:sz w:val="28"/>
          <w:szCs w:val="28"/>
        </w:rPr>
        <w:t xml:space="preserve">Rackspace Technology, Inc.</w:t>
      </w:r>
    </w:p>
    <w:p>
      <w:pPr>
        <w:jc w:val="center"/>
      </w:pPr>
      <w:r>
        <w:rPr>
          <w:rFonts w:ascii="Arial" w:cs="Arial" w:eastAsia="Arial" w:hAnsi="Arial"/>
          <w:color w:val="666666"/>
          <w:sz w:val="24"/>
          <w:szCs w:val="24"/>
        </w:rPr>
        <w:t xml:space="preserve">Assessment Date: March 2026</w:t>
      </w:r>
    </w:p>
    <w:p>
      <w:pPr>
        <w:jc w:val="center"/>
      </w:pPr>
      <w:r>
        <w:rPr>
          <w:rFonts w:ascii="Arial" w:cs="Arial" w:eastAsia="Arial" w:hAnsi="Arial"/>
          <w:color w:val="666666"/>
          <w:sz w:val="20"/>
          <w:szCs w:val="20"/>
        </w:rPr>
        <w:t xml:space="preserve">Source: Enterprise Knowledge Graph (3,060 entities | 7,614 relationships)</w:t>
      </w:r>
    </w:p>
    <w:p>
      <w:pPr>
        <w:spacing w:before="400"/>
        <w:jc w:val="center"/>
      </w:pPr>
      <w:r>
        <w:rPr>
          <w:rFonts w:ascii="Arial" w:cs="Arial" w:eastAsia="Arial" w:hAnsi="Arial"/>
          <w:b/>
          <w:bCs/>
          <w:color w:val="2E75B6"/>
          <w:sz w:val="28"/>
          <w:szCs w:val="28"/>
        </w:rPr>
        <w:t xml:space="preserve">Overall Capability Score: 3 — Defined</w:t>
      </w:r>
    </w:p>
    <w:p>
      <w:pPr>
        <w:spacing w:before="200"/>
        <w:jc w:val="center"/>
      </w:pPr>
      <w:r>
        <w:rPr>
          <w:rFonts w:ascii="Arial" w:cs="Arial" w:eastAsia="Arial" w:hAnsi="Arial"/>
          <w:b/>
          <w:bCs/>
          <w:color w:val="C0392B"/>
          <w:sz w:val="20"/>
          <w:szCs w:val="20"/>
        </w:rPr>
        <w:t xml:space="preserve">Classification: Confidential</w:t>
      </w:r>
    </w:p>
    <w:p>
      <w:r>
        <w:br w:type="page"/>
      </w:r>
    </w:p>
    <w:p>
      <w:pPr>
        <w:pStyle w:val="Heading1"/>
        <w:spacing w:after="200" w:before="300"/>
      </w:pPr>
      <w:r>
        <w:rPr>
          <w:rFonts w:ascii="Arial" w:cs="Arial" w:eastAsia="Arial" w:hAnsi="Arial"/>
        </w:rPr>
        <w:t xml:space="preserve">1. Executive Context</w:t>
      </w:r>
    </w:p>
    <w:p>
      <w:pPr>
        <w:spacing w:after="160" w:line="300"/>
      </w:pPr>
      <w:r>
        <w:rPr>
          <w:rFonts w:ascii="Arial" w:cs="Arial" w:eastAsia="Arial" w:hAnsi="Arial"/>
          <w:b w:val="false"/>
          <w:bCs w:val="false"/>
          <w:i w:val="false"/>
          <w:iCs w:val="false"/>
          <w:color w:val="333333"/>
          <w:sz w:val="22"/>
          <w:szCs w:val="22"/>
        </w:rPr>
        <w:t xml:space="preserve">This deep-dive examines the second of eight DCAM v2 capabilities assessed for Rackspace Technology: Data Governance. At a composite score of 3 (Defined), this capability represents the organizational backbone that translates data management strategy into operational reality. The score indicates that Rackspace has established a meaningful policy framework and regulatory compliance posture, but the governance operating model itself remains structurally incomplete, with critical gaps in cross-functional stewardship, domain ownership accountability, and the absence of a dedicated Data Governance Council.</w:t>
      </w:r>
    </w:p>
    <w:p>
      <w:pPr>
        <w:spacing w:after="160" w:line="300"/>
      </w:pPr>
      <w:r>
        <w:rPr>
          <w:rFonts w:ascii="Arial" w:cs="Arial" w:eastAsia="Arial" w:hAnsi="Arial"/>
          <w:b w:val="false"/>
          <w:bCs w:val="false"/>
          <w:i w:val="false"/>
          <w:iCs w:val="false"/>
          <w:color w:val="333333"/>
          <w:sz w:val="22"/>
          <w:szCs w:val="22"/>
        </w:rPr>
        <w:t xml:space="preserve">The paradox at the center of this capability is revealing. Rackspace has built a sophisticated data governance services practice within FAIR (dept-070: Data Strategy &amp; Governance Department, $780K budget, 5 headcount) that advises customers on governance frameworks. Yet the enterprise itself lacks several foundational governance structures that its own consultants would recommend to clients. This is the services-facing versus internal-facing disconnect identified in Capability 1, now manifesting as a governance architecture that is stronger on paper than in practice.</w:t>
      </w:r>
    </w:p>
    <w:p>
      <w:pPr>
        <w:spacing w:after="160" w:line="300"/>
      </w:pPr>
      <w:r>
        <w:rPr>
          <w:rFonts w:ascii="Arial" w:cs="Arial" w:eastAsia="Arial" w:hAnsi="Arial"/>
          <w:b w:val="false"/>
          <w:bCs w:val="false"/>
          <w:i w:val="false"/>
          <w:iCs w:val="false"/>
          <w:color w:val="333333"/>
          <w:sz w:val="22"/>
          <w:szCs w:val="22"/>
        </w:rPr>
        <w:t xml:space="preserve">The assessment draws from a knowledge graph containing 3,060 entities and 7,614 relationships, with particular focus on 123 policies, 351 controls, 90 data domains, 70 regulations, and the critical relationship patterns that reveal governance effectiveness: 385 managed_by relationships (average confidence 0.77, the lowest of any major relationship type), 386 enforces relationships (confidence 0.91), 601 applies_to relationships (confidence 0.78), and 1,117 subject_to relationships (confidence 0.91).</w:t>
      </w:r>
    </w:p>
    <w:p>
      <w:pPr>
        <w:pStyle w:val="Heading3"/>
        <w:spacing w:after="200" w:before="300"/>
      </w:pPr>
      <w:r>
        <w:rPr>
          <w:rFonts w:ascii="Arial" w:cs="Arial" w:eastAsia="Arial" w:hAnsi="Arial"/>
        </w:rPr>
        <w:t xml:space="preserve">Maturity Positioning</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DCAM v2 MATURITY SCALE — CAPABILITY 2 POSITION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1-Initial    2-Developing    3-Defined    4-Managed    5-Optimized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            │           [CURRENT]        │            │           │</w:t>
      </w:r>
    </w:p>
    <w:p>
      <w:pPr>
        <w:spacing w:after="0" w:line="240"/>
      </w:pPr>
      <w:r>
        <w:rPr>
          <w:rFonts w:ascii="Courier New" w:cs="Courier New" w:eastAsia="Courier New" w:hAnsi="Courier New"/>
          <w:color w:val="1B3A5C"/>
          <w:sz w:val="16"/>
          <w:szCs w:val="16"/>
        </w:rPr>
        <w:t xml:space="preserve">│   │            │            Score: 3        │            │           │</w:t>
      </w:r>
    </w:p>
    <w:p>
      <w:pPr>
        <w:spacing w:after="0" w:line="240"/>
      </w:pPr>
      <w:r>
        <w:rPr>
          <w:rFonts w:ascii="Courier New" w:cs="Courier New" w:eastAsia="Courier New" w:hAnsi="Courier New"/>
          <w:color w:val="1B3A5C"/>
          <w:sz w:val="16"/>
          <w:szCs w:val="16"/>
        </w:rPr>
        <w:t xml:space="preserve">│   │            │               ◄─TARGET─►        │            │           │</w:t>
      </w:r>
    </w:p>
    <w:p>
      <w:pPr>
        <w:spacing w:after="0" w:line="240"/>
      </w:pPr>
      <w:r>
        <w:rPr>
          <w:rFonts w:ascii="Courier New" w:cs="Courier New" w:eastAsia="Courier New" w:hAnsi="Courier New"/>
          <w:color w:val="1B3A5C"/>
          <w:sz w:val="16"/>
          <w:szCs w:val="16"/>
        </w:rPr>
        <w:t xml:space="preserve">│   │            │              12-18 mo.      │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1"/>
        <w:spacing w:after="200" w:before="300"/>
      </w:pPr>
      <w:r>
        <w:rPr>
          <w:rFonts w:ascii="Arial" w:cs="Arial" w:eastAsia="Arial" w:hAnsi="Arial"/>
        </w:rPr>
        <w:t xml:space="preserve">2. Sub-Capability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600"/>
        <w:gridCol w:w="23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Sub-Capability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Trend Indicator</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2.1 Governance Operating Model</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Defined</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Structural gaps persist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2.2 Data Stewardship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No formal steward network</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2.3 Data Policy Framework</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Managed</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Strong policy inventory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2.4 Regulatory &amp; Compliance Mapping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Managed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Comprehensive coverage</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2.5 Data Domain Definition &amp; Ownership</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Defined</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Ownership confidence low</w:t>
            </w:r>
          </w:p>
        </w:tc>
      </w:tr>
    </w:tbl>
    <w:p>
      <w:pPr>
        <w:spacing w:after="160" w:line="300"/>
      </w:pPr>
      <w:r>
        <w:rPr>
          <w:rFonts w:ascii="Arial" w:cs="Arial" w:eastAsia="Arial" w:hAnsi="Arial"/>
          <w:b w:val="false"/>
          <w:bCs w:val="false"/>
          <w:i w:val="false"/>
          <w:iCs w:val="false"/>
          <w:color w:val="333333"/>
          <w:sz w:val="22"/>
          <w:szCs w:val="22"/>
        </w:rPr>
        <w:t xml:space="preserve">The sub-capability scores reveal a governance capability with pronounced internal variance. The policy framework (2.3, score 4) and regulatory mapping (2.4, score 4) represent areas of genuine strength, reflecting Rackspace's compliance-driven maturity across its multi-regulatory operating environment. However, the stewardship sub-capability (2.2, score 2) exposes the human capital gap that prevents policies from being operationalized consistently. This variance pattern is diagnostic: organizations that build policy before building the people and operating model to enforce it often discover that their governance is more aspirational than operational.</w:t>
      </w:r>
    </w:p>
    <w:p>
      <w:r>
        <w:br w:type="page"/>
      </w:r>
    </w:p>
    <w:p>
      <w:pPr>
        <w:pStyle w:val="Heading1"/>
        <w:spacing w:after="200" w:before="300"/>
      </w:pPr>
      <w:r>
        <w:rPr>
          <w:rFonts w:ascii="Arial" w:cs="Arial" w:eastAsia="Arial" w:hAnsi="Arial"/>
        </w:rPr>
        <w:t xml:space="preserve">3. Sub-Capability 2.1: Governance Operating Model</w:t>
      </w:r>
    </w:p>
    <w:p>
      <w:pPr>
        <w:pStyle w:val="Heading3"/>
        <w:spacing w:after="200" w:before="300"/>
      </w:pPr>
      <w:r>
        <w:rPr>
          <w:rFonts w:ascii="Arial" w:cs="Arial" w:eastAsia="Arial" w:hAnsi="Arial"/>
        </w:rPr>
        <w:t xml:space="preserve">Score: 3 (Defined)</w:t>
      </w:r>
    </w:p>
    <w:p>
      <w:pPr>
        <w:spacing w:after="160" w:line="300"/>
      </w:pPr>
      <w:r>
        <w:rPr>
          <w:rFonts w:ascii="Arial" w:cs="Arial" w:eastAsia="Arial" w:hAnsi="Arial"/>
          <w:b w:val="false"/>
          <w:bCs w:val="false"/>
          <w:i w:val="false"/>
          <w:iCs w:val="false"/>
          <w:color w:val="333333"/>
          <w:sz w:val="22"/>
          <w:szCs w:val="22"/>
        </w:rPr>
        <w:t xml:space="preserve">The Governance Operating Model sub-capability assesses whether Rackspace has established the organizational structures, decision rights, escalation paths, and accountability mechanisms necessary to govern data as an enterprise asset. At a score of 3, the organization has defined roles and responsibilities in policy but has not yet implemented the cross-functional governance body that would give those definitions operational authority.</w:t>
      </w:r>
    </w:p>
    <w:p>
      <w:pPr>
        <w:pStyle w:val="Heading2"/>
        <w:spacing w:after="200" w:before="300"/>
      </w:pPr>
      <w:r>
        <w:rPr>
          <w:rFonts w:ascii="Arial" w:cs="Arial" w:eastAsia="Arial" w:hAnsi="Arial"/>
        </w:rPr>
        <w:t xml:space="preserve">The Missing Governance Layer</w:t>
      </w:r>
    </w:p>
    <w:p>
      <w:pPr>
        <w:spacing w:after="160" w:line="300"/>
      </w:pPr>
      <w:r>
        <w:rPr>
          <w:rFonts w:ascii="Arial" w:cs="Arial" w:eastAsia="Arial" w:hAnsi="Arial"/>
          <w:b w:val="false"/>
          <w:bCs w:val="false"/>
          <w:i w:val="false"/>
          <w:iCs w:val="false"/>
          <w:color w:val="333333"/>
          <w:sz w:val="22"/>
          <w:szCs w:val="22"/>
        </w:rPr>
        <w:t xml:space="preserve">The knowledge graph reveals a critical architectural absence: there is no Data Governance Council, Data Governance Committee, or equivalent cross-functional governance body anywhere in the 3,060-entity knowledge graph. The entity ROLE-OM-003 (Operating Committee Chair / Cross-Functional Governance) is explicitly flagged as 'Missing' with an operating_model_gap of 'Critical - Governance layer void.' All cross-functional conflicts escalate directly to CEO Srini Koushik, who functions as an ad hoc operating committee chair. There is no standing mechanism for data governance dispute resolution below the executive level.</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GOVERNANCE OPERATING MODEL — CURRENT STATE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CEO (Koushik)  │                              │</w:t>
      </w:r>
    </w:p>
    <w:p>
      <w:pPr>
        <w:spacing w:after="0" w:line="240"/>
      </w:pPr>
      <w:r>
        <w:rPr>
          <w:rFonts w:ascii="Courier New" w:cs="Courier New" w:eastAsia="Courier New" w:hAnsi="Courier New"/>
          <w:color w:val="1B3A5C"/>
          <w:sz w:val="16"/>
          <w:szCs w:val="16"/>
        </w:rPr>
        <w:t xml:space="preserve">│                  │  Ad Hoc Arbiter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[MISSING LAYER]         │                          │</w:t>
      </w:r>
    </w:p>
    <w:p>
      <w:pPr>
        <w:spacing w:after="0" w:line="240"/>
      </w:pPr>
      <w:r>
        <w:rPr>
          <w:rFonts w:ascii="Courier New" w:cs="Courier New" w:eastAsia="Courier New" w:hAnsi="Courier New"/>
          <w:color w:val="1B3A5C"/>
          <w:sz w:val="16"/>
          <w:szCs w:val="16"/>
        </w:rPr>
        <w:t xml:space="preserve">│           │   Data Governance Council  │                          │</w:t>
      </w:r>
    </w:p>
    <w:p>
      <w:pPr>
        <w:spacing w:after="0" w:line="240"/>
      </w:pPr>
      <w:r>
        <w:rPr>
          <w:rFonts w:ascii="Courier New" w:cs="Courier New" w:eastAsia="Courier New" w:hAnsi="Courier New"/>
          <w:color w:val="1B3A5C"/>
          <w:sz w:val="16"/>
          <w:szCs w:val="16"/>
        </w:rPr>
        <w:t xml:space="preserve">│           │   Cross-Functional Forum   │                          │</w:t>
      </w:r>
    </w:p>
    <w:p>
      <w:pPr>
        <w:spacing w:after="0" w:line="240"/>
      </w:pPr>
      <w:r>
        <w:rPr>
          <w:rFonts w:ascii="Courier New" w:cs="Courier New" w:eastAsia="Courier New" w:hAnsi="Courier New"/>
          <w:color w:val="1B3A5C"/>
          <w:sz w:val="16"/>
          <w:szCs w:val="16"/>
        </w:rPr>
        <w:t xml:space="preserve">│           │   Dispute Resolution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              │                      │</w:t>
      </w:r>
    </w:p>
    <w:p>
      <w:pPr>
        <w:spacing w:after="0" w:line="240"/>
      </w:pPr>
      <w:r>
        <w:rPr>
          <w:rFonts w:ascii="Courier New" w:cs="Courier New" w:eastAsia="Courier New" w:hAnsi="Courier New"/>
          <w:color w:val="1B3A5C"/>
          <w:sz w:val="16"/>
          <w:szCs w:val="16"/>
        </w:rPr>
        <w:t xml:space="preserve">│   ┌────┴────┐  ┌────┴────┐  ┌────┴────┐              │</w:t>
      </w:r>
    </w:p>
    <w:p>
      <w:pPr>
        <w:spacing w:after="0" w:line="240"/>
      </w:pPr>
      <w:r>
        <w:rPr>
          <w:rFonts w:ascii="Courier New" w:cs="Courier New" w:eastAsia="Courier New" w:hAnsi="Courier New"/>
          <w:color w:val="1B3A5C"/>
          <w:sz w:val="16"/>
          <w:szCs w:val="16"/>
        </w:rPr>
        <w:t xml:space="preserve">│   │ BU Heads  │  │ IT/Engg  │  │ Security │              │</w:t>
      </w:r>
    </w:p>
    <w:p>
      <w:pPr>
        <w:spacing w:after="0" w:line="240"/>
      </w:pPr>
      <w:r>
        <w:rPr>
          <w:rFonts w:ascii="Courier New" w:cs="Courier New" w:eastAsia="Courier New" w:hAnsi="Courier New"/>
          <w:color w:val="1B3A5C"/>
          <w:sz w:val="16"/>
          <w:szCs w:val="16"/>
        </w:rPr>
        <w:t xml:space="preserve">│   │ (Siloed)  │  │ (Siloed) │  │ (Siloed) │              │</w:t>
      </w:r>
    </w:p>
    <w:p>
      <w:pPr>
        <w:spacing w:after="0" w:line="240"/>
      </w:pPr>
      <w:r>
        <w:rPr>
          <w:rFonts w:ascii="Courier New" w:cs="Courier New" w:eastAsia="Courier New" w:hAnsi="Courier New"/>
          <w:color w:val="1B3A5C"/>
          <w:sz w:val="16"/>
          <w:szCs w:val="16"/>
        </w:rPr>
        <w:t xml:space="preserve">│   └──────────┘  └─────────┘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dept-070: Data Strategy &amp; Governance Dept ($780K, 5 HC)           │</w:t>
      </w:r>
    </w:p>
    <w:p>
      <w:pPr>
        <w:spacing w:after="0" w:line="240"/>
      </w:pPr>
      <w:r>
        <w:rPr>
          <w:rFonts w:ascii="Courier New" w:cs="Courier New" w:eastAsia="Courier New" w:hAnsi="Courier New"/>
          <w:color w:val="1B3A5C"/>
          <w:sz w:val="16"/>
          <w:szCs w:val="16"/>
        </w:rPr>
        <w:t xml:space="preserve">│   role-303: Data Strategy &amp; Governance Lead (SERVICES-FACING)        │</w:t>
      </w:r>
    </w:p>
    <w:p>
      <w:pPr>
        <w:spacing w:after="0" w:line="240"/>
      </w:pPr>
      <w:r>
        <w:rPr>
          <w:rFonts w:ascii="Courier New" w:cs="Courier New" w:eastAsia="Courier New" w:hAnsi="Courier New"/>
          <w:color w:val="1B3A5C"/>
          <w:sz w:val="16"/>
          <w:szCs w:val="16"/>
        </w:rPr>
        <w:t xml:space="preserve">│   NOTE: This team advises CUSTOMERS, not the enterprise itself.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2"/>
        <w:spacing w:after="200" w:before="300"/>
      </w:pPr>
      <w:r>
        <w:rPr>
          <w:rFonts w:ascii="Arial" w:cs="Arial" w:eastAsia="Arial" w:hAnsi="Arial"/>
        </w:rPr>
        <w:t xml:space="preserve">Decision Rights and Escalation Architecture</w:t>
      </w:r>
    </w:p>
    <w:p>
      <w:pPr>
        <w:spacing w:after="160" w:line="300"/>
      </w:pPr>
      <w:r>
        <w:rPr>
          <w:rFonts w:ascii="Arial" w:cs="Arial" w:eastAsia="Arial" w:hAnsi="Arial"/>
          <w:b w:val="false"/>
          <w:bCs w:val="false"/>
          <w:i w:val="false"/>
          <w:iCs w:val="false"/>
          <w:color w:val="333333"/>
          <w:sz w:val="22"/>
          <w:szCs w:val="22"/>
        </w:rPr>
        <w:t xml:space="preserve">Without a Data Governance Council, decision rights for data-related disputes are unresolved at the organizational level. The KG entity ROLE-OM-003 documents that Business Unit Presidents lack authority to resolve peer disputes over data ownership, classification, or access. Major decisions requiring cross-functional coordination, including data sharing agreements between business units, classification disputes, and domain boundary conflicts, escalate directly to the CEO. This escalation pattern is unsustainable and indicative of a governance operating model that has not matured beyond the ad hoc stage, even though individual policy artifacts suggest a higher maturity level.</w:t>
      </w:r>
    </w:p>
    <w:p>
      <w:pPr>
        <w:pStyle w:val="ListParagraph"/>
        <w:numPr>
          <w:ilvl w:val="0"/>
          <w:numId w:val="2"/>
        </w:numPr>
        <w:spacing w:after="100" w:line="280"/>
      </w:pPr>
      <w:r>
        <w:rPr>
          <w:rFonts w:ascii="Arial" w:cs="Arial" w:eastAsia="Arial" w:hAnsi="Arial"/>
          <w:color w:val="333333"/>
          <w:sz w:val="22"/>
          <w:szCs w:val="22"/>
        </w:rPr>
        <w:t xml:space="preserve">ROLE-OM-003: Operating Committee Chair / Cross-Functional Governance flagged as 'Missing' with Critical gap status</w:t>
      </w:r>
    </w:p>
    <w:p>
      <w:pPr>
        <w:pStyle w:val="ListParagraph"/>
        <w:numPr>
          <w:ilvl w:val="0"/>
          <w:numId w:val="2"/>
        </w:numPr>
        <w:spacing w:after="100" w:line="280"/>
      </w:pPr>
      <w:r>
        <w:rPr>
          <w:rFonts w:ascii="Arial" w:cs="Arial" w:eastAsia="Arial" w:hAnsi="Arial"/>
          <w:color w:val="333333"/>
          <w:sz w:val="22"/>
          <w:szCs w:val="22"/>
        </w:rPr>
        <w:t xml:space="preserve">CEO serves as ad hoc operating committee chair for all cross-functional data conflicts</w:t>
      </w:r>
    </w:p>
    <w:p>
      <w:pPr>
        <w:pStyle w:val="ListParagraph"/>
        <w:numPr>
          <w:ilvl w:val="0"/>
          <w:numId w:val="2"/>
        </w:numPr>
        <w:spacing w:after="100" w:line="280"/>
      </w:pPr>
      <w:r>
        <w:rPr>
          <w:rFonts w:ascii="Arial" w:cs="Arial" w:eastAsia="Arial" w:hAnsi="Arial"/>
          <w:color w:val="333333"/>
          <w:sz w:val="22"/>
          <w:szCs w:val="22"/>
        </w:rPr>
        <w:t xml:space="preserve">No standing governance forum exists for conflict resolution below executive level</w:t>
      </w:r>
    </w:p>
    <w:p>
      <w:pPr>
        <w:pStyle w:val="ListParagraph"/>
        <w:numPr>
          <w:ilvl w:val="0"/>
          <w:numId w:val="2"/>
        </w:numPr>
        <w:spacing w:after="100" w:line="280"/>
      </w:pPr>
      <w:r>
        <w:rPr>
          <w:rFonts w:ascii="Arial" w:cs="Arial" w:eastAsia="Arial" w:hAnsi="Arial"/>
          <w:color w:val="333333"/>
          <w:sz w:val="22"/>
          <w:szCs w:val="22"/>
        </w:rPr>
        <w:t xml:space="preserve">dept-070 (Data Strategy &amp; Governance, $780K budget, 5 headcount) is explicitly services-facing, not enterprise-internal</w:t>
      </w:r>
    </w:p>
    <w:p>
      <w:pPr>
        <w:pStyle w:val="Heading2"/>
        <w:spacing w:after="200" w:before="300"/>
      </w:pPr>
      <w:r>
        <w:rPr>
          <w:rFonts w:ascii="Arial" w:cs="Arial" w:eastAsia="Arial" w:hAnsi="Arial"/>
        </w:rPr>
        <w:t xml:space="preserve">Control Environment</w:t>
      </w:r>
    </w:p>
    <w:p>
      <w:pPr>
        <w:spacing w:after="160" w:line="300"/>
      </w:pPr>
      <w:r>
        <w:rPr>
          <w:rFonts w:ascii="Arial" w:cs="Arial" w:eastAsia="Arial" w:hAnsi="Arial"/>
          <w:b w:val="false"/>
          <w:bCs w:val="false"/>
          <w:i w:val="false"/>
          <w:iCs w:val="false"/>
          <w:color w:val="333333"/>
          <w:sz w:val="22"/>
          <w:szCs w:val="22"/>
        </w:rPr>
        <w:t xml:space="preserve">The governance operating model is supported by CTL-328 (Data Governance Framework Controls), which covers data ownership, stewardship, quality standards, and lifecycle management. This control enforces pol-071 (Data Governance Policy) with a confidence of 0.85, and its control owner is listed as 'Data Governance.' However, the control description references a 'Data governance committee oversight' function that does not correspond to any entity in the knowledge graph, suggesting either aspirational language in the control documentation or a governance body that exists informally but has not been formalized.</w:t>
      </w:r>
    </w:p>
    <w:p>
      <w:r>
        <w:br w:type="page"/>
      </w:r>
    </w:p>
    <w:p>
      <w:pPr>
        <w:pStyle w:val="Heading1"/>
        <w:spacing w:after="200" w:before="300"/>
      </w:pPr>
      <w:r>
        <w:rPr>
          <w:rFonts w:ascii="Arial" w:cs="Arial" w:eastAsia="Arial" w:hAnsi="Arial"/>
        </w:rPr>
        <w:t xml:space="preserve">4. Sub-Capability 2.2: Data Stewardship</w:t>
      </w:r>
    </w:p>
    <w:p>
      <w:pPr>
        <w:pStyle w:val="Heading3"/>
        <w:spacing w:after="200" w:before="300"/>
      </w:pPr>
      <w:r>
        <w:rPr>
          <w:rFonts w:ascii="Arial" w:cs="Arial" w:eastAsia="Arial" w:hAnsi="Arial"/>
        </w:rPr>
        <w:t xml:space="preserve">Score: 2 (Developing)</w:t>
      </w:r>
    </w:p>
    <w:p>
      <w:pPr>
        <w:spacing w:after="160" w:line="300"/>
      </w:pPr>
      <w:r>
        <w:rPr>
          <w:rFonts w:ascii="Arial" w:cs="Arial" w:eastAsia="Arial" w:hAnsi="Arial"/>
          <w:b w:val="false"/>
          <w:bCs w:val="false"/>
          <w:i w:val="false"/>
          <w:iCs w:val="false"/>
          <w:color w:val="333333"/>
          <w:sz w:val="22"/>
          <w:szCs w:val="22"/>
        </w:rPr>
        <w:t xml:space="preserve">Data Stewardship is the lowest-scoring sub-capability within Capability 2 and represents the most significant operational gap in Rackspace's governance architecture. At a score of 2, the organization has identified the concept of data stewardship in its policies but has not yet established a formal stewardship network with defined roles, assigned individuals, or measurable accountability.</w:t>
      </w:r>
    </w:p>
    <w:p>
      <w:pPr>
        <w:pStyle w:val="Heading2"/>
        <w:spacing w:after="200" w:before="300"/>
      </w:pPr>
      <w:r>
        <w:rPr>
          <w:rFonts w:ascii="Arial" w:cs="Arial" w:eastAsia="Arial" w:hAnsi="Arial"/>
        </w:rPr>
        <w:t xml:space="preserve">The Stewardship Void</w:t>
      </w:r>
    </w:p>
    <w:p>
      <w:pPr>
        <w:spacing w:after="160" w:line="300"/>
      </w:pPr>
      <w:r>
        <w:rPr>
          <w:rFonts w:ascii="Arial" w:cs="Arial" w:eastAsia="Arial" w:hAnsi="Arial"/>
          <w:b w:val="false"/>
          <w:bCs w:val="false"/>
          <w:i w:val="false"/>
          <w:iCs w:val="false"/>
          <w:color w:val="333333"/>
          <w:sz w:val="22"/>
          <w:szCs w:val="22"/>
        </w:rPr>
        <w:t xml:space="preserve">A search of the knowledge graph for 'data steward' roles returns zero dedicated data stewardship positions. The closest match is role-303 (Data Strategy &amp; Governance Lead), but this role is positioned within dept-070 and focuses on customer-facing governance engagements rather than internal enterprise data stewardship. There are no Domain Data Stewards, Technical Data Stewards, or Business Data Stewards defined in the KG's role taxonomy of 300+ roles.</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STEWARDSHIP CONFIDENCE DISTRIBUTION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managed_by avg confidence: 0.77 (LOWEST of all relationship types)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Confidence    Count   Distribution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1.00          High    █████████████████                          │</w:t>
      </w:r>
    </w:p>
    <w:p>
      <w:pPr>
        <w:spacing w:after="0" w:line="240"/>
      </w:pPr>
      <w:r>
        <w:rPr>
          <w:rFonts w:ascii="Courier New" w:cs="Courier New" w:eastAsia="Courier New" w:hAnsi="Courier New"/>
          <w:color w:val="1B3A5C"/>
          <w:sz w:val="16"/>
          <w:szCs w:val="16"/>
        </w:rPr>
        <w:t xml:space="preserve">│  0.85-0.99     Med-Hi  ████████████                               │</w:t>
      </w:r>
    </w:p>
    <w:p>
      <w:pPr>
        <w:spacing w:after="0" w:line="240"/>
      </w:pPr>
      <w:r>
        <w:rPr>
          <w:rFonts w:ascii="Courier New" w:cs="Courier New" w:eastAsia="Courier New" w:hAnsi="Courier New"/>
          <w:color w:val="1B3A5C"/>
          <w:sz w:val="16"/>
          <w:szCs w:val="16"/>
        </w:rPr>
        <w:t xml:space="preserve">│  0.70-0.84     Medium  ████████████████████                      │</w:t>
      </w:r>
    </w:p>
    <w:p>
      <w:pPr>
        <w:spacing w:after="0" w:line="240"/>
      </w:pPr>
      <w:r>
        <w:rPr>
          <w:rFonts w:ascii="Courier New" w:cs="Courier New" w:eastAsia="Courier New" w:hAnsi="Courier New"/>
          <w:color w:val="1B3A5C"/>
          <w:sz w:val="16"/>
          <w:szCs w:val="16"/>
        </w:rPr>
        <w:t xml:space="preserve">│  0.65          LOW     ███████ (27 domains at floor)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Compare:  enforces     avg 0.91  ███████████████████████       │</w:t>
      </w:r>
    </w:p>
    <w:p>
      <w:pPr>
        <w:spacing w:after="0" w:line="240"/>
      </w:pPr>
      <w:r>
        <w:rPr>
          <w:rFonts w:ascii="Courier New" w:cs="Courier New" w:eastAsia="Courier New" w:hAnsi="Courier New"/>
          <w:color w:val="1B3A5C"/>
          <w:sz w:val="16"/>
          <w:szCs w:val="16"/>
        </w:rPr>
        <w:t xml:space="preserve">│           subject_to   avg 0.91  ███████████████████████       │</w:t>
      </w:r>
    </w:p>
    <w:p>
      <w:pPr>
        <w:spacing w:after="0" w:line="240"/>
      </w:pPr>
      <w:r>
        <w:rPr>
          <w:rFonts w:ascii="Courier New" w:cs="Courier New" w:eastAsia="Courier New" w:hAnsi="Courier New"/>
          <w:color w:val="1B3A5C"/>
          <w:sz w:val="16"/>
          <w:szCs w:val="16"/>
        </w:rPr>
        <w:t xml:space="preserve">│           applies_to   avg 0.78  ██████████████████           │</w:t>
      </w:r>
    </w:p>
    <w:p>
      <w:pPr>
        <w:spacing w:after="0" w:line="240"/>
      </w:pPr>
      <w:r>
        <w:rPr>
          <w:rFonts w:ascii="Courier New" w:cs="Courier New" w:eastAsia="Courier New" w:hAnsi="Courier New"/>
          <w:color w:val="1B3A5C"/>
          <w:sz w:val="16"/>
          <w:szCs w:val="16"/>
        </w:rPr>
        <w:t xml:space="preserve">│           managed_by   avg 0.77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INTERPRETATION: The KG is least confident about WHO manages data.   │</w:t>
      </w:r>
    </w:p>
    <w:p>
      <w:pPr>
        <w:spacing w:after="0" w:line="240"/>
      </w:pPr>
      <w:r>
        <w:rPr>
          <w:rFonts w:ascii="Courier New" w:cs="Courier New" w:eastAsia="Courier New" w:hAnsi="Courier New"/>
          <w:color w:val="1B3A5C"/>
          <w:sz w:val="16"/>
          <w:szCs w:val="16"/>
        </w:rPr>
        <w:t xml:space="preserve">│  This is the stewardship gap expressed as a measurement signal.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2"/>
        <w:spacing w:after="200" w:before="300"/>
      </w:pPr>
      <w:r>
        <w:rPr>
          <w:rFonts w:ascii="Arial" w:cs="Arial" w:eastAsia="Arial" w:hAnsi="Arial"/>
        </w:rPr>
        <w:t xml:space="preserve">Department-Level Stewardship Patterns</w:t>
      </w:r>
    </w:p>
    <w:p>
      <w:pPr>
        <w:spacing w:after="160" w:line="300"/>
      </w:pPr>
      <w:r>
        <w:rPr>
          <w:rFonts w:ascii="Arial" w:cs="Arial" w:eastAsia="Arial" w:hAnsi="Arial"/>
          <w:b w:val="false"/>
          <w:bCs w:val="false"/>
          <w:i w:val="false"/>
          <w:iCs w:val="false"/>
          <w:color w:val="333333"/>
          <w:sz w:val="22"/>
          <w:szCs w:val="22"/>
        </w:rPr>
        <w:t xml:space="preserve">At the department level, 63 managed_by relationships exist between data domains and departments, but these represent organizational custody rather than formalized stewardship. The data domains reference ownership roles such as 'Chief Revenue Officer' (dd-001: Customer Account Data), 'VP of Data Services' (dd-014, dd-033), and 'Chief Financial Officer' (dd-032: Business Intelligence and Reporting Data). These are domain owner titles embedded in data domain metadata, not dedicated stewardship appointments with defined responsibilities, escalation authority, and quality accountability.</w:t>
      </w:r>
    </w:p>
    <w:p>
      <w:pPr>
        <w:spacing w:after="160" w:line="300"/>
      </w:pPr>
      <w:r>
        <w:rPr>
          <w:rFonts w:ascii="Arial" w:cs="Arial" w:eastAsia="Arial" w:hAnsi="Arial"/>
          <w:b w:val="false"/>
          <w:bCs w:val="false"/>
          <w:i w:val="false"/>
          <w:iCs w:val="false"/>
          <w:color w:val="333333"/>
          <w:sz w:val="22"/>
          <w:szCs w:val="22"/>
        </w:rPr>
        <w:t xml:space="preserve">The absence of a stewardship RACI matrix is notable. Without clear Responsible, Accountable, Consulted, and Informed designations for each data domain, the distinction between data ownership (strategic accountability), data stewardship (operational management), and data custodianship (technical implementation) collapses into a single undefined role. This ambiguity is directly reflected in the 0.77 average confidence score for managed_by relationships.</w:t>
      </w:r>
    </w:p>
    <w:p>
      <w:pPr>
        <w:pStyle w:val="ListParagraph"/>
        <w:numPr>
          <w:ilvl w:val="0"/>
          <w:numId w:val="2"/>
        </w:numPr>
        <w:spacing w:after="100" w:line="280"/>
      </w:pPr>
      <w:r>
        <w:rPr>
          <w:rFonts w:ascii="Arial" w:cs="Arial" w:eastAsia="Arial" w:hAnsi="Arial"/>
          <w:color w:val="333333"/>
          <w:sz w:val="22"/>
          <w:szCs w:val="22"/>
        </w:rPr>
        <w:t xml:space="preserve">Zero dedicated Data Steward roles exist in the KG role taxonomy (300+ roles searched)</w:t>
      </w:r>
    </w:p>
    <w:p>
      <w:pPr>
        <w:pStyle w:val="ListParagraph"/>
        <w:numPr>
          <w:ilvl w:val="0"/>
          <w:numId w:val="2"/>
        </w:numPr>
        <w:spacing w:after="100" w:line="280"/>
      </w:pPr>
      <w:r>
        <w:rPr>
          <w:rFonts w:ascii="Arial" w:cs="Arial" w:eastAsia="Arial" w:hAnsi="Arial"/>
          <w:color w:val="333333"/>
          <w:sz w:val="22"/>
          <w:szCs w:val="22"/>
        </w:rPr>
        <w:t xml:space="preserve">27 data domains sit at the 0.65 confidence floor for managed_by relationships, indicating uncertain ownership</w:t>
      </w:r>
    </w:p>
    <w:p>
      <w:pPr>
        <w:pStyle w:val="ListParagraph"/>
        <w:numPr>
          <w:ilvl w:val="0"/>
          <w:numId w:val="2"/>
        </w:numPr>
        <w:spacing w:after="100" w:line="280"/>
      </w:pPr>
      <w:r>
        <w:rPr>
          <w:rFonts w:ascii="Arial" w:cs="Arial" w:eastAsia="Arial" w:hAnsi="Arial"/>
          <w:color w:val="333333"/>
          <w:sz w:val="22"/>
          <w:szCs w:val="22"/>
        </w:rPr>
        <w:t xml:space="preserve">Domain ownership is recorded as C-suite title references, not as formalized stewardship assignments</w:t>
      </w:r>
    </w:p>
    <w:p>
      <w:pPr>
        <w:pStyle w:val="ListParagraph"/>
        <w:numPr>
          <w:ilvl w:val="0"/>
          <w:numId w:val="2"/>
        </w:numPr>
        <w:spacing w:after="100" w:line="280"/>
      </w:pPr>
      <w:r>
        <w:rPr>
          <w:rFonts w:ascii="Arial" w:cs="Arial" w:eastAsia="Arial" w:hAnsi="Arial"/>
          <w:color w:val="333333"/>
          <w:sz w:val="22"/>
          <w:szCs w:val="22"/>
        </w:rPr>
        <w:t xml:space="preserve">No stewardship RACI matrix or equivalent accountability framework identified in KG</w:t>
      </w:r>
    </w:p>
    <w:p>
      <w:r>
        <w:br w:type="page"/>
      </w:r>
    </w:p>
    <w:p>
      <w:pPr>
        <w:pStyle w:val="Heading1"/>
        <w:spacing w:after="200" w:before="300"/>
      </w:pPr>
      <w:r>
        <w:rPr>
          <w:rFonts w:ascii="Arial" w:cs="Arial" w:eastAsia="Arial" w:hAnsi="Arial"/>
        </w:rPr>
        <w:t xml:space="preserve">5. Sub-Capability 2.3: Data Policy Framework</w:t>
      </w:r>
    </w:p>
    <w:p>
      <w:pPr>
        <w:pStyle w:val="Heading3"/>
        <w:spacing w:after="200" w:before="300"/>
      </w:pPr>
      <w:r>
        <w:rPr>
          <w:rFonts w:ascii="Arial" w:cs="Arial" w:eastAsia="Arial" w:hAnsi="Arial"/>
        </w:rPr>
        <w:t xml:space="preserve">Score: 4 (Managed)</w:t>
      </w:r>
    </w:p>
    <w:p>
      <w:pPr>
        <w:spacing w:after="160" w:line="300"/>
      </w:pPr>
      <w:r>
        <w:rPr>
          <w:rFonts w:ascii="Arial" w:cs="Arial" w:eastAsia="Arial" w:hAnsi="Arial"/>
          <w:b w:val="false"/>
          <w:bCs w:val="false"/>
          <w:i w:val="false"/>
          <w:iCs w:val="false"/>
          <w:color w:val="333333"/>
          <w:sz w:val="22"/>
          <w:szCs w:val="22"/>
        </w:rPr>
        <w:t xml:space="preserve">The Data Policy Framework is Capability 2's highest-scoring sub-capability and one of the strongest areas across the entire DCAM assessment. At a score of 4 (Managed), Rackspace has built a comprehensive, enforced, and regularly reviewed policy inventory that addresses the major dimensions of data governance. The 123 policies in the knowledge graph span governance, classification, quality, architecture, retention, privacy impact, supplier data protection, and records management.</w:t>
      </w:r>
    </w:p>
    <w:p>
      <w:pPr>
        <w:pStyle w:val="Heading2"/>
        <w:spacing w:after="200" w:before="300"/>
      </w:pPr>
      <w:r>
        <w:rPr>
          <w:rFonts w:ascii="Arial" w:cs="Arial" w:eastAsia="Arial" w:hAnsi="Arial"/>
        </w:rPr>
        <w:t xml:space="preserve">Policy Taxonomy</w:t>
      </w:r>
    </w:p>
    <w:p>
      <w:pPr>
        <w:spacing w:after="160" w:line="300"/>
      </w:pPr>
      <w:r>
        <w:rPr>
          <w:rFonts w:ascii="Arial" w:cs="Arial" w:eastAsia="Arial" w:hAnsi="Arial"/>
          <w:b w:val="false"/>
          <w:bCs w:val="false"/>
          <w:i w:val="false"/>
          <w:iCs w:val="false"/>
          <w:color w:val="333333"/>
          <w:sz w:val="22"/>
          <w:szCs w:val="22"/>
        </w:rPr>
        <w:t xml:space="preserve">The eight data-specific policies form a coherent governance framework, each addressing a distinct dimension of the data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176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Name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Review Freq.</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Enforced</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POL-071</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Governance Policy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Governance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Classification Policy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Security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POL-072</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Quality Policy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Governance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POL-073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Architecture &amp; Modeling Standards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Technical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POL-026</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Retention &amp; Disposal Policy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Compliance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POL-040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DPIA Policy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Privacy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POL-048</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Supplier DPA Policy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Vendor Mgmt</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Records Management Policy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Compliance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bl>
    <w:p>
      <w:pPr>
        <w:spacing w:after="200"/>
      </w:pP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DATA POLICY FRAMEWORK TAXONOMY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POL-071: Data Governance    │                    │</w:t>
      </w:r>
    </w:p>
    <w:p>
      <w:pPr>
        <w:spacing w:after="0" w:line="240"/>
      </w:pPr>
      <w:r>
        <w:rPr>
          <w:rFonts w:ascii="Courier New" w:cs="Courier New" w:eastAsia="Courier New" w:hAnsi="Courier New"/>
          <w:color w:val="1B3A5C"/>
          <w:sz w:val="16"/>
          <w:szCs w:val="16"/>
        </w:rPr>
        <w:t xml:space="preserve">│            │  (Umbrella Policy)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    ┌────┴──────────┐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 POL-016 │ │POL-072│ │POL-073│ │POL-026│ │POL-040│    │</w:t>
      </w:r>
    </w:p>
    <w:p>
      <w:pPr>
        <w:spacing w:after="0" w:line="240"/>
      </w:pPr>
      <w:r>
        <w:rPr>
          <w:rFonts w:ascii="Courier New" w:cs="Courier New" w:eastAsia="Courier New" w:hAnsi="Courier New"/>
          <w:color w:val="1B3A5C"/>
          <w:sz w:val="16"/>
          <w:szCs w:val="16"/>
        </w:rPr>
        <w:t xml:space="preserve">│   │ Classif.│ │Quality│ │Archit.│ │Retent.│ │ DPIA  │    │</w:t>
      </w:r>
    </w:p>
    <w:p>
      <w:pPr>
        <w:spacing w:after="0" w:line="240"/>
      </w:pPr>
      <w:r>
        <w:rPr>
          <w:rFonts w:ascii="Courier New" w:cs="Courier New" w:eastAsia="Courier New" w:hAnsi="Courier New"/>
          <w:color w:val="1B3A5C"/>
          <w:sz w:val="16"/>
          <w:szCs w:val="16"/>
        </w:rPr>
        <w:t xml:space="preserve">│   │ 4 tiers │ │Monitor│ │Stndrd.│ │Dispos.│ │Impact│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POL-048 │ │ POL-051 │  Vendor &amp; Records extension         │</w:t>
      </w:r>
    </w:p>
    <w:p>
      <w:pPr>
        <w:spacing w:after="0" w:line="240"/>
      </w:pPr>
      <w:r>
        <w:rPr>
          <w:rFonts w:ascii="Courier New" w:cs="Courier New" w:eastAsia="Courier New" w:hAnsi="Courier New"/>
          <w:color w:val="1B3A5C"/>
          <w:sz w:val="16"/>
          <w:szCs w:val="16"/>
        </w:rPr>
        <w:t xml:space="preserve">│   │Supplier│ │ Records │  policies complete the lifecycle     │</w:t>
      </w:r>
    </w:p>
    <w:p>
      <w:pPr>
        <w:spacing w:after="0" w:line="240"/>
      </w:pPr>
      <w:r>
        <w:rPr>
          <w:rFonts w:ascii="Courier New" w:cs="Courier New" w:eastAsia="Courier New" w:hAnsi="Courier New"/>
          <w:color w:val="1B3A5C"/>
          <w:sz w:val="16"/>
          <w:szCs w:val="16"/>
        </w:rPr>
        <w:t xml:space="preserve">│   │  DPA   │ │  Mgmt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Enforcement Network:  386 enforces relationships (avg conf 0.91)  │</w:t>
      </w:r>
    </w:p>
    <w:p>
      <w:pPr>
        <w:spacing w:after="0" w:line="240"/>
      </w:pPr>
      <w:r>
        <w:rPr>
          <w:rFonts w:ascii="Courier New" w:cs="Courier New" w:eastAsia="Courier New" w:hAnsi="Courier New"/>
          <w:color w:val="1B3A5C"/>
          <w:sz w:val="16"/>
          <w:szCs w:val="16"/>
        </w:rPr>
        <w:t xml:space="preserve">│   Applicability Web:    601 applies_to relationships (avg conf 0.78)│</w:t>
      </w:r>
    </w:p>
    <w:p>
      <w:pPr>
        <w:spacing w:after="0" w:line="240"/>
      </w:pPr>
      <w:r>
        <w:rPr>
          <w:rFonts w:ascii="Courier New" w:cs="Courier New" w:eastAsia="Courier New" w:hAnsi="Courier New"/>
          <w:color w:val="1B3A5C"/>
          <w:sz w:val="16"/>
          <w:szCs w:val="16"/>
        </w:rPr>
        <w:t xml:space="preserve">│   Control Backing:      351 controls supporting policy enforcement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2"/>
        <w:spacing w:after="200" w:before="300"/>
      </w:pPr>
      <w:r>
        <w:rPr>
          <w:rFonts w:ascii="Arial" w:cs="Arial" w:eastAsia="Arial" w:hAnsi="Arial"/>
        </w:rPr>
        <w:t xml:space="preserve">Enforcement Depth</w:t>
      </w:r>
    </w:p>
    <w:p>
      <w:pPr>
        <w:spacing w:after="160" w:line="300"/>
      </w:pPr>
      <w:r>
        <w:rPr>
          <w:rFonts w:ascii="Arial" w:cs="Arial" w:eastAsia="Arial" w:hAnsi="Arial"/>
          <w:b w:val="false"/>
          <w:bCs w:val="false"/>
          <w:i w:val="false"/>
          <w:iCs w:val="false"/>
          <w:color w:val="333333"/>
          <w:sz w:val="22"/>
          <w:szCs w:val="22"/>
        </w:rPr>
        <w:t xml:space="preserve">The enforcement architecture connecting policies to controls is genuinely robust. POL-071 (Data Governance Policy) is enforced by CTL-328 (Data Governance Framework Controls, confidence 0.85) and CTL-038 (Data Masking and Anonymization, confidence 0.80). POL-072 (Data Quality Policy) is enforced by CTL-305 (Data Quality Monitoring Controls, confidence 0.80). The average enforcement confidence of 0.91 across all 386 enforces relationships is the second-highest confidence score in the knowledge graph, exceeded only by regulates (1.00).</w:t>
      </w:r>
    </w:p>
    <w:p>
      <w:pPr>
        <w:spacing w:after="160" w:line="300"/>
      </w:pPr>
      <w:r>
        <w:rPr>
          <w:rFonts w:ascii="Arial" w:cs="Arial" w:eastAsia="Arial" w:hAnsi="Arial"/>
          <w:b w:val="false"/>
          <w:bCs w:val="false"/>
          <w:i w:val="false"/>
          <w:iCs w:val="false"/>
          <w:color w:val="333333"/>
          <w:sz w:val="22"/>
          <w:szCs w:val="22"/>
        </w:rPr>
        <w:t xml:space="preserve">This enforcement depth is a genuine differentiator. Many organizations at the DCAM 'Defined' maturity level have policies that exist as documents without corresponding control implementations. Rackspace's policy-to-control linkage, particularly the automated data quality monitoring controls and data masking controls, demonstrates that the policy framework is not merely declarative. The gap is not in policy articulation or control mapping. The gap is in the human governance layer, the stewardship and operating model, that is supposed to use these policies and controls as instruments of governance.</w:t>
      </w:r>
    </w:p>
    <w:p>
      <w:pPr>
        <w:pStyle w:val="Heading2"/>
        <w:spacing w:after="200" w:before="300"/>
      </w:pPr>
      <w:r>
        <w:rPr>
          <w:rFonts w:ascii="Arial" w:cs="Arial" w:eastAsia="Arial" w:hAnsi="Arial"/>
        </w:rPr>
        <w:t xml:space="preserve">Policy-to-Domain Coverage</w:t>
      </w:r>
    </w:p>
    <w:p>
      <w:pPr>
        <w:spacing w:after="160" w:line="300"/>
      </w:pPr>
      <w:r>
        <w:rPr>
          <w:rFonts w:ascii="Arial" w:cs="Arial" w:eastAsia="Arial" w:hAnsi="Arial"/>
          <w:b w:val="false"/>
          <w:bCs w:val="false"/>
          <w:i w:val="false"/>
          <w:iCs w:val="false"/>
          <w:color w:val="333333"/>
          <w:sz w:val="22"/>
          <w:szCs w:val="22"/>
        </w:rPr>
        <w:t xml:space="preserve">POL-071 is connected via subject_to relationships to multiple data domains, including dd-032 (Business Intelligence and Reporting Data, confidence 0.60) and dd-014 (Customer Data Lake and Warehouse Data, confidence 1.00). The variance in subject_to confidence scores within a single policy's coverage reveals uneven governance application. Customer-facing data domains enjoy full governance confidence, while internal analytical domains receive lower coverage, reinforcing the services-versus-internal pattern identified throughout this assessment.</w:t>
      </w:r>
    </w:p>
    <w:p>
      <w:r>
        <w:br w:type="page"/>
      </w:r>
    </w:p>
    <w:p>
      <w:pPr>
        <w:pStyle w:val="Heading1"/>
        <w:spacing w:after="200" w:before="300"/>
      </w:pPr>
      <w:r>
        <w:rPr>
          <w:rFonts w:ascii="Arial" w:cs="Arial" w:eastAsia="Arial" w:hAnsi="Arial"/>
        </w:rPr>
        <w:t xml:space="preserve">6. Sub-Capability 2.4: Regulatory &amp; Compliance Mapping</w:t>
      </w:r>
    </w:p>
    <w:p>
      <w:pPr>
        <w:pStyle w:val="Heading3"/>
        <w:spacing w:after="200" w:before="300"/>
      </w:pPr>
      <w:r>
        <w:rPr>
          <w:rFonts w:ascii="Arial" w:cs="Arial" w:eastAsia="Arial" w:hAnsi="Arial"/>
        </w:rPr>
        <w:t xml:space="preserve">Score: 4 (Managed)</w:t>
      </w:r>
    </w:p>
    <w:p>
      <w:pPr>
        <w:spacing w:after="160" w:line="300"/>
      </w:pPr>
      <w:r>
        <w:rPr>
          <w:rFonts w:ascii="Arial" w:cs="Arial" w:eastAsia="Arial" w:hAnsi="Arial"/>
          <w:b w:val="false"/>
          <w:bCs w:val="false"/>
          <w:i w:val="false"/>
          <w:iCs w:val="false"/>
          <w:color w:val="333333"/>
          <w:sz w:val="22"/>
          <w:szCs w:val="22"/>
        </w:rPr>
        <w:t xml:space="preserve">Regulatory and Compliance Mapping is the second of Capability 2's two highest-scoring sub-capabilities. At a score of 4 (Managed), Rackspace demonstrates comprehensive regulatory awareness driven by the complexity of its operating environment: 81,000+ customer accounts across 120 countries, FedRAMP authorization for government workloads, and exposure to financial services, healthcare, and critical infrastructure regulatory frameworks.</w:t>
      </w:r>
    </w:p>
    <w:p>
      <w:pPr>
        <w:pStyle w:val="Heading2"/>
        <w:spacing w:after="200" w:before="300"/>
      </w:pPr>
      <w:r>
        <w:rPr>
          <w:rFonts w:ascii="Arial" w:cs="Arial" w:eastAsia="Arial" w:hAnsi="Arial"/>
        </w:rPr>
        <w:t xml:space="preserve">Regulatory Landscape</w:t>
      </w:r>
    </w:p>
    <w:p>
      <w:pPr>
        <w:spacing w:after="160" w:line="300"/>
      </w:pPr>
      <w:r>
        <w:rPr>
          <w:rFonts w:ascii="Arial" w:cs="Arial" w:eastAsia="Arial" w:hAnsi="Arial"/>
          <w:b w:val="false"/>
          <w:bCs w:val="false"/>
          <w:i w:val="false"/>
          <w:iCs w:val="false"/>
          <w:color w:val="333333"/>
          <w:sz w:val="22"/>
          <w:szCs w:val="22"/>
        </w:rPr>
        <w:t xml:space="preserve">The knowledge graph contains 70 regulation entities spanning statutory, contractual, and industry framework obligations. The breadth of regulatory coverage is notable:</w:t>
      </w:r>
    </w:p>
    <w:p>
      <w:pPr>
        <w:pStyle w:val="ListParagraph"/>
        <w:numPr>
          <w:ilvl w:val="0"/>
          <w:numId w:val="3"/>
        </w:numPr>
        <w:spacing w:after="100" w:line="280"/>
      </w:pPr>
      <w:r>
        <w:rPr>
          <w:rFonts w:ascii="Arial" w:cs="Arial" w:eastAsia="Arial" w:hAnsi="Arial"/>
          <w:color w:val="333333"/>
          <w:sz w:val="22"/>
          <w:szCs w:val="22"/>
        </w:rPr>
        <w:t xml:space="preserve">GDPR (reg-001): EU-wide data protection, Rackspace acts as data processor with DPA incorporating Standard Contractual Clauses</w:t>
      </w:r>
    </w:p>
    <w:p>
      <w:pPr>
        <w:pStyle w:val="ListParagraph"/>
        <w:numPr>
          <w:ilvl w:val="0"/>
          <w:numId w:val="3"/>
        </w:numPr>
        <w:spacing w:after="100" w:line="280"/>
      </w:pPr>
      <w:r>
        <w:rPr>
          <w:rFonts w:ascii="Arial" w:cs="Arial" w:eastAsia="Arial" w:hAnsi="Arial"/>
          <w:color w:val="333333"/>
          <w:sz w:val="22"/>
          <w:szCs w:val="22"/>
        </w:rPr>
        <w:t xml:space="preserve">SOX (reg-002): Section 302/404 compliance as NASDAQ-listed entity (RXT), CEO/CFO certification requirements</w:t>
      </w:r>
    </w:p>
    <w:p>
      <w:pPr>
        <w:pStyle w:val="ListParagraph"/>
        <w:numPr>
          <w:ilvl w:val="0"/>
          <w:numId w:val="3"/>
        </w:numPr>
        <w:spacing w:after="100" w:line="280"/>
      </w:pPr>
      <w:r>
        <w:rPr>
          <w:rFonts w:ascii="Arial" w:cs="Arial" w:eastAsia="Arial" w:hAnsi="Arial"/>
          <w:color w:val="333333"/>
          <w:sz w:val="22"/>
          <w:szCs w:val="22"/>
        </w:rPr>
        <w:t xml:space="preserve">FedRAMP: Federal government workload authorization with heightened scrutiny pattern (three-breach history)</w:t>
      </w:r>
    </w:p>
    <w:p>
      <w:pPr>
        <w:pStyle w:val="ListParagraph"/>
        <w:numPr>
          <w:ilvl w:val="0"/>
          <w:numId w:val="3"/>
        </w:numPr>
        <w:spacing w:after="100" w:line="280"/>
      </w:pPr>
      <w:r>
        <w:rPr>
          <w:rFonts w:ascii="Arial" w:cs="Arial" w:eastAsia="Arial" w:hAnsi="Arial"/>
          <w:color w:val="333333"/>
          <w:sz w:val="22"/>
          <w:szCs w:val="22"/>
        </w:rPr>
        <w:t xml:space="preserve">CCPA/CPRA: California consumer privacy with published Consumer Privacy Protection Addendum</w:t>
      </w:r>
    </w:p>
    <w:p>
      <w:pPr>
        <w:pStyle w:val="ListParagraph"/>
        <w:numPr>
          <w:ilvl w:val="0"/>
          <w:numId w:val="3"/>
        </w:numPr>
        <w:spacing w:after="100" w:line="280"/>
      </w:pPr>
      <w:r>
        <w:rPr>
          <w:rFonts w:ascii="Arial" w:cs="Arial" w:eastAsia="Arial" w:hAnsi="Arial"/>
          <w:color w:val="333333"/>
          <w:sz w:val="22"/>
          <w:szCs w:val="22"/>
        </w:rPr>
        <w:t xml:space="preserve">LGPD: Brazilian data protection law applicable to Latin American customer footprint</w:t>
      </w:r>
    </w:p>
    <w:p>
      <w:pPr>
        <w:pStyle w:val="ListParagraph"/>
        <w:numPr>
          <w:ilvl w:val="0"/>
          <w:numId w:val="3"/>
        </w:numPr>
        <w:spacing w:after="100" w:line="280"/>
      </w:pPr>
      <w:r>
        <w:rPr>
          <w:rFonts w:ascii="Arial" w:cs="Arial" w:eastAsia="Arial" w:hAnsi="Arial"/>
          <w:color w:val="333333"/>
          <w:sz w:val="22"/>
          <w:szCs w:val="22"/>
        </w:rPr>
        <w:t xml:space="preserve">PCI DSS: Payment card data for billing and subscription management</w:t>
      </w:r>
    </w:p>
    <w:p>
      <w:pPr>
        <w:pStyle w:val="ListParagraph"/>
        <w:numPr>
          <w:ilvl w:val="0"/>
          <w:numId w:val="3"/>
        </w:numPr>
        <w:spacing w:after="100" w:line="280"/>
      </w:pPr>
      <w:r>
        <w:rPr>
          <w:rFonts w:ascii="Arial" w:cs="Arial" w:eastAsia="Arial" w:hAnsi="Arial"/>
          <w:color w:val="333333"/>
          <w:sz w:val="22"/>
          <w:szCs w:val="22"/>
        </w:rPr>
        <w:t xml:space="preserve">HIPAA: Protected health information for healthcare customers on managed infrastructure</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REGULATORY MAPPING DEPTH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70 Regulations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regulates ──► 90 Data Domains   (avg conf: 1.00)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subject_to ──► 1,117 relationships (avg conf: 0.91)      │</w:t>
      </w:r>
    </w:p>
    <w:p>
      <w:pPr>
        <w:spacing w:after="0" w:line="240"/>
      </w:pPr>
      <w:r>
        <w:rPr>
          <w:rFonts w:ascii="Courier New" w:cs="Courier New" w:eastAsia="Courier New" w:hAnsi="Courier New"/>
          <w:color w:val="1B3A5C"/>
          <w:sz w:val="16"/>
          <w:szCs w:val="16"/>
        </w:rPr>
        <w:t xml:space="preserve">│    │              527 domain-to-regulation linkages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enforced by ─► 351 Controls                                │</w:t>
      </w:r>
    </w:p>
    <w:p>
      <w:pPr>
        <w:spacing w:after="0" w:line="240"/>
      </w:pPr>
      <w:r>
        <w:rPr>
          <w:rFonts w:ascii="Courier New" w:cs="Courier New" w:eastAsia="Courier New" w:hAnsi="Courier New"/>
          <w:color w:val="1B3A5C"/>
          <w:sz w:val="16"/>
          <w:szCs w:val="16"/>
        </w:rPr>
        <w:t xml:space="preserve">│    │              386 enforces relationships (avg conf: 0.91)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applies_to ─► 601 org/system applicability links           │</w:t>
      </w:r>
    </w:p>
    <w:p>
      <w:pPr>
        <w:spacing w:after="0" w:line="240"/>
      </w:pPr>
      <w:r>
        <w:rPr>
          <w:rFonts w:ascii="Courier New" w:cs="Courier New" w:eastAsia="Courier New" w:hAnsi="Courier New"/>
          <w:color w:val="1B3A5C"/>
          <w:sz w:val="16"/>
          <w:szCs w:val="16"/>
        </w:rPr>
        <w:t xml:space="preserve">│                   (avg conf: 0.78)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KEY SIGNAL: regulates confidence is 1.00 (perfect).              │</w:t>
      </w:r>
    </w:p>
    <w:p>
      <w:pPr>
        <w:spacing w:after="0" w:line="240"/>
      </w:pPr>
      <w:r>
        <w:rPr>
          <w:rFonts w:ascii="Courier New" w:cs="Courier New" w:eastAsia="Courier New" w:hAnsi="Courier New"/>
          <w:color w:val="1B3A5C"/>
          <w:sz w:val="16"/>
          <w:szCs w:val="16"/>
        </w:rPr>
        <w:t xml:space="preserve">│   Rackspace knows WHAT regulations apply to WHICH data.            │</w:t>
      </w:r>
    </w:p>
    <w:p>
      <w:pPr>
        <w:spacing w:after="0" w:line="240"/>
      </w:pPr>
      <w:r>
        <w:rPr>
          <w:rFonts w:ascii="Courier New" w:cs="Courier New" w:eastAsia="Courier New" w:hAnsi="Courier New"/>
          <w:color w:val="1B3A5C"/>
          <w:sz w:val="16"/>
          <w:szCs w:val="16"/>
        </w:rPr>
        <w:t xml:space="preserve">│   The gap is in WHO is accountable for compliance (managed_by 0.77)│</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2"/>
        <w:spacing w:after="200" w:before="300"/>
      </w:pPr>
      <w:r>
        <w:rPr>
          <w:rFonts w:ascii="Arial" w:cs="Arial" w:eastAsia="Arial" w:hAnsi="Arial"/>
        </w:rPr>
        <w:t xml:space="preserve">FedRAMP Heightened Scrutiny Pattern</w:t>
      </w:r>
    </w:p>
    <w:p>
      <w:pPr>
        <w:spacing w:after="160" w:line="300"/>
      </w:pPr>
      <w:r>
        <w:rPr>
          <w:rFonts w:ascii="Arial" w:cs="Arial" w:eastAsia="Arial" w:hAnsi="Arial"/>
          <w:b w:val="false"/>
          <w:bCs w:val="false"/>
          <w:i w:val="false"/>
          <w:iCs w:val="false"/>
          <w:color w:val="333333"/>
          <w:sz w:val="22"/>
          <w:szCs w:val="22"/>
        </w:rPr>
        <w:t xml:space="preserve">A specific and material risk entity (FedRAMP Heightened Scrutiny - Breach Pattern Triggers Enhanced Monitoring) documents that three security incidents within a five-year window, the Exchange breach in December 2022, ScienceLogic in September 2024, and CL0P in October 2024, have created a pattern that likely triggers enhanced monitoring by the FedRAMP Joint Authorization Board (JAB). The risk entity notes that JAB has not publicly suspended Rackspace's Authorization to Operate (ATO) but may be requiring contingency authorizations with additional controls. A fourth incident could trigger ATO suspension where the first three did not, described as a ceiling effect. Given that federal business represents a significant portion of Rackspace's revenue and the company serves more than 50% of cabinet-level agencies, the governance implications of regulatory compliance in this domain are existential.</w:t>
      </w:r>
    </w:p>
    <w:p>
      <w:pPr>
        <w:spacing w:after="160" w:line="300"/>
      </w:pPr>
      <w:r>
        <w:rPr>
          <w:rFonts w:ascii="Arial" w:cs="Arial" w:eastAsia="Arial" w:hAnsi="Arial"/>
          <w:b w:val="false"/>
          <w:bCs w:val="false"/>
          <w:i w:val="false"/>
          <w:iCs w:val="false"/>
          <w:color w:val="333333"/>
          <w:sz w:val="22"/>
          <w:szCs w:val="22"/>
        </w:rPr>
        <w:t xml:space="preserve">This risk directly intersects with data governance because the governance framework must ensure that data handling practices across federal workloads meet heightened regulatory expectations. The regulatory mapping is comprehensive; the question is whether the governance operating model can respond with sufficient speed and coordination if a fourth incident occurs.</w:t>
      </w:r>
    </w:p>
    <w:p>
      <w:r>
        <w:br w:type="page"/>
      </w:r>
    </w:p>
    <w:p>
      <w:pPr>
        <w:pStyle w:val="Heading1"/>
        <w:spacing w:after="200" w:before="300"/>
      </w:pPr>
      <w:r>
        <w:rPr>
          <w:rFonts w:ascii="Arial" w:cs="Arial" w:eastAsia="Arial" w:hAnsi="Arial"/>
        </w:rPr>
        <w:t xml:space="preserve">7. Sub-Capability 2.5: Data Domain Definition &amp; Ownership</w:t>
      </w:r>
    </w:p>
    <w:p>
      <w:pPr>
        <w:pStyle w:val="Heading3"/>
        <w:spacing w:after="200" w:before="300"/>
      </w:pPr>
      <w:r>
        <w:rPr>
          <w:rFonts w:ascii="Arial" w:cs="Arial" w:eastAsia="Arial" w:hAnsi="Arial"/>
        </w:rPr>
        <w:t xml:space="preserve">Score: 3 (Defined)</w:t>
      </w:r>
    </w:p>
    <w:p>
      <w:pPr>
        <w:spacing w:after="160" w:line="300"/>
      </w:pPr>
      <w:r>
        <w:rPr>
          <w:rFonts w:ascii="Arial" w:cs="Arial" w:eastAsia="Arial" w:hAnsi="Arial"/>
          <w:b w:val="false"/>
          <w:bCs w:val="false"/>
          <w:i w:val="false"/>
          <w:iCs w:val="false"/>
          <w:color w:val="333333"/>
          <w:sz w:val="22"/>
          <w:szCs w:val="22"/>
        </w:rPr>
        <w:t xml:space="preserve">Data Domain Definition and Ownership assesses whether Rackspace has identified, categorized, and assigned accountability for its major data domains. At a score of 3, the organization has defined 90 data domains in the knowledge graph with classification, sensitivity flags, retention policies, and nominal ownership assignments. However, the ownership model lacks the operational depth needed to ensure that domain owners exercise active governance rather than holding titular responsibility.</w:t>
      </w:r>
    </w:p>
    <w:p>
      <w:pPr>
        <w:pStyle w:val="Heading2"/>
        <w:spacing w:after="200" w:before="300"/>
      </w:pPr>
      <w:r>
        <w:rPr>
          <w:rFonts w:ascii="Arial" w:cs="Arial" w:eastAsia="Arial" w:hAnsi="Arial"/>
        </w:rPr>
        <w:t xml:space="preserve">Domain Landscape</w:t>
      </w:r>
    </w:p>
    <w:p>
      <w:pPr>
        <w:spacing w:after="160" w:line="300"/>
      </w:pPr>
      <w:r>
        <w:rPr>
          <w:rFonts w:ascii="Arial" w:cs="Arial" w:eastAsia="Arial" w:hAnsi="Arial"/>
          <w:b w:val="false"/>
          <w:bCs w:val="false"/>
          <w:i w:val="false"/>
          <w:iCs w:val="false"/>
          <w:color w:val="333333"/>
          <w:sz w:val="22"/>
          <w:szCs w:val="22"/>
        </w:rPr>
        <w:t xml:space="preserve">The 90 data domains span Business, Technical, and Analytics types with classification ranging from Confidential to Restricted. Key domains identified in the knowledge graph include:</w:t>
      </w:r>
    </w:p>
    <w:p>
      <w:pPr>
        <w:pStyle w:val="ListParagraph"/>
        <w:numPr>
          <w:ilvl w:val="0"/>
          <w:numId w:val="3"/>
        </w:numPr>
        <w:spacing w:after="100" w:line="280"/>
      </w:pPr>
      <w:r>
        <w:rPr>
          <w:rFonts w:ascii="Arial" w:cs="Arial" w:eastAsia="Arial" w:hAnsi="Arial"/>
          <w:color w:val="333333"/>
          <w:sz w:val="22"/>
          <w:szCs w:val="22"/>
        </w:rPr>
        <w:t xml:space="preserve">DD-001: Customer Account Data (81,000+ accounts, 120 countries, CRO-owned, Confidential, PII flagged, strategic value 'Critical')</w:t>
      </w:r>
    </w:p>
    <w:p>
      <w:pPr>
        <w:pStyle w:val="ListParagraph"/>
        <w:numPr>
          <w:ilvl w:val="0"/>
          <w:numId w:val="3"/>
        </w:numPr>
        <w:spacing w:after="100" w:line="280"/>
      </w:pPr>
      <w:r>
        <w:rPr>
          <w:rFonts w:ascii="Arial" w:cs="Arial" w:eastAsia="Arial" w:hAnsi="Arial"/>
          <w:color w:val="333333"/>
          <w:sz w:val="22"/>
          <w:szCs w:val="22"/>
        </w:rPr>
        <w:t xml:space="preserve">DD-014: Customer Data Lake and Warehouse Data (Snowflake/Redshift/Synapse/BigQuery, VP Data Services-owned, maturity 'Defined')</w:t>
      </w:r>
    </w:p>
    <w:p>
      <w:pPr>
        <w:pStyle w:val="ListParagraph"/>
        <w:numPr>
          <w:ilvl w:val="0"/>
          <w:numId w:val="3"/>
        </w:numPr>
        <w:spacing w:after="100" w:line="280"/>
      </w:pPr>
      <w:r>
        <w:rPr>
          <w:rFonts w:ascii="Arial" w:cs="Arial" w:eastAsia="Arial" w:hAnsi="Arial"/>
          <w:color w:val="333333"/>
          <w:sz w:val="22"/>
          <w:szCs w:val="22"/>
        </w:rPr>
        <w:t xml:space="preserve">DD-032: Business Intelligence and Reporting Data (PowerBI/Tableau/Looker, CFO-owned, financial data and trade secret flagged)</w:t>
      </w:r>
    </w:p>
    <w:p>
      <w:pPr>
        <w:pStyle w:val="ListParagraph"/>
        <w:numPr>
          <w:ilvl w:val="0"/>
          <w:numId w:val="3"/>
        </w:numPr>
        <w:spacing w:after="100" w:line="280"/>
      </w:pPr>
      <w:r>
        <w:rPr>
          <w:rFonts w:ascii="Arial" w:cs="Arial" w:eastAsia="Arial" w:hAnsi="Arial"/>
          <w:color w:val="333333"/>
          <w:sz w:val="22"/>
          <w:szCs w:val="22"/>
        </w:rPr>
        <w:t xml:space="preserve">DD-033: Data Pipeline and ETL Orchestration Data (Spark/Glue/DataFactory, VP Data Services-owned, trade secret flagged)</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DATA DOMAIN OWNERSHIP UNCERTAINTY MAP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90 Data Domains Defined in Knowledge Graph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HIGH CONFIDENCE (1.00)        MEDIUM (0.70-0.84)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Customer-facing   │    │ Internal analytics,       │     │</w:t>
      </w:r>
    </w:p>
    <w:p>
      <w:pPr>
        <w:spacing w:after="0" w:line="240"/>
      </w:pPr>
      <w:r>
        <w:rPr>
          <w:rFonts w:ascii="Courier New" w:cs="Courier New" w:eastAsia="Courier New" w:hAnsi="Courier New"/>
          <w:color w:val="1B3A5C"/>
          <w:sz w:val="16"/>
          <w:szCs w:val="16"/>
        </w:rPr>
        <w:t xml:space="preserve">│   │ domains: billing, │    │ BI/reporting, pipeline    │     │</w:t>
      </w:r>
    </w:p>
    <w:p>
      <w:pPr>
        <w:spacing w:after="0" w:line="240"/>
      </w:pPr>
      <w:r>
        <w:rPr>
          <w:rFonts w:ascii="Courier New" w:cs="Courier New" w:eastAsia="Courier New" w:hAnsi="Courier New"/>
          <w:color w:val="1B3A5C"/>
          <w:sz w:val="16"/>
          <w:szCs w:val="16"/>
        </w:rPr>
        <w:t xml:space="preserve">│   │ contracts, SLA    │    │ orchestration, capacity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LOW CONFIDENCE (0.65)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27 domains at the managed_by confidence floor    │     │</w:t>
      </w:r>
    </w:p>
    <w:p>
      <w:pPr>
        <w:spacing w:after="0" w:line="240"/>
      </w:pPr>
      <w:r>
        <w:rPr>
          <w:rFonts w:ascii="Courier New" w:cs="Courier New" w:eastAsia="Courier New" w:hAnsi="Courier New"/>
          <w:color w:val="1B3A5C"/>
          <w:sz w:val="16"/>
          <w:szCs w:val="16"/>
        </w:rPr>
        <w:t xml:space="preserve">│   │ These domains have NOMINAL owners but the KG      │     │</w:t>
      </w:r>
    </w:p>
    <w:p>
      <w:pPr>
        <w:spacing w:after="0" w:line="240"/>
      </w:pPr>
      <w:r>
        <w:rPr>
          <w:rFonts w:ascii="Courier New" w:cs="Courier New" w:eastAsia="Courier New" w:hAnsi="Courier New"/>
          <w:color w:val="1B3A5C"/>
          <w:sz w:val="16"/>
          <w:szCs w:val="16"/>
        </w:rPr>
        <w:t xml:space="preserve">│   │ cannot verify active stewardship engagement.       │     │</w:t>
      </w:r>
    </w:p>
    <w:p>
      <w:pPr>
        <w:spacing w:after="0" w:line="240"/>
      </w:pPr>
      <w:r>
        <w:rPr>
          <w:rFonts w:ascii="Courier New" w:cs="Courier New" w:eastAsia="Courier New" w:hAnsi="Courier New"/>
          <w:color w:val="1B3A5C"/>
          <w:sz w:val="16"/>
          <w:szCs w:val="16"/>
        </w:rPr>
        <w:t xml:space="preserve">│   │ 30% of all domains sit in the uncertainty zone.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PATTERN: Customer-revenue-adjacent data = high governance conf.   │</w:t>
      </w:r>
    </w:p>
    <w:p>
      <w:pPr>
        <w:spacing w:after="0" w:line="240"/>
      </w:pPr>
      <w:r>
        <w:rPr>
          <w:rFonts w:ascii="Courier New" w:cs="Courier New" w:eastAsia="Courier New" w:hAnsi="Courier New"/>
          <w:color w:val="1B3A5C"/>
          <w:sz w:val="16"/>
          <w:szCs w:val="16"/>
        </w:rPr>
        <w:t xml:space="preserve">│            Internal operational data = governance uncertainty.       │</w:t>
      </w:r>
    </w:p>
    <w:p>
      <w:pPr>
        <w:spacing w:after="0" w:line="240"/>
      </w:pPr>
      <w:r>
        <w:rPr>
          <w:rFonts w:ascii="Courier New" w:cs="Courier New" w:eastAsia="Courier New" w:hAnsi="Courier New"/>
          <w:color w:val="1B3A5C"/>
          <w:sz w:val="16"/>
          <w:szCs w:val="16"/>
        </w:rPr>
        <w:t xml:space="preserve">│            The market disciplines what the org model does not.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2"/>
        <w:spacing w:after="200" w:before="300"/>
      </w:pPr>
      <w:r>
        <w:rPr>
          <w:rFonts w:ascii="Arial" w:cs="Arial" w:eastAsia="Arial" w:hAnsi="Arial"/>
        </w:rPr>
        <w:t xml:space="preserve">Domain Classification and Sensitivity</w:t>
      </w:r>
    </w:p>
    <w:p>
      <w:pPr>
        <w:spacing w:after="160" w:line="300"/>
      </w:pPr>
      <w:r>
        <w:rPr>
          <w:rFonts w:ascii="Arial" w:cs="Arial" w:eastAsia="Arial" w:hAnsi="Arial"/>
          <w:b w:val="false"/>
          <w:bCs w:val="false"/>
          <w:i w:val="false"/>
          <w:iCs w:val="false"/>
          <w:color w:val="333333"/>
          <w:sz w:val="22"/>
          <w:szCs w:val="22"/>
        </w:rPr>
        <w:t xml:space="preserve">The data classification model, governed by POL-016 (Data Classification Policy), implements a four-tier classification scheme. Each data domain carries explicit sensitivity flags for PII, PHI, PCI, children's data, biometric data, financial data, and trade secrets. This granularity enables precise regulatory mapping. For example, dd-001 (Customer Account Data) is flagged as PII-containing and is therefore automatically subject to GDPR, CCPA, and LGPD, while dd-033 (Data Pipeline and ETL Orchestration Data) is flagged as a trade secret but carries no PII, placing it under different governance requirements.</w:t>
      </w:r>
    </w:p>
    <w:p>
      <w:pPr>
        <w:spacing w:after="160" w:line="300"/>
      </w:pPr>
      <w:r>
        <w:rPr>
          <w:rFonts w:ascii="Arial" w:cs="Arial" w:eastAsia="Arial" w:hAnsi="Arial"/>
          <w:b w:val="false"/>
          <w:bCs w:val="false"/>
          <w:i w:val="false"/>
          <w:iCs w:val="false"/>
          <w:color w:val="333333"/>
          <w:sz w:val="22"/>
          <w:szCs w:val="22"/>
        </w:rPr>
        <w:t xml:space="preserve">Retention policies are defined at the domain level with minimum and maximum retention periods, retention basis citations, destruction methods, and legal hold status. DD-032, for instance, carries an active legal hold because its financial performance dashboards and customer segment analytics from 2022-2023 are retained pending SEC disclosure investigation and securities litigation. This level of retention governance specificity is a genuine strength and directly supports DCAM's expectation of domain-level lifecycle management.</w:t>
      </w:r>
    </w:p>
    <w:p>
      <w:pPr>
        <w:pStyle w:val="Heading2"/>
        <w:spacing w:after="200" w:before="300"/>
      </w:pPr>
      <w:r>
        <w:rPr>
          <w:rFonts w:ascii="Arial" w:cs="Arial" w:eastAsia="Arial" w:hAnsi="Arial"/>
        </w:rPr>
        <w:t xml:space="preserve">The Ownership Accountability Gap</w:t>
      </w:r>
    </w:p>
    <w:p>
      <w:pPr>
        <w:spacing w:after="160" w:line="300"/>
      </w:pPr>
      <w:r>
        <w:rPr>
          <w:rFonts w:ascii="Arial" w:cs="Arial" w:eastAsia="Arial" w:hAnsi="Arial"/>
          <w:b w:val="false"/>
          <w:bCs w:val="false"/>
          <w:i w:val="false"/>
          <w:iCs w:val="false"/>
          <w:color w:val="333333"/>
          <w:sz w:val="22"/>
          <w:szCs w:val="22"/>
        </w:rPr>
        <w:t xml:space="preserve">Despite the comprehensive domain definition, ownership remains titular rather than operational. Domain owners are recorded as executive title references (CRO, CFO, VP of Data Services) rather than as formalized data governance appointments with defined stewardship responsibilities, escalation authority, dispute resolution mandates, and quality accountability metrics. There is no evidence of domain owner review cadence, ownership acceptance ceremonies, or stewardship performance measurement in the knowledge graph.</w:t>
      </w:r>
    </w:p>
    <w:p>
      <w:pPr>
        <w:pStyle w:val="ListParagraph"/>
        <w:numPr>
          <w:ilvl w:val="0"/>
          <w:numId w:val="2"/>
        </w:numPr>
        <w:spacing w:after="100" w:line="280"/>
      </w:pPr>
      <w:r>
        <w:rPr>
          <w:rFonts w:ascii="Arial" w:cs="Arial" w:eastAsia="Arial" w:hAnsi="Arial"/>
          <w:color w:val="333333"/>
          <w:sz w:val="22"/>
          <w:szCs w:val="22"/>
        </w:rPr>
        <w:t xml:space="preserve">90 data domains defined with classification, sensitivity flags, and retention policies</w:t>
      </w:r>
    </w:p>
    <w:p>
      <w:pPr>
        <w:pStyle w:val="ListParagraph"/>
        <w:numPr>
          <w:ilvl w:val="0"/>
          <w:numId w:val="2"/>
        </w:numPr>
        <w:spacing w:after="100" w:line="280"/>
      </w:pPr>
      <w:r>
        <w:rPr>
          <w:rFonts w:ascii="Arial" w:cs="Arial" w:eastAsia="Arial" w:hAnsi="Arial"/>
          <w:color w:val="333333"/>
          <w:sz w:val="22"/>
          <w:szCs w:val="22"/>
        </w:rPr>
        <w:t xml:space="preserve">27 domains (30%) at 0.65 confidence floor for managed_by, indicating uncertain active ownership</w:t>
      </w:r>
    </w:p>
    <w:p>
      <w:pPr>
        <w:pStyle w:val="ListParagraph"/>
        <w:numPr>
          <w:ilvl w:val="0"/>
          <w:numId w:val="2"/>
        </w:numPr>
        <w:spacing w:after="100" w:line="280"/>
      </w:pPr>
      <w:r>
        <w:rPr>
          <w:rFonts w:ascii="Arial" w:cs="Arial" w:eastAsia="Arial" w:hAnsi="Arial"/>
          <w:color w:val="333333"/>
          <w:sz w:val="22"/>
          <w:szCs w:val="22"/>
        </w:rPr>
        <w:t xml:space="preserve">Customer-facing domains show significantly higher governance confidence than internal domains</w:t>
      </w:r>
    </w:p>
    <w:p>
      <w:pPr>
        <w:pStyle w:val="ListParagraph"/>
        <w:numPr>
          <w:ilvl w:val="0"/>
          <w:numId w:val="2"/>
        </w:numPr>
        <w:spacing w:after="100" w:line="280"/>
      </w:pPr>
      <w:r>
        <w:rPr>
          <w:rFonts w:ascii="Arial" w:cs="Arial" w:eastAsia="Arial" w:hAnsi="Arial"/>
          <w:color w:val="333333"/>
          <w:sz w:val="22"/>
          <w:szCs w:val="22"/>
        </w:rPr>
        <w:t xml:space="preserve">No business glossary platform or URL is populated for any data domain in the KG</w:t>
      </w:r>
    </w:p>
    <w:p>
      <w:pPr>
        <w:pStyle w:val="ListParagraph"/>
        <w:numPr>
          <w:ilvl w:val="0"/>
          <w:numId w:val="2"/>
        </w:numPr>
        <w:spacing w:after="100" w:line="280"/>
      </w:pPr>
      <w:r>
        <w:rPr>
          <w:rFonts w:ascii="Arial" w:cs="Arial" w:eastAsia="Arial" w:hAnsi="Arial"/>
          <w:color w:val="333333"/>
          <w:sz w:val="22"/>
          <w:szCs w:val="22"/>
        </w:rPr>
        <w:t xml:space="preserve">Domain maturity levels range from 'Defined' to 'Managed', with none reaching 'Optimized'</w:t>
      </w:r>
    </w:p>
    <w:p>
      <w:r>
        <w:br w:type="page"/>
      </w:r>
    </w:p>
    <w:p>
      <w:pPr>
        <w:pStyle w:val="Heading1"/>
        <w:spacing w:after="200" w:before="300"/>
      </w:pPr>
      <w:r>
        <w:rPr>
          <w:rFonts w:ascii="Arial" w:cs="Arial" w:eastAsia="Arial" w:hAnsi="Arial"/>
        </w:rPr>
        <w:t xml:space="preserve">8. Cross-Cutting Analysis</w:t>
      </w:r>
    </w:p>
    <w:p>
      <w:pPr>
        <w:pStyle w:val="Heading2"/>
        <w:spacing w:after="200" w:before="300"/>
      </w:pPr>
      <w:r>
        <w:rPr>
          <w:rFonts w:ascii="Arial" w:cs="Arial" w:eastAsia="Arial" w:hAnsi="Arial"/>
        </w:rPr>
        <w:t xml:space="preserve">The Governance Paradox: Policy Depth Without Organizational Depth</w:t>
      </w:r>
    </w:p>
    <w:p>
      <w:pPr>
        <w:spacing w:after="160" w:line="300"/>
      </w:pPr>
      <w:r>
        <w:rPr>
          <w:rFonts w:ascii="Arial" w:cs="Arial" w:eastAsia="Arial" w:hAnsi="Arial"/>
          <w:b w:val="false"/>
          <w:bCs w:val="false"/>
          <w:i w:val="false"/>
          <w:iCs w:val="false"/>
          <w:color w:val="333333"/>
          <w:sz w:val="22"/>
          <w:szCs w:val="22"/>
        </w:rPr>
        <w:t xml:space="preserve">Capability 2 presents a governance architecture with a fundamental structural imbalance. The policy framework (score 4) and regulatory mapping (score 4) demonstrate that Rackspace knows what governance looks like on paper. The organization has articulated comprehensive policies, mapped them to controls, and linked them to regulations with high confidence. But the stewardship network (score 2) and operating model (score 3) reveal that the human capital and organizational structures needed to operationalize those policies are materially underdeveloped.</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THE GOVERNANCE PARADOX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WHAT RACKSPACE HAS:              WHAT RACKSPACE LACKS: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[STRONG]                          [WEAK]                           │</w:t>
      </w:r>
    </w:p>
    <w:p>
      <w:pPr>
        <w:spacing w:after="0" w:line="240"/>
      </w:pPr>
      <w:r>
        <w:rPr>
          <w:rFonts w:ascii="Courier New" w:cs="Courier New" w:eastAsia="Courier New" w:hAnsi="Courier New"/>
          <w:color w:val="1B3A5C"/>
          <w:sz w:val="16"/>
          <w:szCs w:val="16"/>
        </w:rPr>
        <w:t xml:space="preserve">│   123 policies             ◄──►     No Data Governance Council       │</w:t>
      </w:r>
    </w:p>
    <w:p>
      <w:pPr>
        <w:spacing w:after="0" w:line="240"/>
      </w:pPr>
      <w:r>
        <w:rPr>
          <w:rFonts w:ascii="Courier New" w:cs="Courier New" w:eastAsia="Courier New" w:hAnsi="Courier New"/>
          <w:color w:val="1B3A5C"/>
          <w:sz w:val="16"/>
          <w:szCs w:val="16"/>
        </w:rPr>
        <w:t xml:space="preserve">│   351 controls                      No Data Steward roles            │</w:t>
      </w:r>
    </w:p>
    <w:p>
      <w:pPr>
        <w:spacing w:after="0" w:line="240"/>
      </w:pPr>
      <w:r>
        <w:rPr>
          <w:rFonts w:ascii="Courier New" w:cs="Courier New" w:eastAsia="Courier New" w:hAnsi="Courier New"/>
          <w:color w:val="1B3A5C"/>
          <w:sz w:val="16"/>
          <w:szCs w:val="16"/>
        </w:rPr>
        <w:t xml:space="preserve">│   70 regulations mapped             No stewardship RACI              │</w:t>
      </w:r>
    </w:p>
    <w:p>
      <w:pPr>
        <w:spacing w:after="0" w:line="240"/>
      </w:pPr>
      <w:r>
        <w:rPr>
          <w:rFonts w:ascii="Courier New" w:cs="Courier New" w:eastAsia="Courier New" w:hAnsi="Courier New"/>
          <w:color w:val="1B3A5C"/>
          <w:sz w:val="16"/>
          <w:szCs w:val="16"/>
        </w:rPr>
        <w:t xml:space="preserve">│   90 data domains defined           No business glossary             │</w:t>
      </w:r>
    </w:p>
    <w:p>
      <w:pPr>
        <w:spacing w:after="0" w:line="240"/>
      </w:pPr>
      <w:r>
        <w:rPr>
          <w:rFonts w:ascii="Courier New" w:cs="Courier New" w:eastAsia="Courier New" w:hAnsi="Courier New"/>
          <w:color w:val="1B3A5C"/>
          <w:sz w:val="16"/>
          <w:szCs w:val="16"/>
        </w:rPr>
        <w:t xml:space="preserve">│   386 enforces (conf 0.91)          managed_by conf 0.77 (lowest)   │</w:t>
      </w:r>
    </w:p>
    <w:p>
      <w:pPr>
        <w:spacing w:after="0" w:line="240"/>
      </w:pPr>
      <w:r>
        <w:rPr>
          <w:rFonts w:ascii="Courier New" w:cs="Courier New" w:eastAsia="Courier New" w:hAnsi="Courier New"/>
          <w:color w:val="1B3A5C"/>
          <w:sz w:val="16"/>
          <w:szCs w:val="16"/>
        </w:rPr>
        <w:t xml:space="preserve">│   4-tier classification             No domain owner review cadence   │</w:t>
      </w:r>
    </w:p>
    <w:p>
      <w:pPr>
        <w:spacing w:after="0" w:line="240"/>
      </w:pPr>
      <w:r>
        <w:rPr>
          <w:rFonts w:ascii="Courier New" w:cs="Courier New" w:eastAsia="Courier New" w:hAnsi="Courier New"/>
          <w:color w:val="1B3A5C"/>
          <w:sz w:val="16"/>
          <w:szCs w:val="16"/>
        </w:rPr>
        <w:t xml:space="preserve">│   Retention policies defined        No ownership acceptance process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DIAGNOSIS: Rackspace has built the governance INSTRUMENTS          │</w:t>
      </w:r>
    </w:p>
    <w:p>
      <w:pPr>
        <w:spacing w:after="0" w:line="240"/>
      </w:pPr>
      <w:r>
        <w:rPr>
          <w:rFonts w:ascii="Courier New" w:cs="Courier New" w:eastAsia="Courier New" w:hAnsi="Courier New"/>
          <w:color w:val="1B3A5C"/>
          <w:sz w:val="16"/>
          <w:szCs w:val="16"/>
        </w:rPr>
        <w:t xml:space="preserve">│   without building the governance ORCHESTRA. The instruments         │</w:t>
      </w:r>
    </w:p>
    <w:p>
      <w:pPr>
        <w:spacing w:after="0" w:line="240"/>
      </w:pPr>
      <w:r>
        <w:rPr>
          <w:rFonts w:ascii="Courier New" w:cs="Courier New" w:eastAsia="Courier New" w:hAnsi="Courier New"/>
          <w:color w:val="1B3A5C"/>
          <w:sz w:val="16"/>
          <w:szCs w:val="16"/>
        </w:rPr>
        <w:t xml:space="preserve">│   are well-crafted. But without a conductor (council),               │</w:t>
      </w:r>
    </w:p>
    <w:p>
      <w:pPr>
        <w:spacing w:after="0" w:line="240"/>
      </w:pPr>
      <w:r>
        <w:rPr>
          <w:rFonts w:ascii="Courier New" w:cs="Courier New" w:eastAsia="Courier New" w:hAnsi="Courier New"/>
          <w:color w:val="1B3A5C"/>
          <w:sz w:val="16"/>
          <w:szCs w:val="16"/>
        </w:rPr>
        <w:t xml:space="preserve">│   section leaders (stewards), and a rehearsal schedule               │</w:t>
      </w:r>
    </w:p>
    <w:p>
      <w:pPr>
        <w:spacing w:after="0" w:line="240"/>
      </w:pPr>
      <w:r>
        <w:rPr>
          <w:rFonts w:ascii="Courier New" w:cs="Courier New" w:eastAsia="Courier New" w:hAnsi="Courier New"/>
          <w:color w:val="1B3A5C"/>
          <w:sz w:val="16"/>
          <w:szCs w:val="16"/>
        </w:rPr>
        <w:t xml:space="preserve">│   (operating cadence), the performance is inconsistent.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2"/>
        <w:spacing w:after="200" w:before="300"/>
      </w:pPr>
      <w:r>
        <w:rPr>
          <w:rFonts w:ascii="Arial" w:cs="Arial" w:eastAsia="Arial" w:hAnsi="Arial"/>
        </w:rPr>
        <w:t xml:space="preserve">Services-Facing vs. Internal-Facing Disconnect (Continued)</w:t>
      </w:r>
    </w:p>
    <w:p>
      <w:pPr>
        <w:spacing w:after="160" w:line="300"/>
      </w:pPr>
      <w:r>
        <w:rPr>
          <w:rFonts w:ascii="Arial" w:cs="Arial" w:eastAsia="Arial" w:hAnsi="Arial"/>
          <w:b w:val="false"/>
          <w:bCs w:val="false"/>
          <w:i w:val="false"/>
          <w:iCs w:val="false"/>
          <w:color w:val="333333"/>
          <w:sz w:val="22"/>
          <w:szCs w:val="22"/>
        </w:rPr>
        <w:t xml:space="preserve">The services-internal disconnect identified in Capability 1 manifests even more acutely in governance. The Data Strategy &amp; Governance Department (dept-070, $780K budget, 5 headcount) and the Data Strategy &amp; Governance Lead role (role-303) exist entirely within the services-facing FAIR practice. These professionals advise customers on data governance frameworks, data quality management, metadata management, and data catalog implementation. They possess exactly the competencies needed to build Rackspace's internal governance architecture. Yet there is no evidence in the knowledge graph that their expertise is deployed inward.</w:t>
      </w:r>
    </w:p>
    <w:p>
      <w:pPr>
        <w:spacing w:after="160" w:line="300"/>
      </w:pPr>
      <w:r>
        <w:rPr>
          <w:rFonts w:ascii="Arial" w:cs="Arial" w:eastAsia="Arial" w:hAnsi="Arial"/>
          <w:b w:val="false"/>
          <w:bCs w:val="false"/>
          <w:i w:val="false"/>
          <w:iCs w:val="false"/>
          <w:color w:val="333333"/>
          <w:sz w:val="22"/>
          <w:szCs w:val="22"/>
        </w:rPr>
        <w:t xml:space="preserve">This creates an almost tragicomic asymmetry: Rackspace sells data governance advisory services to external customers while its own internal data governance lacks the very structures those advisory engagements would recommend. It is not a question of competency. The competency exists. It is a question of organizational will and incentive alignment.</w:t>
      </w:r>
    </w:p>
    <w:p>
      <w:r>
        <w:br w:type="page"/>
      </w:r>
    </w:p>
    <w:p>
      <w:pPr>
        <w:pStyle w:val="Heading1"/>
        <w:spacing w:after="200" w:before="300"/>
      </w:pPr>
      <w:r>
        <w:rPr>
          <w:rFonts w:ascii="Arial" w:cs="Arial" w:eastAsia="Arial" w:hAnsi="Arial"/>
        </w:rPr>
        <w:t xml:space="preserve">9. Recommendations</w:t>
      </w:r>
    </w:p>
    <w:p>
      <w:pPr>
        <w:pStyle w:val="Heading2"/>
        <w:spacing w:after="200" w:before="300"/>
      </w:pPr>
      <w:r>
        <w:rPr>
          <w:rFonts w:ascii="Arial" w:cs="Arial" w:eastAsia="Arial" w:hAnsi="Arial"/>
        </w:rPr>
        <w:t xml:space="preserve">R1: Establish a Data Governance Council</w:t>
      </w:r>
    </w:p>
    <w:p>
      <w:pPr>
        <w:spacing w:after="160" w:line="300"/>
      </w:pPr>
      <w:r>
        <w:rPr>
          <w:rFonts w:ascii="Arial" w:cs="Arial" w:eastAsia="Arial" w:hAnsi="Arial"/>
          <w:b w:val="false"/>
          <w:bCs w:val="false"/>
          <w:i w:val="false"/>
          <w:iCs w:val="false"/>
          <w:color w:val="333333"/>
          <w:sz w:val="22"/>
          <w:szCs w:val="22"/>
        </w:rPr>
        <w:t xml:space="preserve">Charter a cross-functional Data Governance Council with representation from each business unit, IT/Engineering, Security, Legal/Compliance, and the FAIR practice. This council should meet monthly with defined decision rights for data classification disputes, domain boundary conflicts, cross-BU data sharing agreements, and governance policy exceptions. The council fills the ROLE-OM-003 gap and removes the CEO from ad hoc data governance arbitration. Target: Operational within 90 days.</w:t>
      </w:r>
    </w:p>
    <w:p>
      <w:pPr>
        <w:pStyle w:val="Heading2"/>
        <w:spacing w:after="200" w:before="300"/>
      </w:pPr>
      <w:r>
        <w:rPr>
          <w:rFonts w:ascii="Arial" w:cs="Arial" w:eastAsia="Arial" w:hAnsi="Arial"/>
        </w:rPr>
        <w:t xml:space="preserve">R2: Build a Formal Stewardship Network</w:t>
      </w:r>
    </w:p>
    <w:p>
      <w:pPr>
        <w:spacing w:after="160" w:line="300"/>
      </w:pPr>
      <w:r>
        <w:rPr>
          <w:rFonts w:ascii="Arial" w:cs="Arial" w:eastAsia="Arial" w:hAnsi="Arial"/>
          <w:b w:val="false"/>
          <w:bCs w:val="false"/>
          <w:i w:val="false"/>
          <w:iCs w:val="false"/>
          <w:color w:val="333333"/>
          <w:sz w:val="22"/>
          <w:szCs w:val="22"/>
        </w:rPr>
        <w:t xml:space="preserve">Define and staff dedicated Data Steward roles for each of the 90 data domains, or at minimum for the top 20 domains by strategic value and regulatory exposure. Each steward appointment should include a RACI matrix defining the relationship between Domain Owner (strategic accountability), Data Steward (operational governance), and Data Custodian (technical implementation). Deploy the existing dept-070 expertise to design the stewardship framework. Measure stewardship effectiveness through managed_by confidence improvement, targeting a move from 0.77 to 0.85 within 12 months.</w:t>
      </w:r>
    </w:p>
    <w:p>
      <w:pPr>
        <w:pStyle w:val="Heading2"/>
        <w:spacing w:after="200" w:before="300"/>
      </w:pPr>
      <w:r>
        <w:rPr>
          <w:rFonts w:ascii="Arial" w:cs="Arial" w:eastAsia="Arial" w:hAnsi="Arial"/>
        </w:rPr>
        <w:t xml:space="preserve">R3: Operationalize the Policy Framework Through Governance Cadence</w:t>
      </w:r>
    </w:p>
    <w:p>
      <w:pPr>
        <w:spacing w:after="160" w:line="300"/>
      </w:pPr>
      <w:r>
        <w:rPr>
          <w:rFonts w:ascii="Arial" w:cs="Arial" w:eastAsia="Arial" w:hAnsi="Arial"/>
          <w:b w:val="false"/>
          <w:bCs w:val="false"/>
          <w:i w:val="false"/>
          <w:iCs w:val="false"/>
          <w:color w:val="333333"/>
          <w:sz w:val="22"/>
          <w:szCs w:val="22"/>
        </w:rPr>
        <w:t xml:space="preserve">The policy framework's strength (score 4) is currently underutilized because there is no governance operating cadence to exercise it. Implement quarterly domain owner reviews, annual policy attestation ceremonies, and monthly stewardship performance dashboards. Automate governance metrics collection through the existing CTL-305 (Data Quality Monitoring Controls) and CTL-328 (Data Governance Framework Controls) to create a continuous governance posture assessment capability.</w:t>
      </w:r>
    </w:p>
    <w:p>
      <w:pPr>
        <w:pStyle w:val="Heading2"/>
        <w:spacing w:after="200" w:before="300"/>
      </w:pPr>
      <w:r>
        <w:rPr>
          <w:rFonts w:ascii="Arial" w:cs="Arial" w:eastAsia="Arial" w:hAnsi="Arial"/>
        </w:rPr>
        <w:t xml:space="preserve">R4: Deploy Internal Governance Using FAIR Practice Methodology</w:t>
      </w:r>
    </w:p>
    <w:p>
      <w:pPr>
        <w:spacing w:after="160" w:line="300"/>
      </w:pPr>
      <w:r>
        <w:rPr>
          <w:rFonts w:ascii="Arial" w:cs="Arial" w:eastAsia="Arial" w:hAnsi="Arial"/>
          <w:b w:val="false"/>
          <w:bCs w:val="false"/>
          <w:i w:val="false"/>
          <w:iCs w:val="false"/>
          <w:color w:val="333333"/>
          <w:sz w:val="22"/>
          <w:szCs w:val="22"/>
        </w:rPr>
        <w:t xml:space="preserve">Commission the FAIR practice (dept-070) to execute an internal data governance engagement using the same methodology they deploy for customer engagements. This addresses the services-internal disconnect directly by treating the enterprise as its own most important client. The engagement should include data catalog implementation (no business glossary platform is currently populated), domain ownership formalization, and stewardship RACI development. This approach has the additional benefit of using internal deployment as a reference case for customer-facing sales.</w:t>
      </w:r>
    </w:p>
    <w:p>
      <w:pPr>
        <w:pStyle w:val="Heading2"/>
        <w:spacing w:after="200" w:before="300"/>
      </w:pPr>
      <w:r>
        <w:rPr>
          <w:rFonts w:ascii="Arial" w:cs="Arial" w:eastAsia="Arial" w:hAnsi="Arial"/>
        </w:rPr>
        <w:t xml:space="preserve">R5: Address the FedRAMP Governance Imperative</w:t>
      </w:r>
    </w:p>
    <w:p>
      <w:pPr>
        <w:spacing w:after="160" w:line="300"/>
      </w:pPr>
      <w:r>
        <w:rPr>
          <w:rFonts w:ascii="Arial" w:cs="Arial" w:eastAsia="Arial" w:hAnsi="Arial"/>
          <w:b w:val="false"/>
          <w:bCs w:val="false"/>
          <w:i w:val="false"/>
          <w:iCs w:val="false"/>
          <w:color w:val="333333"/>
          <w:sz w:val="22"/>
          <w:szCs w:val="22"/>
        </w:rPr>
        <w:t xml:space="preserve">Given the three-breach pattern and heightened FedRAMP scrutiny, implement enhanced data governance controls specifically for federal workload data domains. This includes designated federal data stewards, accelerated incident response governance, and explicit data governance reporting to the FedRAMP Authorizing Officials. A fourth incident under the current governance operating model, which lacks a council, stewards, and operating cadence, would be significantly more damaging than a fourth incident under a formalized governance architecture that can demonstrate active management and rapid response coordination.</w:t>
      </w:r>
    </w:p>
    <w:p>
      <w:r>
        <w:br w:type="page"/>
      </w:r>
    </w:p>
    <w:p>
      <w:pPr>
        <w:pStyle w:val="Heading1"/>
        <w:spacing w:after="200" w:before="300"/>
      </w:pPr>
      <w:r>
        <w:rPr>
          <w:rFonts w:ascii="Arial" w:cs="Arial" w:eastAsia="Arial" w:hAnsi="Arial"/>
        </w:rPr>
        <w:t xml:space="preserve">10. Knowledge Graph Evidence Summary</w:t>
      </w:r>
    </w:p>
    <w:p>
      <w:pPr>
        <w:spacing w:after="160" w:line="300"/>
      </w:pPr>
      <w:r>
        <w:rPr>
          <w:rFonts w:ascii="Arial" w:cs="Arial" w:eastAsia="Arial" w:hAnsi="Arial"/>
          <w:b w:val="false"/>
          <w:bCs w:val="false"/>
          <w:i w:val="false"/>
          <w:iCs w:val="false"/>
          <w:color w:val="333333"/>
          <w:sz w:val="22"/>
          <w:szCs w:val="22"/>
        </w:rPr>
        <w:t xml:space="preserve">The following table summarizes the primary knowledge graph entities and relationships that informed this deep-dive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pol-071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Governance Policy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2.1, 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Classification 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2.3, 2.5</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pol-072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Quality Policy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pol-073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Architecture Standards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2.3</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pol-026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Retention &amp; Disposal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2.3, 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DPIA 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2.3, 2.4</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pol-048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Supplier DPA Policy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Records Management 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2.3</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role-303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Strategy &amp; Governance Lead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2.1, 2.2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dept-070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Strategy &amp; Governance Dept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2.1, 2.2</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ROLE-OM-003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Operating Committee (Missing)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ctl-328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Governance Framework Controls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2.1, 2.3</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ctl-305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Quality Monitoring Controls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ctl-038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Masking &amp; Anonymization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2.3</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reg-001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GDPR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Regulation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SOX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Regulation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2.4</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dd-001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Customer Account Data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Customer Data Lake &amp; Warehouse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2.5</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dd-032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BI &amp; Reporting Data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Pipeline &amp; ETL Orchestration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Sub-Cap 2.5</w:t>
            </w:r>
          </w:p>
        </w:tc>
      </w:tr>
    </w:tbl>
    <w:p>
      <w:pPr>
        <w:spacing w:after="300"/>
      </w:pPr>
    </w:p>
    <w:p>
      <w:pPr>
        <w:pStyle w:val="Heading2"/>
        <w:spacing w:after="200" w:before="300"/>
      </w:pPr>
      <w:r>
        <w:rPr>
          <w:rFonts w:ascii="Arial" w:cs="Arial" w:eastAsia="Arial" w:hAnsi="Arial"/>
        </w:rPr>
        <w:t xml:space="preserve">Relationship Pattern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Relationship Type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Confidence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Governance Implication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managed_by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385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F39C12"/>
                <w:sz w:val="20"/>
                <w:szCs w:val="20"/>
              </w:rPr>
              <w:t xml:space="preserve">0.77 (Lowest)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Stewardship uncertainty is the primary governance gap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enforces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386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0.91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Policy-to-control linkage is strong and verified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applies_to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601</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0.78</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Applicability mapping has moderate confidence gaps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subject_to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1,117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0.91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Regulatory obligation mapping is comprehensive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regulates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~200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1.00 (Highest)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Regulatory-to-domain mapping has perfect confidence</w:t>
            </w:r>
          </w:p>
        </w:tc>
      </w:tr>
    </w:tbl>
    <w:p>
      <w:pPr>
        <w:spacing w:after="200"/>
      </w:pPr>
    </w:p>
    <w:p>
      <w:pPr>
        <w:spacing w:after="160" w:line="300"/>
      </w:pPr>
      <w:r>
        <w:rPr>
          <w:rFonts w:ascii="Arial" w:cs="Arial" w:eastAsia="Arial" w:hAnsi="Arial"/>
          <w:b w:val="false"/>
          <w:bCs w:val="false"/>
          <w:i/>
          <w:iCs/>
          <w:color w:val="666666"/>
          <w:sz w:val="22"/>
          <w:szCs w:val="22"/>
        </w:rPr>
        <w:t xml:space="preserve">Assessment prepared from Enterprise Knowledge Graph data as of March 2026. All entity references are traceable to specific KG nodes and relationship edges. Confidence scores reflect the KG enrichment agent's assessment of data quality and evidence strength at the time of knowledge graph construction.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6"/>
        <w:szCs w:val="16"/>
      </w:rPr>
      <w:t xml:space="preserve">Rackspace Technology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666666"/>
        <w:sz w:val="16"/>
        <w:szCs w:val="16"/>
      </w:rPr>
      <w:t xml:space="preserve">DCAM v2 Deep-Dive  |  </w:t>
    </w:r>
    <w:r>
      <w:rPr>
        <w:rFonts w:ascii="Arial" w:cs="Arial" w:eastAsia="Arial" w:hAnsi="Arial"/>
        <w:b/>
        <w:bCs/>
        <w:color w:val="2E75B6"/>
        <w:sz w:val="16"/>
        <w:szCs w:val="16"/>
      </w:rPr>
      <w:t xml:space="preserve">Capability 2: Data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2026-03-05T18:14:40.630Z</dcterms:created>
  <dcterms:modified xsi:type="dcterms:W3CDTF">2026-03-05T18:14:40.630Z</dcterms:modified>
</cp:coreProperties>
</file>

<file path=docProps/custom.xml><?xml version="1.0" encoding="utf-8"?>
<Properties xmlns="http://schemas.openxmlformats.org/officeDocument/2006/custom-properties" xmlns:vt="http://schemas.openxmlformats.org/officeDocument/2006/docPropsVTypes"/>
</file>