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DCAM Version 2 Deep-Dive</w:t>
      </w:r>
    </w:p>
    <w:p>
      <w:pPr>
        <w:spacing w:before="200"/>
        <w:jc w:val="center"/>
      </w:pPr>
      <w:r>
        <w:rPr>
          <w:rFonts w:ascii="Arial" w:cs="Arial" w:eastAsia="Arial" w:hAnsi="Arial"/>
          <w:color w:val="2E75B6"/>
          <w:sz w:val="40"/>
          <w:szCs w:val="40"/>
        </w:rPr>
        <w:t xml:space="preserve">Capability 6</w:t>
      </w:r>
    </w:p>
    <w:p>
      <w:pPr>
        <w:pBdr>
          <w:bottom w:val="single" w:color="2E75B6" w:sz="8" w:space="8"/>
        </w:pBdr>
        <w:spacing w:after="400" w:before="120"/>
        <w:jc w:val="center"/>
      </w:pPr>
      <w:r>
        <w:rPr>
          <w:rFonts w:ascii="Arial" w:cs="Arial" w:eastAsia="Arial" w:hAnsi="Arial"/>
          <w:b/>
          <w:bCs/>
          <w:color w:val="1B3A5C"/>
          <w:sz w:val="36"/>
          <w:szCs w:val="36"/>
        </w:rPr>
        <w:t xml:space="preserve">Data Privacy and Protection</w:t>
      </w:r>
    </w:p>
    <w:p>
      <w:pPr>
        <w:spacing w:before="600"/>
        <w:jc w:val="center"/>
      </w:pPr>
      <w:r>
        <w:rPr>
          <w:rFonts w:ascii="Arial" w:cs="Arial" w:eastAsia="Arial" w:hAnsi="Arial"/>
          <w:color w:val="333333"/>
          <w:sz w:val="28"/>
          <w:szCs w:val="28"/>
        </w:rPr>
        <w:t xml:space="preserve">Rackspace Technology, Inc.</w:t>
      </w:r>
    </w:p>
    <w:p>
      <w:pPr>
        <w:jc w:val="center"/>
      </w:pPr>
      <w:r>
        <w:rPr>
          <w:rFonts w:ascii="Arial" w:cs="Arial" w:eastAsia="Arial" w:hAnsi="Arial"/>
          <w:color w:val="666666"/>
          <w:sz w:val="24"/>
          <w:szCs w:val="24"/>
        </w:rPr>
        <w:t xml:space="preserve">Assessment Date: March 2026</w:t>
      </w:r>
    </w:p>
    <w:p>
      <w:pPr>
        <w:jc w:val="center"/>
      </w:pPr>
      <w:r>
        <w:rPr>
          <w:rFonts w:ascii="Arial" w:cs="Arial" w:eastAsia="Arial" w:hAnsi="Arial"/>
          <w:color w:val="666666"/>
          <w:sz w:val="20"/>
          <w:szCs w:val="20"/>
        </w:rPr>
        <w:t xml:space="preserve">Source: Enterprise Knowledge Graph | 3,060 entities | 7,614 relationships</w:t>
      </w:r>
    </w:p>
    <w:p>
      <w:pPr>
        <w:spacing w:before="400"/>
        <w:jc w:val="center"/>
      </w:pPr>
      <w:r>
        <w:rPr>
          <w:rFonts w:ascii="Arial" w:cs="Arial" w:eastAsia="Arial" w:hAnsi="Arial"/>
          <w:b/>
          <w:bCs/>
          <w:color w:val="27AE60"/>
          <w:sz w:val="28"/>
          <w:szCs w:val="28"/>
        </w:rPr>
        <w:t xml:space="preserve">Overall Capability Score: 4 — Managed</w:t>
      </w:r>
    </w:p>
    <w:p>
      <w:pPr>
        <w:spacing w:before="100"/>
        <w:jc w:val="center"/>
      </w:pPr>
      <w:r>
        <w:rPr>
          <w:rFonts w:ascii="Arial" w:cs="Arial" w:eastAsia="Arial" w:hAnsi="Arial"/>
          <w:b/>
          <w:bCs/>
          <w:color w:val="27AE60"/>
          <w:sz w:val="20"/>
          <w:szCs w:val="20"/>
        </w:rPr>
        <w:t xml:space="preserve">HIGHEST-SCORING CAPABILITY IN ENTIRE DCAM ASSESSMENT</w:t>
      </w:r>
    </w:p>
    <w:p>
      <w:pPr>
        <w:spacing w:before="200"/>
        <w:jc w:val="center"/>
      </w:pPr>
      <w:r>
        <w:rPr>
          <w:rFonts w:ascii="Arial" w:cs="Arial" w:eastAsia="Arial" w:hAnsi="Arial"/>
          <w:b/>
          <w:bCs/>
          <w:color w:val="C0392B"/>
          <w:sz w:val="20"/>
          <w:szCs w:val="20"/>
        </w:rPr>
        <w:t xml:space="preserve">Classification: Confidential</w:t>
      </w:r>
    </w:p>
    <w:p>
      <w:r>
        <w:br w:type="page"/>
      </w:r>
    </w:p>
    <w:p>
      <w:pPr>
        <w:pStyle w:val="Heading1"/>
        <w:spacing w:after="200" w:before="300"/>
      </w:pPr>
      <w:r>
        <w:rPr>
          <w:rFonts w:ascii="Arial" w:cs="Arial" w:eastAsia="Arial" w:hAnsi="Arial"/>
        </w:rPr>
        <w:t xml:space="preserve">1. Executive Summary: Privacy Paradox and Strategic Positioning</w:t>
      </w:r>
    </w:p>
    <w:p>
      <w:pPr>
        <w:spacing w:after="160" w:line="300"/>
      </w:pPr>
      <w:r>
        <w:rPr>
          <w:rFonts w:ascii="Arial" w:cs="Arial" w:eastAsia="Arial" w:hAnsi="Arial"/>
          <w:b w:val="false"/>
          <w:bCs w:val="false"/>
          <w:i w:val="false"/>
          <w:iCs w:val="false"/>
          <w:color w:val="333333"/>
          <w:sz w:val="22"/>
          <w:szCs w:val="22"/>
        </w:rPr>
        <w:t xml:space="preserve">Capability 6: Data Privacy and Protection stands as the highest-scoring capability in the entire DCAM v2 assessment at Score 4 (Managed), representing a composite achievement across five sub-capabilities. This finding merits careful analytical examination. Privacy management has reached operational maturity and regulatory compliance infrastructure is demonstrably robust. Yet this success exists atop a troubling foundation: the privacy program protects data assets whose quality, discovery, and life cycle management remain significantly underdeveloped. This is the Privacy Paradox: an inverted pyramid of maturity, where the most sophisticated layer sits above the least mature.</w:t>
      </w:r>
    </w:p>
    <w:p>
      <w:pPr>
        <w:spacing w:after="160" w:line="300"/>
      </w:pPr>
      <w:r>
        <w:rPr>
          <w:rFonts w:ascii="Arial" w:cs="Arial" w:eastAsia="Arial" w:hAnsi="Arial"/>
          <w:b w:val="false"/>
          <w:bCs w:val="false"/>
          <w:i w:val="false"/>
          <w:iCs w:val="false"/>
          <w:color w:val="333333"/>
          <w:sz w:val="22"/>
          <w:szCs w:val="22"/>
        </w:rPr>
        <w:t xml:space="preserve">Rackspace's privacy program operates across 20+ privacy regimes (GDPR, UK GDPR, CCPA/CPRA, India DPDP, Singapore PDPA, HIPAA, state privacy laws) with a dedicated team of 17 personnel split across two departments managing $4.34M in annual budget. The organization has designated a Chief Privacy Officer/DPO (role-093), implemented five core privacy policies with active enforcement, deployed preventive and detective controls across the privacy domain, established a proven incident response capability hardened by the December 2022 ransomware breach, and achieved formal regulatory adequacy certification (EU-US Data Privacy Framework). The infrastructure is mature, professionalized, and battle-tested.</w:t>
      </w:r>
    </w:p>
    <w:p>
      <w:pPr>
        <w:spacing w:after="160" w:line="300"/>
      </w:pPr>
      <w:r>
        <w:rPr>
          <w:rFonts w:ascii="Arial" w:cs="Arial" w:eastAsia="Arial" w:hAnsi="Arial"/>
          <w:b w:val="false"/>
          <w:bCs w:val="false"/>
          <w:i w:val="false"/>
          <w:iCs w:val="false"/>
          <w:color w:val="333333"/>
          <w:sz w:val="22"/>
          <w:szCs w:val="22"/>
        </w:rPr>
        <w:t xml:space="preserve">Yet beneath this governance layer lies a data management substrate scoring 2.6 (on a 1-5 scale) for Data Quality, 1.2 for Data Management Strategy, and 2.2 for Data Lifecycle. The KG reveals the tension explicitly: DD-015 (Personal Information) has comprehensive retention policies keyed to GDPR Art 5(1)(e) but contains zero populated quality targets. CTL-091 (Privacy Impact Assessment Process) enforces GDPR Art 35 requirements across business processes but cannot reliably identify which data assets require protection because data discovery, classification, and inventory capabilities remain in 'Developing' status (Capability 1, Score 2). The privacy program has built institutional and technical sophistication atop an immature data management foundation. The question becomes: can this structure withstand stress?</w:t>
      </w:r>
    </w:p>
    <w:p>
      <w:pPr>
        <w:pStyle w:val="Heading3"/>
        <w:spacing w:after="200" w:before="300"/>
      </w:pPr>
      <w:r>
        <w:rPr>
          <w:rFonts w:ascii="Arial" w:cs="Arial" w:eastAsia="Arial" w:hAnsi="Arial"/>
        </w:rPr>
        <w:t xml:space="preserve">The Seven Analytical Themes</w:t>
      </w:r>
    </w:p>
    <w:p>
      <w:pPr>
        <w:spacing w:after="160" w:line="300"/>
      </w:pPr>
      <w:r>
        <w:rPr>
          <w:rFonts w:ascii="Arial" w:cs="Arial" w:eastAsia="Arial" w:hAnsi="Arial"/>
          <w:b w:val="false"/>
          <w:bCs w:val="false"/>
          <w:i w:val="false"/>
          <w:iCs w:val="false"/>
          <w:color w:val="333333"/>
          <w:sz w:val="22"/>
          <w:szCs w:val="22"/>
        </w:rPr>
        <w:t xml:space="preserve">This deep-dive analysis is structured around seven interconnected themes that characterize Capability 6 and its position within the broader DCAM ecosystem:</w:t>
      </w:r>
    </w:p>
    <w:p>
      <w:pPr>
        <w:pStyle w:val="ListParagraph"/>
        <w:numPr>
          <w:ilvl w:val="0"/>
          <w:numId w:val="2"/>
        </w:numPr>
        <w:spacing w:after="100" w:line="280"/>
      </w:pPr>
      <w:r>
        <w:rPr>
          <w:rFonts w:ascii="Arial" w:cs="Arial" w:eastAsia="Arial" w:hAnsi="Arial"/>
          <w:color w:val="333333"/>
          <w:sz w:val="22"/>
          <w:szCs w:val="22"/>
        </w:rPr>
        <w:t xml:space="preserve">Theme 1: Privacy Paradox — Score 4 Built on Score 2 Foundations</w:t>
      </w:r>
    </w:p>
    <w:p>
      <w:pPr>
        <w:pStyle w:val="ListParagraph"/>
        <w:numPr>
          <w:ilvl w:val="0"/>
          <w:numId w:val="2"/>
        </w:numPr>
        <w:spacing w:after="100" w:line="280"/>
      </w:pPr>
      <w:r>
        <w:rPr>
          <w:rFonts w:ascii="Arial" w:cs="Arial" w:eastAsia="Arial" w:hAnsi="Arial"/>
          <w:color w:val="333333"/>
          <w:sz w:val="22"/>
          <w:szCs w:val="22"/>
        </w:rPr>
        <w:t xml:space="preserve">Theme 2: Two Data Protection Kingdoms — $4.34M Across 17 Heads</w:t>
      </w:r>
    </w:p>
    <w:p>
      <w:pPr>
        <w:pStyle w:val="ListParagraph"/>
        <w:numPr>
          <w:ilvl w:val="0"/>
          <w:numId w:val="2"/>
        </w:numPr>
        <w:spacing w:after="100" w:line="280"/>
      </w:pPr>
      <w:r>
        <w:rPr>
          <w:rFonts w:ascii="Arial" w:cs="Arial" w:eastAsia="Arial" w:hAnsi="Arial"/>
          <w:color w:val="333333"/>
          <w:sz w:val="22"/>
          <w:szCs w:val="22"/>
        </w:rPr>
        <w:t xml:space="preserve">Theme 3: Regulatory Jurisdiction Sprawl — 20+ Laws, One Team of 10</w:t>
      </w:r>
    </w:p>
    <w:p>
      <w:pPr>
        <w:pStyle w:val="ListParagraph"/>
        <w:numPr>
          <w:ilvl w:val="0"/>
          <w:numId w:val="2"/>
        </w:numPr>
        <w:spacing w:after="100" w:line="280"/>
      </w:pPr>
      <w:r>
        <w:rPr>
          <w:rFonts w:ascii="Arial" w:cs="Arial" w:eastAsia="Arial" w:hAnsi="Arial"/>
          <w:color w:val="333333"/>
          <w:sz w:val="22"/>
          <w:szCs w:val="22"/>
        </w:rPr>
        <w:t xml:space="preserve">Theme 4: Cross-Border Transfer — The Crown Jewel of Privacy Maturity</w:t>
      </w:r>
    </w:p>
    <w:p>
      <w:pPr>
        <w:pStyle w:val="ListParagraph"/>
        <w:numPr>
          <w:ilvl w:val="0"/>
          <w:numId w:val="2"/>
        </w:numPr>
        <w:spacing w:after="100" w:line="280"/>
      </w:pPr>
      <w:r>
        <w:rPr>
          <w:rFonts w:ascii="Arial" w:cs="Arial" w:eastAsia="Arial" w:hAnsi="Arial"/>
          <w:color w:val="333333"/>
          <w:sz w:val="22"/>
          <w:szCs w:val="22"/>
        </w:rPr>
        <w:t xml:space="preserve">Theme 5: December 2022 Breach — Crisis as Capability Accelerant</w:t>
      </w:r>
    </w:p>
    <w:p>
      <w:pPr>
        <w:pStyle w:val="ListParagraph"/>
        <w:numPr>
          <w:ilvl w:val="0"/>
          <w:numId w:val="2"/>
        </w:numPr>
        <w:spacing w:after="100" w:line="280"/>
      </w:pPr>
      <w:r>
        <w:rPr>
          <w:rFonts w:ascii="Arial" w:cs="Arial" w:eastAsia="Arial" w:hAnsi="Arial"/>
          <w:color w:val="333333"/>
          <w:sz w:val="22"/>
          <w:szCs w:val="22"/>
        </w:rPr>
        <w:t xml:space="preserve">Theme 6: The Measurement Void Even at Score 4</w:t>
      </w:r>
    </w:p>
    <w:p>
      <w:pPr>
        <w:pStyle w:val="ListParagraph"/>
        <w:numPr>
          <w:ilvl w:val="0"/>
          <w:numId w:val="2"/>
        </w:numPr>
        <w:spacing w:after="100" w:line="280"/>
      </w:pPr>
      <w:r>
        <w:rPr>
          <w:rFonts w:ascii="Arial" w:cs="Arial" w:eastAsia="Arial" w:hAnsi="Arial"/>
          <w:color w:val="333333"/>
          <w:sz w:val="22"/>
          <w:szCs w:val="22"/>
        </w:rPr>
        <w:t xml:space="preserve">Theme 7: Privacy as Revenue Architecture</w:t>
      </w:r>
    </w:p>
    <w:p>
      <w:r>
        <w:br w:type="page"/>
      </w:r>
    </w:p>
    <w:p>
      <w:pPr>
        <w:pStyle w:val="Heading1"/>
        <w:spacing w:after="200" w:before="300"/>
      </w:pPr>
      <w:r>
        <w:rPr>
          <w:rFonts w:ascii="Arial" w:cs="Arial" w:eastAsia="Arial" w:hAnsi="Arial"/>
        </w:rPr>
        <w:t xml:space="preserve">2. DCAM Maturity Landscape: Privacy Among Eight Capabilities</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DCAM v2 ALL CAPABILITIES — RELATIVE MATURITY PROFILE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CAP 6 ▲ DATA PRIVACY &amp; PROTECTION        Score: 4 (Managed)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Governance Layer (POL, DPO, DSR)                        │</w:t>
      </w:r>
    </w:p>
    <w:p>
      <w:pPr>
        <w:spacing w:after="0" w:line="240"/>
      </w:pPr>
      <w:r>
        <w:rPr>
          <w:rFonts w:ascii="Courier New" w:cs="Courier New" w:eastAsia="Courier New" w:hAnsi="Courier New"/>
          <w:color w:val="1B3A5C"/>
          <w:sz w:val="16"/>
          <w:szCs w:val="16"/>
        </w:rPr>
        <w:t xml:space="preserve">│        | ↑ Controls Layer (PIA, notification, consent)             │</w:t>
      </w:r>
    </w:p>
    <w:p>
      <w:pPr>
        <w:spacing w:after="0" w:line="240"/>
      </w:pPr>
      <w:r>
        <w:rPr>
          <w:rFonts w:ascii="Courier New" w:cs="Courier New" w:eastAsia="Courier New" w:hAnsi="Courier New"/>
          <w:color w:val="1B3A5C"/>
          <w:sz w:val="16"/>
          <w:szCs w:val="16"/>
        </w:rPr>
        <w:t xml:space="preserve">│        | ↑ Cross-border Architecture (SCCs, DPF)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CAP 5 Data Architecture         Score: 2.4 (Developing)            │</w:t>
      </w:r>
    </w:p>
    <w:p>
      <w:pPr>
        <w:spacing w:after="0" w:line="240"/>
      </w:pPr>
      <w:r>
        <w:rPr>
          <w:rFonts w:ascii="Courier New" w:cs="Courier New" w:eastAsia="Courier New" w:hAnsi="Courier New"/>
          <w:color w:val="1B3A5C"/>
          <w:sz w:val="16"/>
          <w:szCs w:val="16"/>
        </w:rPr>
        <w:t xml:space="preserve">│   CAP 4 Lifecycle Management      Score: 2.0 (Developing)            │</w:t>
      </w:r>
    </w:p>
    <w:p>
      <w:pPr>
        <w:spacing w:after="0" w:line="240"/>
      </w:pPr>
      <w:r>
        <w:rPr>
          <w:rFonts w:ascii="Courier New" w:cs="Courier New" w:eastAsia="Courier New" w:hAnsi="Courier New"/>
          <w:color w:val="1B3A5C"/>
          <w:sz w:val="16"/>
          <w:szCs w:val="16"/>
        </w:rPr>
        <w:t xml:space="preserve">│   CAP 3 Data Quality Mgmt         Score: 2.0 (Developing)            │</w:t>
      </w:r>
    </w:p>
    <w:p>
      <w:pPr>
        <w:spacing w:after="0" w:line="240"/>
      </w:pPr>
      <w:r>
        <w:rPr>
          <w:rFonts w:ascii="Courier New" w:cs="Courier New" w:eastAsia="Courier New" w:hAnsi="Courier New"/>
          <w:color w:val="1B3A5C"/>
          <w:sz w:val="16"/>
          <w:szCs w:val="16"/>
        </w:rPr>
        <w:t xml:space="preserve">│   CAP 2 Data Governance           Score: 2.2 (Developing)            │</w:t>
      </w:r>
    </w:p>
    <w:p>
      <w:pPr>
        <w:spacing w:after="0" w:line="240"/>
      </w:pPr>
      <w:r>
        <w:rPr>
          <w:rFonts w:ascii="Courier New" w:cs="Courier New" w:eastAsia="Courier New" w:hAnsi="Courier New"/>
          <w:color w:val="1B3A5C"/>
          <w:sz w:val="16"/>
          <w:szCs w:val="16"/>
        </w:rPr>
        <w:t xml:space="preserve">│   CAP 1 Data Discovery &amp; Class    Score: 2.0 (Developing)            │</w:t>
      </w:r>
    </w:p>
    <w:p>
      <w:pPr>
        <w:spacing w:after="0" w:line="240"/>
      </w:pPr>
      <w:r>
        <w:rPr>
          <w:rFonts w:ascii="Courier New" w:cs="Courier New" w:eastAsia="Courier New" w:hAnsi="Courier New"/>
          <w:color w:val="1B3A5C"/>
          <w:sz w:val="16"/>
          <w:szCs w:val="16"/>
        </w:rPr>
        <w:t xml:space="preserve">│   CAP 8 Analytics &amp; Insights      Score: 3.0 (Defined)               │</w:t>
      </w:r>
    </w:p>
    <w:p>
      <w:pPr>
        <w:spacing w:after="0" w:line="240"/>
      </w:pPr>
      <w:r>
        <w:rPr>
          <w:rFonts w:ascii="Courier New" w:cs="Courier New" w:eastAsia="Courier New" w:hAnsi="Courier New"/>
          <w:color w:val="1B3A5C"/>
          <w:sz w:val="16"/>
          <w:szCs w:val="16"/>
        </w:rPr>
        <w:t xml:space="preserve">│   CAP 7 Data Integration          Score: 3.2 (Defined)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OBSERVATION: Privacy matures atop immature data foundations       │</w:t>
      </w:r>
    </w:p>
    <w:p>
      <w:pPr>
        <w:spacing w:after="0" w:line="240"/>
      </w:pPr>
      <w:r>
        <w:rPr>
          <w:rFonts w:ascii="Courier New" w:cs="Courier New" w:eastAsia="Courier New" w:hAnsi="Courier New"/>
          <w:color w:val="1B3A5C"/>
          <w:sz w:val="16"/>
          <w:szCs w:val="16"/>
        </w:rPr>
        <w:t xml:space="preserve">│   RISK: Pyramid inversion may mask vulnerabilities in lower tiers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This visualization reveals the structural paradox. Capability 6 achieves the highest maturity (4.0) while sitting immediately above capabilities scoring 2.0-2.4 (Developing tier). The privacy program cannot reliably discover what it must protect (Cap 1), does not yet manage the lifecycle of protected data (Cap 4), and lacks quality assurance on the personal information it handles (Cap 3). The inverted pyramid is a feature of the assessment, not a bug: privacy compliance can be achieved through governance and process even when underlying data capabilities are immature. But this structure creates vulnerability.</w:t>
      </w:r>
    </w:p>
    <w:p>
      <w:r>
        <w:br w:type="page"/>
      </w:r>
    </w:p>
    <w:p>
      <w:pPr>
        <w:pStyle w:val="Heading1"/>
        <w:spacing w:after="200" w:before="300"/>
      </w:pPr>
      <w:r>
        <w:rPr>
          <w:rFonts w:ascii="Arial" w:cs="Arial" w:eastAsia="Arial" w:hAnsi="Arial"/>
        </w:rPr>
        <w:t xml:space="preserve">3. Sub-Capability Score Summary: All Score 3 or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 Indicator</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6.1: Privacy Program Governance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6.2: Privacy Impact Assessments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Improving</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6.3: Data Protection Controls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6.4: Cross-Border Data Transfers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Stable</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6.5: Data Subject Rights Management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Improving</w:t>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All five sub-capabilities score at the Defined level (3) or higher, with four achieving full Managed status (4). Sub-Capability 6.5 (Data Subject Rights Management) scores 3, indicating that while the organization responds to DSRs within regulatory timelines and has established processes, the capability is not yet fully automated or optimized. No privacy sub-capability falls below the Defined threshold, reflecting comprehensive regulatory alignment.</w:t>
      </w:r>
    </w:p>
    <w:p>
      <w:pPr>
        <w:pStyle w:val="Heading3"/>
        <w:spacing w:after="200" w:before="300"/>
      </w:pPr>
      <w:r>
        <w:rPr>
          <w:rFonts w:ascii="Arial" w:cs="Arial" w:eastAsia="Arial" w:hAnsi="Arial"/>
        </w:rPr>
        <w:t xml:space="preserve">Sub-Capability Performance Distribution</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SUB-CAPABILITY SCORES: DISTRIBUTION AND POSITIONING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1-Initial  2-Developing  3-Defined  4-Managed  5-Optimized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    [6.1]▲     [6.3]▲    │</w:t>
      </w:r>
    </w:p>
    <w:p>
      <w:pPr>
        <w:spacing w:after="0" w:line="240"/>
      </w:pPr>
      <w:r>
        <w:rPr>
          <w:rFonts w:ascii="Courier New" w:cs="Courier New" w:eastAsia="Courier New" w:hAnsi="Courier New"/>
          <w:color w:val="1B3A5C"/>
          <w:sz w:val="16"/>
          <w:szCs w:val="16"/>
        </w:rPr>
        <w:t xml:space="preserve">│      |            |           |    [6.2]▲     [6.4]▲    │</w:t>
      </w:r>
    </w:p>
    <w:p>
      <w:pPr>
        <w:spacing w:after="0" w:line="240"/>
      </w:pPr>
      <w:r>
        <w:rPr>
          <w:rFonts w:ascii="Courier New" w:cs="Courier New" w:eastAsia="Courier New" w:hAnsi="Courier New"/>
          <w:color w:val="1B3A5C"/>
          <w:sz w:val="16"/>
          <w:szCs w:val="16"/>
        </w:rPr>
        <w:t xml:space="preserve">│      |            |      [6.5]▲          |           |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      Composite: 3.8                 │</w:t>
      </w:r>
    </w:p>
    <w:p>
      <w:pPr>
        <w:spacing w:after="0" w:line="240"/>
      </w:pPr>
      <w:r>
        <w:rPr>
          <w:rFonts w:ascii="Courier New" w:cs="Courier New" w:eastAsia="Courier New" w:hAnsi="Courier New"/>
          <w:color w:val="1B3A5C"/>
          <w:sz w:val="16"/>
          <w:szCs w:val="16"/>
        </w:rPr>
        <w:t xml:space="preserve">│      |            |           |     (Average of 5)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KEY: Cap 6 is only capability with zero sub-caps &lt;3 (Defined)     │</w:t>
      </w:r>
    </w:p>
    <w:p>
      <w:pPr>
        <w:spacing w:after="0" w:line="240"/>
      </w:pPr>
      <w:r>
        <w:rPr>
          <w:rFonts w:ascii="Courier New" w:cs="Courier New" w:eastAsia="Courier New" w:hAnsi="Courier New"/>
          <w:color w:val="1B3A5C"/>
          <w:sz w:val="16"/>
          <w:szCs w:val="16"/>
        </w:rPr>
        <w:t xml:space="preserve">│        4 of 5 achieve Managed status (highest tier for this group)   │</w:t>
      </w:r>
    </w:p>
    <w:p>
      <w:pPr>
        <w:spacing w:after="0" w:line="240"/>
      </w:pPr>
      <w:r>
        <w:rPr>
          <w:rFonts w:ascii="Courier New" w:cs="Courier New" w:eastAsia="Courier New" w:hAnsi="Courier New"/>
          <w:color w:val="1B3A5C"/>
          <w:sz w:val="16"/>
          <w:szCs w:val="16"/>
        </w:rPr>
        <w:t xml:space="preserve">│        6.5 the only sub-cap below 4; trend shows \'Improving\'        │</w:t>
      </w:r>
    </w:p>
    <w:p>
      <w:pPr>
        <w:spacing w:after="0" w:line="240"/>
      </w:pPr>
      <w:r>
        <w:rPr>
          <w:rFonts w:ascii="Courier New" w:cs="Courier New" w:eastAsia="Courier New" w:hAnsi="Courier New"/>
          <w:color w:val="1B3A5C"/>
          <w:sz w:val="16"/>
          <w:szCs w:val="16"/>
        </w:rPr>
        <w:t xml:space="preserve">└─────────────────────────────────────────────────────────────────┘</w:t>
      </w:r>
    </w:p>
    <w:p>
      <w:pPr>
        <w:spacing w:after="200"/>
      </w:pPr>
    </w:p>
    <w:p>
      <w:r>
        <w:br w:type="page"/>
      </w:r>
    </w:p>
    <w:p>
      <w:pPr>
        <w:pStyle w:val="Heading1"/>
        <w:spacing w:after="200" w:before="300"/>
      </w:pPr>
      <w:r>
        <w:rPr>
          <w:rFonts w:ascii="Arial" w:cs="Arial" w:eastAsia="Arial" w:hAnsi="Arial"/>
        </w:rPr>
        <w:t xml:space="preserve">4. Organizational Structure: Privacy Governance and Technical Data Protection</w:t>
      </w:r>
    </w:p>
    <w:p>
      <w:pPr>
        <w:spacing w:after="160" w:line="300"/>
      </w:pPr>
      <w:r>
        <w:rPr>
          <w:rFonts w:ascii="Arial" w:cs="Arial" w:eastAsia="Arial" w:hAnsi="Arial"/>
          <w:b w:val="false"/>
          <w:bCs w:val="false"/>
          <w:i w:val="false"/>
          <w:iCs w:val="false"/>
          <w:color w:val="333333"/>
          <w:sz w:val="22"/>
          <w:szCs w:val="22"/>
        </w:rPr>
        <w:t xml:space="preserve">Rackspace's privacy and data protection capabilities are distributed across two separate organizational units with distinct mandates, budgets, leadership reporting lines, and operational models. This bifurcation reflects a structural reality common in organizations managing large privacy compliance programs: governance and technical data protection are frequently separated. Understanding this structure is essential to assessing both the maturity of privacy management and the risks of the organizational design.</w:t>
      </w:r>
    </w:p>
    <w:p>
      <w:pPr>
        <w:pStyle w:val="Heading2"/>
        <w:spacing w:after="200" w:before="300"/>
      </w:pPr>
      <w:r>
        <w:rPr>
          <w:rFonts w:ascii="Arial" w:cs="Arial" w:eastAsia="Arial" w:hAnsi="Arial"/>
        </w:rPr>
        <w:t xml:space="preserve">Department 242: Privacy &amp; Data Protection (Governance)</w:t>
      </w:r>
    </w:p>
    <w:p>
      <w:pPr>
        <w:spacing w:after="160" w:line="300"/>
      </w:pPr>
      <w:r>
        <w:rPr>
          <w:rFonts w:ascii="Arial" w:cs="Arial" w:eastAsia="Arial" w:hAnsi="Arial"/>
          <w:b w:val="false"/>
          <w:bCs w:val="false"/>
          <w:i w:val="false"/>
          <w:iCs w:val="false"/>
          <w:color w:val="333333"/>
          <w:sz w:val="22"/>
          <w:szCs w:val="22"/>
        </w:rPr>
        <w:t xml:space="preserve">Department 242, with code designation PRIV, operates under a budget allocation of $3,250,000 annually with a headcount of 10 full-time equivalent personnel. The department reports to the Office of the Chief Executive (ou-003), reflecting the strategic importance of privacy compliance at the executive level. The mandate for dept-242 encompasses:</w:t>
      </w:r>
    </w:p>
    <w:p>
      <w:pPr>
        <w:pStyle w:val="ListParagraph"/>
        <w:numPr>
          <w:ilvl w:val="0"/>
          <w:numId w:val="2"/>
        </w:numPr>
        <w:spacing w:after="100" w:line="280"/>
      </w:pPr>
      <w:r>
        <w:rPr>
          <w:rFonts w:ascii="Arial" w:cs="Arial" w:eastAsia="Arial" w:hAnsi="Arial"/>
          <w:color w:val="333333"/>
          <w:sz w:val="22"/>
          <w:szCs w:val="22"/>
        </w:rPr>
        <w:t xml:space="preserve">GDPR and global privacy compliance framework management</w:t>
      </w:r>
    </w:p>
    <w:p>
      <w:pPr>
        <w:pStyle w:val="ListParagraph"/>
        <w:numPr>
          <w:ilvl w:val="0"/>
          <w:numId w:val="2"/>
        </w:numPr>
        <w:spacing w:after="100" w:line="280"/>
      </w:pPr>
      <w:r>
        <w:rPr>
          <w:rFonts w:ascii="Arial" w:cs="Arial" w:eastAsia="Arial" w:hAnsi="Arial"/>
          <w:color w:val="333333"/>
          <w:sz w:val="22"/>
          <w:szCs w:val="22"/>
        </w:rPr>
        <w:t xml:space="preserve">Privacy notice development and enforcement (POL-006)</w:t>
      </w:r>
    </w:p>
    <w:p>
      <w:pPr>
        <w:pStyle w:val="ListParagraph"/>
        <w:numPr>
          <w:ilvl w:val="0"/>
          <w:numId w:val="2"/>
        </w:numPr>
        <w:spacing w:after="100" w:line="280"/>
      </w:pPr>
      <w:r>
        <w:rPr>
          <w:rFonts w:ascii="Arial" w:cs="Arial" w:eastAsia="Arial" w:hAnsi="Arial"/>
          <w:color w:val="333333"/>
          <w:sz w:val="22"/>
          <w:szCs w:val="22"/>
        </w:rPr>
        <w:t xml:space="preserve">Data Processing Agreements (DPAs) with customer and vendor organizations</w:t>
      </w:r>
    </w:p>
    <w:p>
      <w:pPr>
        <w:pStyle w:val="ListParagraph"/>
        <w:numPr>
          <w:ilvl w:val="0"/>
          <w:numId w:val="2"/>
        </w:numPr>
        <w:spacing w:after="100" w:line="280"/>
      </w:pPr>
      <w:r>
        <w:rPr>
          <w:rFonts w:ascii="Arial" w:cs="Arial" w:eastAsia="Arial" w:hAnsi="Arial"/>
          <w:color w:val="333333"/>
          <w:sz w:val="22"/>
          <w:szCs w:val="22"/>
        </w:rPr>
        <w:t xml:space="preserve">Data Subject Rights (DSR) request management and fulfillment (policy POL-053)</w:t>
      </w:r>
    </w:p>
    <w:p>
      <w:pPr>
        <w:pStyle w:val="ListParagraph"/>
        <w:numPr>
          <w:ilvl w:val="0"/>
          <w:numId w:val="2"/>
        </w:numPr>
        <w:spacing w:after="100" w:line="280"/>
      </w:pPr>
      <w:r>
        <w:rPr>
          <w:rFonts w:ascii="Arial" w:cs="Arial" w:eastAsia="Arial" w:hAnsi="Arial"/>
          <w:color w:val="333333"/>
          <w:sz w:val="22"/>
          <w:szCs w:val="22"/>
        </w:rPr>
        <w:t xml:space="preserve">Privacy Impact Assessment (PIA) initiation and review process (POL-040, CTL-091)</w:t>
      </w:r>
    </w:p>
    <w:p>
      <w:pPr>
        <w:pStyle w:val="ListParagraph"/>
        <w:numPr>
          <w:ilvl w:val="0"/>
          <w:numId w:val="2"/>
        </w:numPr>
        <w:spacing w:after="100" w:line="280"/>
      </w:pPr>
      <w:r>
        <w:rPr>
          <w:rFonts w:ascii="Arial" w:cs="Arial" w:eastAsia="Arial" w:hAnsi="Arial"/>
          <w:color w:val="333333"/>
          <w:sz w:val="22"/>
          <w:szCs w:val="22"/>
        </w:rPr>
        <w:t xml:space="preserve">Breach notification coordination across multiple regulatory regimes (POL-027)</w:t>
      </w:r>
    </w:p>
    <w:p>
      <w:pPr>
        <w:spacing w:after="160" w:line="300"/>
      </w:pPr>
      <w:r>
        <w:rPr>
          <w:rFonts w:ascii="Arial" w:cs="Arial" w:eastAsia="Arial" w:hAnsi="Arial"/>
          <w:b w:val="false"/>
          <w:bCs w:val="false"/>
          <w:i w:val="false"/>
          <w:iCs w:val="false"/>
          <w:color w:val="333333"/>
          <w:sz w:val="22"/>
          <w:szCs w:val="22"/>
        </w:rPr>
        <w:t xml:space="preserve">The Chief Privacy Officer/DPO (role-093, E1 Executive tier, $325K salary band) is located within dept-242 and serves as the principal privacy compliance officer for Rackspace globally. This role carries privileged access permissions and responsibility for designating privacy representatives in non-EU jurisdictions, coordinating DPA execution, and overseeing GDPR compliance. The CPO also manages Privacy Analyst positions (role-097, technical standard access tier), whose responsibilities include conducting Data Subject Access Requests (DSARs), supporting Privacy Impact Assessments, maintaining data processing inventories, and validating cross-border transfer mechanisms.</w:t>
      </w:r>
    </w:p>
    <w:p>
      <w:pPr>
        <w:pStyle w:val="Heading2"/>
        <w:spacing w:after="200" w:before="300"/>
      </w:pPr>
      <w:r>
        <w:rPr>
          <w:rFonts w:ascii="Arial" w:cs="Arial" w:eastAsia="Arial" w:hAnsi="Arial"/>
        </w:rPr>
        <w:t xml:space="preserve">Department 053: Data Protection (Technical)</w:t>
      </w:r>
    </w:p>
    <w:p>
      <w:pPr>
        <w:spacing w:after="160" w:line="300"/>
      </w:pPr>
      <w:r>
        <w:rPr>
          <w:rFonts w:ascii="Arial" w:cs="Arial" w:eastAsia="Arial" w:hAnsi="Arial"/>
          <w:b w:val="false"/>
          <w:bCs w:val="false"/>
          <w:i w:val="false"/>
          <w:iCs w:val="false"/>
          <w:color w:val="333333"/>
          <w:sz w:val="22"/>
          <w:szCs w:val="22"/>
        </w:rPr>
        <w:t xml:space="preserve">Department 053, with code designation DPRO, operates under a separate budget allocation of $1,092,000 annually with a headcount of 7 full-time equivalent personnel. Unlike dept-242, which reports to the CEO's office, dept-053 reporting lines are not explicitly defined in the KG, but the department is clearly positioned as a technical data engineering function. The mandate for dept-053 encompasses:</w:t>
      </w:r>
    </w:p>
    <w:p>
      <w:pPr>
        <w:pStyle w:val="ListParagraph"/>
        <w:numPr>
          <w:ilvl w:val="0"/>
          <w:numId w:val="2"/>
        </w:numPr>
        <w:spacing w:after="100" w:line="280"/>
      </w:pPr>
      <w:r>
        <w:rPr>
          <w:rFonts w:ascii="Arial" w:cs="Arial" w:eastAsia="Arial" w:hAnsi="Arial"/>
          <w:color w:val="333333"/>
          <w:sz w:val="22"/>
          <w:szCs w:val="22"/>
        </w:rPr>
        <w:t xml:space="preserve">Data Loss Prevention (DLP) implementation and monitoring (CTL-032)</w:t>
      </w:r>
    </w:p>
    <w:p>
      <w:pPr>
        <w:pStyle w:val="ListParagraph"/>
        <w:numPr>
          <w:ilvl w:val="0"/>
          <w:numId w:val="2"/>
        </w:numPr>
        <w:spacing w:after="100" w:line="280"/>
      </w:pPr>
      <w:r>
        <w:rPr>
          <w:rFonts w:ascii="Arial" w:cs="Arial" w:eastAsia="Arial" w:hAnsi="Arial"/>
          <w:color w:val="333333"/>
          <w:sz w:val="22"/>
          <w:szCs w:val="22"/>
        </w:rPr>
        <w:t xml:space="preserve">Encryption infrastructure deployment: encryption in transit (CTL-029) and at rest (CTL-030)</w:t>
      </w:r>
    </w:p>
    <w:p>
      <w:pPr>
        <w:pStyle w:val="ListParagraph"/>
        <w:numPr>
          <w:ilvl w:val="0"/>
          <w:numId w:val="2"/>
        </w:numPr>
        <w:spacing w:after="100" w:line="280"/>
      </w:pPr>
      <w:r>
        <w:rPr>
          <w:rFonts w:ascii="Arial" w:cs="Arial" w:eastAsia="Arial" w:hAnsi="Arial"/>
          <w:color w:val="333333"/>
          <w:sz w:val="22"/>
          <w:szCs w:val="22"/>
        </w:rPr>
        <w:t xml:space="preserve">Data classification and tagging in production environments</w:t>
      </w:r>
    </w:p>
    <w:p>
      <w:pPr>
        <w:pStyle w:val="ListParagraph"/>
        <w:numPr>
          <w:ilvl w:val="0"/>
          <w:numId w:val="2"/>
        </w:numPr>
        <w:spacing w:after="100" w:line="280"/>
      </w:pPr>
      <w:r>
        <w:rPr>
          <w:rFonts w:ascii="Arial" w:cs="Arial" w:eastAsia="Arial" w:hAnsi="Arial"/>
          <w:color w:val="333333"/>
          <w:sz w:val="22"/>
          <w:szCs w:val="22"/>
        </w:rPr>
        <w:t xml:space="preserve">Data sovereignty enforcement across multi-cloud and on-premises infrastructure</w:t>
      </w:r>
    </w:p>
    <w:p>
      <w:pPr>
        <w:pStyle w:val="ListParagraph"/>
        <w:numPr>
          <w:ilvl w:val="0"/>
          <w:numId w:val="2"/>
        </w:numPr>
        <w:spacing w:after="100" w:line="280"/>
      </w:pPr>
      <w:r>
        <w:rPr>
          <w:rFonts w:ascii="Arial" w:cs="Arial" w:eastAsia="Arial" w:hAnsi="Arial"/>
          <w:color w:val="333333"/>
          <w:sz w:val="22"/>
          <w:szCs w:val="22"/>
        </w:rPr>
        <w:t xml:space="preserve">Key management and HSM administration</w:t>
      </w:r>
    </w:p>
    <w:p>
      <w:pPr>
        <w:pStyle w:val="ListParagraph"/>
        <w:numPr>
          <w:ilvl w:val="0"/>
          <w:numId w:val="2"/>
        </w:numPr>
        <w:spacing w:after="100" w:line="280"/>
      </w:pPr>
      <w:r>
        <w:rPr>
          <w:rFonts w:ascii="Arial" w:cs="Arial" w:eastAsia="Arial" w:hAnsi="Arial"/>
          <w:color w:val="333333"/>
          <w:sz w:val="22"/>
          <w:szCs w:val="22"/>
        </w:rPr>
        <w:t xml:space="preserve">PCI DSS CDE (Cardholder Data Environment) isolation and compliance (CTL-291)</w:t>
      </w:r>
    </w:p>
    <w:p>
      <w:pPr>
        <w:spacing w:after="160" w:line="300"/>
      </w:pPr>
      <w:r>
        <w:rPr>
          <w:rFonts w:ascii="Arial" w:cs="Arial" w:eastAsia="Arial" w:hAnsi="Arial"/>
          <w:b w:val="false"/>
          <w:bCs w:val="false"/>
          <w:i w:val="false"/>
          <w:iCs w:val="false"/>
          <w:color w:val="333333"/>
          <w:sz w:val="22"/>
          <w:szCs w:val="22"/>
        </w:rPr>
        <w:t xml:space="preserve">The Data Protection Specialist role (role-258, P4 Professional tier, $156K salary band) is located within dept-053 and carries elevated/privileged access permissions for encryption key management, DLP rule configuration, and classification schema administration. Unlike the Privacy Analyst role in dept-242, which focuses on policy and process compliance, the Data Protection Specialist role is operationally focused on technical data controls.</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ORGANIZATIONAL STRUCTURE: TWO KINGDOMS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DEPT 242 (PRIV)              DEPT 053 (DPRO)                      │</w:t>
      </w:r>
    </w:p>
    <w:p>
      <w:pPr>
        <w:spacing w:after="0" w:line="240"/>
      </w:pPr>
      <w:r>
        <w:rPr>
          <w:rFonts w:ascii="Courier New" w:cs="Courier New" w:eastAsia="Courier New" w:hAnsi="Courier New"/>
          <w:color w:val="1B3A5C"/>
          <w:sz w:val="16"/>
          <w:szCs w:val="16"/>
        </w:rPr>
        <w:t xml:space="preserve">│   Privacy &amp; Data Protection     Data Protection (Technical)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Budget: $3.25M               Budget: $1.09M                      │</w:t>
      </w:r>
    </w:p>
    <w:p>
      <w:pPr>
        <w:spacing w:after="0" w:line="240"/>
      </w:pPr>
      <w:r>
        <w:rPr>
          <w:rFonts w:ascii="Courier New" w:cs="Courier New" w:eastAsia="Courier New" w:hAnsi="Courier New"/>
          <w:color w:val="1B3A5C"/>
          <w:sz w:val="16"/>
          <w:szCs w:val="16"/>
        </w:rPr>
        <w:t xml:space="preserve">│   Headcount: 10                Headcount: 7                        │</w:t>
      </w:r>
    </w:p>
    <w:p>
      <w:pPr>
        <w:spacing w:after="0" w:line="240"/>
      </w:pPr>
      <w:r>
        <w:rPr>
          <w:rFonts w:ascii="Courier New" w:cs="Courier New" w:eastAsia="Courier New" w:hAnsi="Courier New"/>
          <w:color w:val="1B3A5C"/>
          <w:sz w:val="16"/>
          <w:szCs w:val="16"/>
        </w:rPr>
        <w:t xml:space="preserve">│   Reports to: CEO Office       Reports to: [Not specified]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CPO/DPO (role-093)           Data Prot. Specialist (role-258)   │</w:t>
      </w:r>
    </w:p>
    <w:p>
      <w:pPr>
        <w:spacing w:after="0" w:line="240"/>
      </w:pPr>
      <w:r>
        <w:rPr>
          <w:rFonts w:ascii="Courier New" w:cs="Courier New" w:eastAsia="Courier New" w:hAnsi="Courier New"/>
          <w:color w:val="1B3A5C"/>
          <w:sz w:val="16"/>
          <w:szCs w:val="16"/>
        </w:rPr>
        <w:t xml:space="preserve">│   Privacy Analysts (role-097)  Technical focus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Governance &amp; Compliance      Technical Infrastructure            │</w:t>
      </w:r>
    </w:p>
    <w:p>
      <w:pPr>
        <w:spacing w:after="0" w:line="240"/>
      </w:pPr>
      <w:r>
        <w:rPr>
          <w:rFonts w:ascii="Courier New" w:cs="Courier New" w:eastAsia="Courier New" w:hAnsi="Courier New"/>
          <w:color w:val="1B3A5C"/>
          <w:sz w:val="16"/>
          <w:szCs w:val="16"/>
        </w:rPr>
        <w:t xml:space="preserve">│   - GDPR, CCPA, DPA            - Encryption in/out of transit      │</w:t>
      </w:r>
    </w:p>
    <w:p>
      <w:pPr>
        <w:spacing w:after="0" w:line="240"/>
      </w:pPr>
      <w:r>
        <w:rPr>
          <w:rFonts w:ascii="Courier New" w:cs="Courier New" w:eastAsia="Courier New" w:hAnsi="Courier New"/>
          <w:color w:val="1B3A5C"/>
          <w:sz w:val="16"/>
          <w:szCs w:val="16"/>
        </w:rPr>
        <w:t xml:space="preserve">│   - DSR management             - DLP policies &amp; monitoring         │</w:t>
      </w:r>
    </w:p>
    <w:p>
      <w:pPr>
        <w:spacing w:after="0" w:line="240"/>
      </w:pPr>
      <w:r>
        <w:rPr>
          <w:rFonts w:ascii="Courier New" w:cs="Courier New" w:eastAsia="Courier New" w:hAnsi="Courier New"/>
          <w:color w:val="1B3A5C"/>
          <w:sz w:val="16"/>
          <w:szCs w:val="16"/>
        </w:rPr>
        <w:t xml:space="preserve">│   - Privacy notices            - Data classification               │</w:t>
      </w:r>
    </w:p>
    <w:p>
      <w:pPr>
        <w:spacing w:after="0" w:line="240"/>
      </w:pPr>
      <w:r>
        <w:rPr>
          <w:rFonts w:ascii="Courier New" w:cs="Courier New" w:eastAsia="Courier New" w:hAnsi="Courier New"/>
          <w:color w:val="1B3A5C"/>
          <w:sz w:val="16"/>
          <w:szCs w:val="16"/>
        </w:rPr>
        <w:t xml:space="preserve">│   - Breach notification        - Key management                    │</w:t>
      </w:r>
    </w:p>
    <w:p>
      <w:pPr>
        <w:spacing w:after="0" w:line="240"/>
      </w:pPr>
      <w:r>
        <w:rPr>
          <w:rFonts w:ascii="Courier New" w:cs="Courier New" w:eastAsia="Courier New" w:hAnsi="Courier New"/>
          <w:color w:val="1B3A5C"/>
          <w:sz w:val="16"/>
          <w:szCs w:val="16"/>
        </w:rPr>
        <w:t xml:space="preserve">│   - PIA process                - PCI DSS CDE isolation            │</w:t>
      </w:r>
    </w:p>
    <w:p>
      <w:pPr>
        <w:spacing w:after="0" w:line="240"/>
      </w:pPr>
      <w:r>
        <w:rPr>
          <w:rFonts w:ascii="Courier New" w:cs="Courier New" w:eastAsia="Courier New" w:hAnsi="Courier New"/>
          <w:color w:val="1B3A5C"/>
          <w:sz w:val="16"/>
          <w:szCs w:val="16"/>
        </w:rPr>
        <w:t xml:space="preserve">│   - Policy enforcement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COORDINATION RISK: No explicit cross-department governance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3"/>
        <w:spacing w:after="200" w:before="300"/>
      </w:pPr>
      <w:r>
        <w:rPr>
          <w:rFonts w:ascii="Arial" w:cs="Arial" w:eastAsia="Arial" w:hAnsi="Arial"/>
        </w:rPr>
        <w:t xml:space="preserve">Theme 2 Analysis: Structural Coordination Risk</w:t>
      </w:r>
    </w:p>
    <w:p>
      <w:pPr>
        <w:spacing w:after="160" w:line="300"/>
      </w:pPr>
      <w:r>
        <w:rPr>
          <w:rFonts w:ascii="Arial" w:cs="Arial" w:eastAsia="Arial" w:hAnsi="Arial"/>
          <w:b w:val="false"/>
          <w:bCs w:val="false"/>
          <w:i w:val="false"/>
          <w:iCs w:val="false"/>
          <w:color w:val="333333"/>
          <w:sz w:val="22"/>
          <w:szCs w:val="22"/>
        </w:rPr>
        <w:t xml:space="preserve">The bifurcation creates both efficiency and risk. Separating governance from technical implementation allows each team to specialize: dept-242 focuses on regulatory interpretation, policy drafting, and compliance evidence gathering; dept-053 focuses on infrastructure deployment, automation, and technical control operationalization. This separation is operationally sound and reflects industry best practice.</w:t>
      </w:r>
    </w:p>
    <w:p>
      <w:pPr>
        <w:spacing w:after="160" w:line="300"/>
      </w:pPr>
      <w:r>
        <w:rPr>
          <w:rFonts w:ascii="Arial" w:cs="Arial" w:eastAsia="Arial" w:hAnsi="Arial"/>
          <w:b w:val="false"/>
          <w:bCs w:val="false"/>
          <w:i w:val="false"/>
          <w:iCs w:val="false"/>
          <w:color w:val="333333"/>
          <w:sz w:val="22"/>
          <w:szCs w:val="22"/>
        </w:rPr>
        <w:t xml:space="preserve">However, the structure introduces coordination dependencies that are not explicitly governed. The CPO/DPO sits in dept-242 but depends entirely on dept-053 for the technical data protection controls that make compliance possible. Cross-border transfer mechanisms (CTL-035, CTL-330, POL-050) require joint ownership: dept-242 negotiates Standard Contractual Clauses (SCCs) and Transfer Impact Assessments (TIAs) while dept-053 implements the technical safeguards (encryption, pseudonymization, access controls) that satisfy the 'essential equivalence' standard of the EU-US Data Privacy Framework. If either organization fails or diverges, the privacy program breaks.</w:t>
      </w:r>
    </w:p>
    <w:p>
      <w:pPr>
        <w:spacing w:after="160" w:line="300"/>
      </w:pPr>
      <w:r>
        <w:rPr>
          <w:rFonts w:ascii="Arial" w:cs="Arial" w:eastAsia="Arial" w:hAnsi="Arial"/>
          <w:b w:val="false"/>
          <w:bCs w:val="false"/>
          <w:i w:val="false"/>
          <w:iCs w:val="false"/>
          <w:color w:val="333333"/>
          <w:sz w:val="22"/>
          <w:szCs w:val="22"/>
        </w:rPr>
        <w:t xml:space="preserve">The combined budget of $4.34M across 17 personnel ($255K average fully-loaded cost per person) managing privacy compliance across 120 countries and 20+ regulatory regimes is both impressive and structurally stretched. One personnel departure from either department creates immediate coverage gaps. A single regulatory investigation spanning both policy and technical evidence-gathering (e.g., a GDPR enforcement action requiring both DPA analysis and encryption key audit trails) would activate full organizational load.</w:t>
      </w:r>
    </w:p>
    <w:p>
      <w:r>
        <w:br w:type="page"/>
      </w:r>
    </w:p>
    <w:p>
      <w:pPr>
        <w:pStyle w:val="Heading1"/>
        <w:spacing w:after="200" w:before="300"/>
      </w:pPr>
      <w:r>
        <w:rPr>
          <w:rFonts w:ascii="Arial" w:cs="Arial" w:eastAsia="Arial" w:hAnsi="Arial"/>
        </w:rPr>
        <w:t xml:space="preserve">5. Regulatory Jurisdiction Sprawl: 20+ Privacy Laws Across 120 Countries</w:t>
      </w:r>
    </w:p>
    <w:p>
      <w:pPr>
        <w:spacing w:after="160" w:line="300"/>
      </w:pPr>
      <w:r>
        <w:rPr>
          <w:rFonts w:ascii="Arial" w:cs="Arial" w:eastAsia="Arial" w:hAnsi="Arial"/>
          <w:b w:val="false"/>
          <w:bCs w:val="false"/>
          <w:i w:val="false"/>
          <w:iCs w:val="false"/>
          <w:color w:val="333333"/>
          <w:sz w:val="22"/>
          <w:szCs w:val="22"/>
        </w:rPr>
        <w:t xml:space="preserve">Rackspace operates as a managed services provider across 120 countries, with on-premises infrastructure, cloud compute, and customer-deployed systems spanning multiple jurisdictions simultaneously. This global operational footprint creates exposure to privacy regulation in nearly every major market. The knowledge graph documents 20+ privacy-specific regulations, each with unique compliance requirements, data subject rights frameworks, notification timelines, and penalty structures.</w:t>
      </w:r>
    </w:p>
    <w:p>
      <w:pPr>
        <w:pStyle w:val="Heading2"/>
        <w:spacing w:after="200" w:before="300"/>
      </w:pPr>
      <w:r>
        <w:rPr>
          <w:rFonts w:ascii="Arial" w:cs="Arial" w:eastAsia="Arial" w:hAnsi="Arial"/>
        </w:rPr>
        <w:t xml:space="preserve">Primary Regulatory Regime: GDPR and Variants</w:t>
      </w:r>
    </w:p>
    <w:p>
      <w:pPr>
        <w:spacing w:after="160" w:line="300"/>
      </w:pPr>
      <w:r>
        <w:rPr>
          <w:rFonts w:ascii="Arial" w:cs="Arial" w:eastAsia="Arial" w:hAnsi="Arial"/>
          <w:b w:val="false"/>
          <w:bCs w:val="false"/>
          <w:i w:val="false"/>
          <w:iCs w:val="false"/>
          <w:color w:val="333333"/>
          <w:sz w:val="22"/>
          <w:szCs w:val="22"/>
        </w:rPr>
        <w:t xml:space="preserve">The General Data Protection Regulation (GDPR, REG-001) remains the de facto global privacy standard despite its EU/EEA jurisdictional scope. Rackspace's GDPR exposure includes:</w:t>
      </w:r>
    </w:p>
    <w:p>
      <w:pPr>
        <w:pStyle w:val="ListParagraph"/>
        <w:numPr>
          <w:ilvl w:val="0"/>
          <w:numId w:val="2"/>
        </w:numPr>
        <w:spacing w:after="100" w:line="280"/>
      </w:pPr>
      <w:r>
        <w:rPr>
          <w:rFonts w:ascii="Arial" w:cs="Arial" w:eastAsia="Arial" w:hAnsi="Arial"/>
          <w:color w:val="333333"/>
          <w:sz w:val="22"/>
          <w:szCs w:val="22"/>
        </w:rPr>
        <w:t xml:space="preserve">GDPR (Regulation EU 2016/679, effective May 25, 2018)</w:t>
      </w:r>
    </w:p>
    <w:p>
      <w:pPr>
        <w:pStyle w:val="ListParagraph"/>
        <w:numPr>
          <w:ilvl w:val="0"/>
          <w:numId w:val="2"/>
        </w:numPr>
        <w:spacing w:after="100" w:line="280"/>
      </w:pPr>
      <w:r>
        <w:rPr>
          <w:rFonts w:ascii="Arial" w:cs="Arial" w:eastAsia="Arial" w:hAnsi="Arial"/>
          <w:color w:val="333333"/>
          <w:sz w:val="22"/>
          <w:szCs w:val="22"/>
        </w:rPr>
        <w:t xml:space="preserve">UK GDPR (retained EU law post-Brexit, applicable to Rackspace Limited, Co# 03897010)</w:t>
      </w:r>
    </w:p>
    <w:p>
      <w:pPr>
        <w:pStyle w:val="ListParagraph"/>
        <w:numPr>
          <w:ilvl w:val="0"/>
          <w:numId w:val="2"/>
        </w:numPr>
        <w:spacing w:after="100" w:line="280"/>
      </w:pPr>
      <w:r>
        <w:rPr>
          <w:rFonts w:ascii="Arial" w:cs="Arial" w:eastAsia="Arial" w:hAnsi="Arial"/>
          <w:color w:val="333333"/>
          <w:sz w:val="22"/>
          <w:szCs w:val="22"/>
        </w:rPr>
        <w:t xml:space="preserve">Switzerland Personal Data Protection Act (effective September 1, 2023, similar to GDPR)</w:t>
      </w:r>
    </w:p>
    <w:p>
      <w:pPr>
        <w:spacing w:after="160" w:line="300"/>
      </w:pPr>
      <w:r>
        <w:rPr>
          <w:rFonts w:ascii="Arial" w:cs="Arial" w:eastAsia="Arial" w:hAnsi="Arial"/>
          <w:b w:val="false"/>
          <w:bCs w:val="false"/>
          <w:i w:val="false"/>
          <w:iCs w:val="false"/>
          <w:color w:val="333333"/>
          <w:sz w:val="22"/>
          <w:szCs w:val="22"/>
        </w:rPr>
        <w:t xml:space="preserve">Maximum GDPR penalty: EUR 20,000,000 or 4% of annual global turnover (whichever is greater). For Rackspace, this represents potential exposure in the hundreds of millions of dollars range. The KG documents that Rackspace has designated the CPO as DPO (Data Protection Officer) at privacy@rackspace.com, maintains Data Processing Agreements (POL-017), and implements Privacy Impact Assessments (CTL-091, POL-040) aligned with GDPR Article 35 requirements.</w:t>
      </w:r>
    </w:p>
    <w:p>
      <w:pPr>
        <w:pStyle w:val="Heading2"/>
        <w:spacing w:after="200" w:before="300"/>
      </w:pPr>
      <w:r>
        <w:rPr>
          <w:rFonts w:ascii="Arial" w:cs="Arial" w:eastAsia="Arial" w:hAnsi="Arial"/>
        </w:rPr>
        <w:t xml:space="preserve">Commonwealth Privacy Laws</w:t>
      </w:r>
    </w:p>
    <w:p>
      <w:pPr>
        <w:spacing w:after="160" w:line="300"/>
      </w:pPr>
      <w:r>
        <w:rPr>
          <w:rFonts w:ascii="Arial" w:cs="Arial" w:eastAsia="Arial" w:hAnsi="Arial"/>
          <w:b w:val="false"/>
          <w:bCs w:val="false"/>
          <w:i w:val="false"/>
          <w:iCs w:val="false"/>
          <w:color w:val="333333"/>
          <w:sz w:val="22"/>
          <w:szCs w:val="22"/>
        </w:rPr>
        <w:t xml:space="preserve">Several Commonwealth jurisdictions have enacted GDPR-influenced or independent data protection frameworks:</w:t>
      </w:r>
    </w:p>
    <w:p>
      <w:pPr>
        <w:pStyle w:val="ListParagraph"/>
        <w:numPr>
          <w:ilvl w:val="0"/>
          <w:numId w:val="2"/>
        </w:numPr>
        <w:spacing w:after="100" w:line="280"/>
      </w:pPr>
      <w:r>
        <w:rPr>
          <w:rFonts w:ascii="Arial" w:cs="Arial" w:eastAsia="Arial" w:hAnsi="Arial"/>
          <w:color w:val="333333"/>
          <w:sz w:val="22"/>
          <w:szCs w:val="22"/>
        </w:rPr>
        <w:t xml:space="preserve">Singapore Personal Data Protection Act (PDPA, REG-014)</w:t>
      </w:r>
    </w:p>
    <w:p>
      <w:pPr>
        <w:pStyle w:val="ListParagraph"/>
        <w:numPr>
          <w:ilvl w:val="0"/>
          <w:numId w:val="2"/>
        </w:numPr>
        <w:spacing w:after="100" w:line="280"/>
      </w:pPr>
      <w:r>
        <w:rPr>
          <w:rFonts w:ascii="Arial" w:cs="Arial" w:eastAsia="Arial" w:hAnsi="Arial"/>
          <w:color w:val="333333"/>
          <w:sz w:val="22"/>
          <w:szCs w:val="22"/>
        </w:rPr>
        <w:t xml:space="preserve">India Digital Personal Data Protection Act 2023 (DPDP, REG-013, effective September 18, 2023)</w:t>
      </w:r>
    </w:p>
    <w:p>
      <w:pPr>
        <w:pStyle w:val="ListParagraph"/>
        <w:numPr>
          <w:ilvl w:val="0"/>
          <w:numId w:val="2"/>
        </w:numPr>
        <w:spacing w:after="100" w:line="280"/>
      </w:pPr>
      <w:r>
        <w:rPr>
          <w:rFonts w:ascii="Arial" w:cs="Arial" w:eastAsia="Arial" w:hAnsi="Arial"/>
          <w:color w:val="333333"/>
          <w:sz w:val="22"/>
          <w:szCs w:val="22"/>
        </w:rPr>
        <w:t xml:space="preserve">Australia Privacy Act (referenced via delivery centers in Sydney, Melbourne)</w:t>
      </w:r>
    </w:p>
    <w:p>
      <w:pPr>
        <w:spacing w:after="160" w:line="300"/>
      </w:pPr>
      <w:r>
        <w:rPr>
          <w:rFonts w:ascii="Arial" w:cs="Arial" w:eastAsia="Arial" w:hAnsi="Arial"/>
          <w:b w:val="false"/>
          <w:bCs w:val="false"/>
          <w:i w:val="false"/>
          <w:iCs w:val="false"/>
          <w:color w:val="333333"/>
          <w:sz w:val="22"/>
          <w:szCs w:val="22"/>
        </w:rPr>
        <w:t xml:space="preserve">Rackspace maintains delivery centers in India (Gurgaon, Hyderabad, Bangalore) and Singapore, making India DPDP compliance operationally critical as the act covers processing of Indian residents' personal data anywhere in the world. The DPDP creates a 'Data Fiduciary' designation that aligns closely with GDPR's controller/processor framework.</w:t>
      </w:r>
    </w:p>
    <w:p>
      <w:pPr>
        <w:pStyle w:val="Heading2"/>
        <w:spacing w:after="200" w:before="300"/>
      </w:pPr>
      <w:r>
        <w:rPr>
          <w:rFonts w:ascii="Arial" w:cs="Arial" w:eastAsia="Arial" w:hAnsi="Arial"/>
        </w:rPr>
        <w:t xml:space="preserve">United States State Privacy Laws</w:t>
      </w:r>
    </w:p>
    <w:p>
      <w:pPr>
        <w:spacing w:after="160" w:line="300"/>
      </w:pPr>
      <w:r>
        <w:rPr>
          <w:rFonts w:ascii="Arial" w:cs="Arial" w:eastAsia="Arial" w:hAnsi="Arial"/>
          <w:b w:val="false"/>
          <w:bCs w:val="false"/>
          <w:i w:val="false"/>
          <w:iCs w:val="false"/>
          <w:color w:val="333333"/>
          <w:sz w:val="22"/>
          <w:szCs w:val="22"/>
        </w:rPr>
        <w:t xml:space="preserve">The U.S. has fragmented into a multi-state privacy framework with varying applicability to Rackspace:</w:t>
      </w:r>
    </w:p>
    <w:p>
      <w:pPr>
        <w:spacing w:after="160" w:line="300"/>
      </w:pPr>
      <w:r>
        <w:rPr>
          <w:rFonts w:ascii="Arial" w:cs="Arial" w:eastAsia="Arial" w:hAnsi="Arial"/>
          <w:b w:val="false"/>
          <w:bCs w:val="false"/>
          <w:i w:val="false"/>
          <w:iCs w:val="false"/>
          <w:color w:val="333333"/>
          <w:sz w:val="22"/>
          <w:szCs w:val="22"/>
        </w:rPr>
        <w:t xml:space="preserve">California: CCPA (2018) and CPRA (effective January 1, 2023, REG-017). Rackspace operates data centers in San Jose (SJC3) and San Francisco (SFO), making CCPA/CPRA mandatory. The CPRA increased penalties and introduced a dedicated CPRA Attorney General enforcement mechanism alongside private right of action. Rackspace's CPO office manages CPRA compliance through POL-053 (Data Subject Rights Response Policy) which explicitly covers CCPA/CPRA categories.</w:t>
      </w:r>
    </w:p>
    <w:p>
      <w:pPr>
        <w:spacing w:after="160" w:line="300"/>
      </w:pPr>
      <w:r>
        <w:rPr>
          <w:rFonts w:ascii="Arial" w:cs="Arial" w:eastAsia="Arial" w:hAnsi="Arial"/>
          <w:b w:val="false"/>
          <w:bCs w:val="false"/>
          <w:i w:val="false"/>
          <w:iCs w:val="false"/>
          <w:color w:val="333333"/>
          <w:sz w:val="22"/>
          <w:szCs w:val="22"/>
        </w:rPr>
        <w:t xml:space="preserve">Multi-State Expansion: Texas Data Privacy and Security Act (TDPSA, REG-016, effective July 1, 2024) with $7,500 per violation penalties. Virginia Consumer Data Protection Act (VCDPA, REG-018, effective January 1, 2024). Delaware Personal Data Privacy Act (PDPA, REG-019). Illinois Biometric Information Privacy Act (BIPA, REG-020, $1K-5K per violation). New Jersey Data Protection and Privacy Act (NDPA, REG-022). Oregon Consumer Privacy Act (OCPA, REG-021). Colorado Privacy Act (CPA). These laws are individually small-penalty regimes but collectively create cumulative compliance burden and enforcement risk across the portfolio.</w:t>
      </w:r>
    </w:p>
    <w:p>
      <w:pPr>
        <w:spacing w:after="160" w:line="300"/>
      </w:pPr>
      <w:r>
        <w:rPr>
          <w:rFonts w:ascii="Arial" w:cs="Arial" w:eastAsia="Arial" w:hAnsi="Arial"/>
          <w:b w:val="false"/>
          <w:bCs w:val="false"/>
          <w:i w:val="false"/>
          <w:iCs w:val="false"/>
          <w:color w:val="333333"/>
          <w:sz w:val="22"/>
          <w:szCs w:val="22"/>
        </w:rPr>
        <w:t xml:space="preserve">Rackspace operates data centers in Texas (HQ), Virginia (Ashburn/Herndon DCs), New Jersey (NYC1/NYC2 Somerset), Illinois (ORD1 Chicago), and Colorado (locations referenced in KG), making all six primary state laws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Jurisdiction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Penalty</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GDPR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EU/EEA/UK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EUR 20M or 4% revenue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CCPA/CPRA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California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$7,500 per violation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HIPAA/HITECH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U.S. (Federal)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Up to $100K per category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India DPDP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India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INR 250 Cr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Singapore PDPA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Singapore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SGD 1M civil penalty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Texas TDPSA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$7,500 per violation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Virginia VCDPA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Virginia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Class 1 misdemeanor</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UK GDPR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United Kingdom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GBP 17.5M or 4% revenue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Applicable</w:t>
            </w:r>
          </w:p>
        </w:tc>
      </w:tr>
    </w:tbl>
    <w:p>
      <w:pPr>
        <w:spacing w:after="200"/>
      </w:pPr>
    </w:p>
    <w:p>
      <w:pPr>
        <w:pStyle w:val="Heading2"/>
        <w:spacing w:after="200" w:before="300"/>
      </w:pPr>
      <w:r>
        <w:rPr>
          <w:rFonts w:ascii="Arial" w:cs="Arial" w:eastAsia="Arial" w:hAnsi="Arial"/>
        </w:rPr>
        <w:t xml:space="preserve">Healthcare and Financial Services Privacy: HIPAA and PCI DSS</w:t>
      </w:r>
    </w:p>
    <w:p>
      <w:pPr>
        <w:spacing w:after="160" w:line="300"/>
      </w:pPr>
      <w:r>
        <w:rPr>
          <w:rFonts w:ascii="Arial" w:cs="Arial" w:eastAsia="Arial" w:hAnsi="Arial"/>
          <w:b w:val="false"/>
          <w:bCs w:val="false"/>
          <w:i w:val="false"/>
          <w:iCs w:val="false"/>
          <w:color w:val="333333"/>
          <w:sz w:val="22"/>
          <w:szCs w:val="22"/>
        </w:rPr>
        <w:t xml:space="preserve">Two vertical-specific regulatory frameworks apply to Rackspace:</w:t>
      </w:r>
    </w:p>
    <w:p>
      <w:pPr>
        <w:spacing w:after="160" w:line="300"/>
      </w:pPr>
      <w:r>
        <w:rPr>
          <w:rFonts w:ascii="Arial" w:cs="Arial" w:eastAsia="Arial" w:hAnsi="Arial"/>
          <w:b w:val="false"/>
          <w:bCs w:val="false"/>
          <w:i w:val="false"/>
          <w:iCs w:val="false"/>
          <w:color w:val="333333"/>
          <w:sz w:val="22"/>
          <w:szCs w:val="22"/>
        </w:rPr>
        <w:t xml:space="preserve">HIPAA Security Rule and Privacy Rule (REG-045): Rackspace operates as a Business Associate under HIPAA for healthcare customer workloads. POL-045 (HIPAA Security and Privacy Policy) explicitly addresses Business Associate Agreement (BAA) requirements. The Security Rule requires administrative, physical, and technical safeguards; the Privacy Rule governs Protected Health Information (PHI) use and disclosure. HIPAA breach notification requires notification within 60 days to affected individuals, covered entities, and HHS. Maximum penalty: $1.5M per violation category.</w:t>
      </w:r>
    </w:p>
    <w:p>
      <w:pPr>
        <w:spacing w:after="160" w:line="300"/>
      </w:pPr>
      <w:r>
        <w:rPr>
          <w:rFonts w:ascii="Arial" w:cs="Arial" w:eastAsia="Arial" w:hAnsi="Arial"/>
          <w:b w:val="false"/>
          <w:bCs w:val="false"/>
          <w:i w:val="false"/>
          <w:iCs w:val="false"/>
          <w:color w:val="333333"/>
          <w:sz w:val="22"/>
          <w:szCs w:val="22"/>
        </w:rPr>
        <w:t xml:space="preserve">PCI DSS Level 1 (REG-031 reference): Rackspace manages Cardholder Data Environment (CDE) and processes payment cards, requiring PCI DSS Level 1 compliance. DD-016 (Cardholder Data Environment) identifies Rackspace as Level 1 provider with quarterly ASV (Approved Scanning Vendor) assessments and annual Qualified Security Assessor (QSA) audits. CTL-291 (PCI DSS CDE Isolation) enforces network segmentation and quarterly scanning.</w:t>
      </w:r>
    </w:p>
    <w:p>
      <w:pPr>
        <w:pStyle w:val="Heading3"/>
        <w:spacing w:after="200" w:before="300"/>
      </w:pPr>
      <w:r>
        <w:rPr>
          <w:rFonts w:ascii="Arial" w:cs="Arial" w:eastAsia="Arial" w:hAnsi="Arial"/>
        </w:rPr>
        <w:t xml:space="preserve">Theme 3: Regulatory Jurisdiction Sprawl</w:t>
      </w:r>
    </w:p>
    <w:p>
      <w:pPr>
        <w:spacing w:after="160" w:line="300"/>
      </w:pPr>
      <w:r>
        <w:rPr>
          <w:rFonts w:ascii="Arial" w:cs="Arial" w:eastAsia="Arial" w:hAnsi="Arial"/>
          <w:b w:val="false"/>
          <w:bCs w:val="false"/>
          <w:i w:val="false"/>
          <w:iCs w:val="false"/>
          <w:color w:val="333333"/>
          <w:sz w:val="22"/>
          <w:szCs w:val="22"/>
        </w:rPr>
        <w:t xml:space="preserve">The 20+ privacy regimes Rackspace manages create several structural challenges that define the company's privacy program maturity and risk profile:</w:t>
      </w:r>
    </w:p>
    <w:p>
      <w:pPr>
        <w:pStyle w:val="ListParagraph"/>
        <w:numPr>
          <w:ilvl w:val="0"/>
          <w:numId w:val="2"/>
        </w:numPr>
        <w:spacing w:after="100" w:line="280"/>
      </w:pPr>
      <w:r>
        <w:rPr>
          <w:rFonts w:ascii="Arial" w:cs="Arial" w:eastAsia="Arial" w:hAnsi="Arial"/>
          <w:color w:val="333333"/>
          <w:sz w:val="22"/>
          <w:szCs w:val="22"/>
        </w:rPr>
        <w:t xml:space="preserve">COMPLIANCE ACCUMULATION: Each jurisdiction adds compliance overhead. GDPR requires DPA templates, Privacy Notices, PIAs, and DSR SLAs (30 days). CCPA requires distinct processes (right to know, right to delete, right to opt-out). HIPAA requires encryption standards different from those for non-HIPAA data. Singapore PDPA requires explicit notice and consent. India DPDP requires data localization for Indian personal data. The accumulation of distinct requirements across 20+ regimes creates operational complexity that cannot be centralized or unified. POL-006 (Privacy Notice) must be jurisdiction-specific; a single global notice cannot comply across all 20 regimes simultaneously.</w:t>
      </w:r>
    </w:p>
    <w:p>
      <w:pPr>
        <w:pStyle w:val="ListParagraph"/>
        <w:numPr>
          <w:ilvl w:val="0"/>
          <w:numId w:val="2"/>
        </w:numPr>
        <w:spacing w:after="100" w:line="280"/>
      </w:pPr>
      <w:r>
        <w:rPr>
          <w:rFonts w:ascii="Arial" w:cs="Arial" w:eastAsia="Arial" w:hAnsi="Arial"/>
          <w:color w:val="333333"/>
          <w:sz w:val="22"/>
          <w:szCs w:val="22"/>
        </w:rPr>
        <w:t xml:space="preserve">INVESTIGATION MULTIPLICITY: A single customer data incident can trigger simultaneous investigations from multiple regulators. The Play ransomware breach (December 2022, Hosted Exchange) resulted in concurrent investigations by: California AG (CCPA), SEC (Item 1.05 materiality assessment), Texas Attorney General (state law investigation), and potential GDPR investigations from EU Supervisory Authorities for affected customers in EU jurisdictions. The compliance team must manage evidence preservation, notification, and remediation across multiple enforcement frameworks simultaneously.</w:t>
      </w:r>
    </w:p>
    <w:p>
      <w:pPr>
        <w:pStyle w:val="ListParagraph"/>
        <w:numPr>
          <w:ilvl w:val="0"/>
          <w:numId w:val="2"/>
        </w:numPr>
        <w:spacing w:after="100" w:line="280"/>
      </w:pPr>
      <w:r>
        <w:rPr>
          <w:rFonts w:ascii="Arial" w:cs="Arial" w:eastAsia="Arial" w:hAnsi="Arial"/>
          <w:color w:val="333333"/>
          <w:sz w:val="22"/>
          <w:szCs w:val="22"/>
        </w:rPr>
        <w:t xml:space="preserve">STAFFING AND EXPERTISE CONCENTRATION: A team of 10 in dept-242 manages compliance across 20+ legal regimes, 120 countries, and 4 delivery centers in non-Western jurisdictions (Gurgaon, Hyderabad, Bangalore, Singapore). This represents 10+ different regulatory expertise domains per person on average. The organization likely lacks deep regulatory expertise in all 20 jurisdictions simultaneously; external counsel becomes necessary for complex interpretations or enforcement actions, creating both cost and delay.</w:t>
      </w:r>
    </w:p>
    <w:p>
      <w:pPr>
        <w:pStyle w:val="ListParagraph"/>
        <w:numPr>
          <w:ilvl w:val="0"/>
          <w:numId w:val="2"/>
        </w:numPr>
        <w:spacing w:after="100" w:line="280"/>
      </w:pPr>
      <w:r>
        <w:rPr>
          <w:rFonts w:ascii="Arial" w:cs="Arial" w:eastAsia="Arial" w:hAnsi="Arial"/>
          <w:color w:val="333333"/>
          <w:sz w:val="22"/>
          <w:szCs w:val="22"/>
        </w:rPr>
        <w:t xml:space="preserve">REGULATORY ARBITRAGE AND JURISDICTION SHOPPING: Gaps between regulations create risk. GDPR allows individuals to make DSRs to any Supervisory Authority in the EU, not just the authority in the individual's home country. CCPA provides for private right of action. HIPAA provides for HHS enforcement separate from DOJ. These overlapping enforcement mechanisms mean a single compliance gap can trigger multiple enforcement channels. Rackspace cannot achieve 'compliance' in an absolute sense; it can only manage overlapping compliance across parallel regimes.</w:t>
      </w:r>
    </w:p>
    <w:p>
      <w:r>
        <w:br w:type="page"/>
      </w:r>
    </w:p>
    <w:p>
      <w:pPr>
        <w:pStyle w:val="Heading1"/>
        <w:spacing w:after="200" w:before="300"/>
      </w:pPr>
      <w:r>
        <w:rPr>
          <w:rFonts w:ascii="Arial" w:cs="Arial" w:eastAsia="Arial" w:hAnsi="Arial"/>
        </w:rPr>
        <w:t xml:space="preserve">6. Cross-Border Transfer Mechanisms: Crown Jewel of Privacy Maturity</w:t>
      </w:r>
    </w:p>
    <w:p>
      <w:pPr>
        <w:spacing w:after="160" w:line="300"/>
      </w:pPr>
      <w:r>
        <w:rPr>
          <w:rFonts w:ascii="Arial" w:cs="Arial" w:eastAsia="Arial" w:hAnsi="Arial"/>
          <w:b w:val="false"/>
          <w:bCs w:val="false"/>
          <w:i w:val="false"/>
          <w:iCs w:val="false"/>
          <w:color w:val="333333"/>
          <w:sz w:val="22"/>
          <w:szCs w:val="22"/>
        </w:rPr>
        <w:t xml:space="preserve">Theme 4 of the analysis identifies Rackspace's cross-border data transfer architecture as the Crown Jewel of its privacy maturity. Global companies face a fundamental challenge: data must move across jurisdictions to deliver services, but data moving from EU/EEA to third countries triggers heightened scrutiny under GDPR Article 44-50 and parallel requirements in UK GDPR and Switzerland PDPA. Rackspace's follow-the-sun support model requires continuous data flows across 15+ countries. The KG documents sophisticated architectural and legal mechanisms designed to make these transfers compliant.</w:t>
      </w:r>
    </w:p>
    <w:p>
      <w:pPr>
        <w:pStyle w:val="Heading2"/>
        <w:spacing w:after="200" w:before="300"/>
      </w:pPr>
      <w:r>
        <w:rPr>
          <w:rFonts w:ascii="Arial" w:cs="Arial" w:eastAsia="Arial" w:hAnsi="Arial"/>
        </w:rPr>
        <w:t xml:space="preserve">Legal Transfer Mechanisms</w:t>
      </w:r>
    </w:p>
    <w:p>
      <w:pPr>
        <w:spacing w:after="160" w:line="300"/>
      </w:pPr>
      <w:r>
        <w:rPr>
          <w:rFonts w:ascii="Arial" w:cs="Arial" w:eastAsia="Arial" w:hAnsi="Arial"/>
          <w:b w:val="false"/>
          <w:bCs w:val="false"/>
          <w:i w:val="false"/>
          <w:iCs w:val="false"/>
          <w:color w:val="333333"/>
          <w:sz w:val="22"/>
          <w:szCs w:val="22"/>
        </w:rPr>
        <w:t xml:space="preserve">POL-050 (Cross-Border Data Transfer Policy) documents four distinct legal mechanisms Rackspace uses to justify data transfers:</w:t>
      </w:r>
    </w:p>
    <w:p>
      <w:pPr>
        <w:pStyle w:val="ListParagraph"/>
        <w:numPr>
          <w:ilvl w:val="0"/>
          <w:numId w:val="2"/>
        </w:numPr>
        <w:spacing w:after="100" w:line="280"/>
      </w:pPr>
      <w:r>
        <w:rPr>
          <w:rFonts w:ascii="Arial" w:cs="Arial" w:eastAsia="Arial" w:hAnsi="Arial"/>
          <w:color w:val="333333"/>
          <w:sz w:val="22"/>
          <w:szCs w:val="22"/>
        </w:rPr>
        <w:t xml:space="preserve">Standard Contractual Clauses (SCCs, Module Two and Four, approved by EU Commission 2010/87/EC and 2021/914/EC): Rackspace executes SCCs with customers and vendors to provide contractual basis for data transfers to third countries. SCCs shift liability to the importer (Rackspace) if adequate safeguards are not implemented.</w:t>
      </w:r>
    </w:p>
    <w:p>
      <w:pPr>
        <w:pStyle w:val="ListParagraph"/>
        <w:numPr>
          <w:ilvl w:val="0"/>
          <w:numId w:val="2"/>
        </w:numPr>
        <w:spacing w:after="100" w:line="280"/>
      </w:pPr>
      <w:r>
        <w:rPr>
          <w:rFonts w:ascii="Arial" w:cs="Arial" w:eastAsia="Arial" w:hAnsi="Arial"/>
          <w:color w:val="333333"/>
          <w:sz w:val="22"/>
          <w:szCs w:val="22"/>
        </w:rPr>
        <w:t xml:space="preserve">UK International Data Transfer Agreement (UK IDTA): Post-Brexit equivalent to SCCs for Rackspace Limited transfers to third countries.</w:t>
      </w:r>
    </w:p>
    <w:p>
      <w:pPr>
        <w:pStyle w:val="ListParagraph"/>
        <w:numPr>
          <w:ilvl w:val="0"/>
          <w:numId w:val="2"/>
        </w:numPr>
        <w:spacing w:after="100" w:line="280"/>
      </w:pPr>
      <w:r>
        <w:rPr>
          <w:rFonts w:ascii="Arial" w:cs="Arial" w:eastAsia="Arial" w:hAnsi="Arial"/>
          <w:color w:val="333333"/>
          <w:sz w:val="22"/>
          <w:szCs w:val="22"/>
        </w:rPr>
        <w:t xml:space="preserve">EU-US Data Privacy Framework (DPF, approved July 10, 2023): Rackspace has achieved DPF certification, allowing transfers to the U.S. under an adequacy decision. This is a material regulatory achievement; it eliminates the need for SCCs on an entity-level basis (though SCCs remain necessary for specific business relationships).</w:t>
      </w:r>
    </w:p>
    <w:p>
      <w:pPr>
        <w:pStyle w:val="ListParagraph"/>
        <w:numPr>
          <w:ilvl w:val="0"/>
          <w:numId w:val="2"/>
        </w:numPr>
        <w:spacing w:after="100" w:line="280"/>
      </w:pPr>
      <w:r>
        <w:rPr>
          <w:rFonts w:ascii="Arial" w:cs="Arial" w:eastAsia="Arial" w:hAnsi="Arial"/>
          <w:color w:val="333333"/>
          <w:sz w:val="22"/>
          <w:szCs w:val="22"/>
        </w:rPr>
        <w:t xml:space="preserve">APEC Cross-Border Privacy Rules (CBPR): Rackspace maintains CBPR certification, allowing transfers within the Asia-Pacific region (Australia, Japan, Mexico, Philippines, Singapore, South Korea, Taiwan, Thailand, Uruguay).</w:t>
      </w:r>
    </w:p>
    <w:p>
      <w:pPr>
        <w:spacing w:after="160" w:line="300"/>
      </w:pPr>
      <w:r>
        <w:rPr>
          <w:rFonts w:ascii="Arial" w:cs="Arial" w:eastAsia="Arial" w:hAnsi="Arial"/>
          <w:b w:val="false"/>
          <w:bCs w:val="false"/>
          <w:i w:val="false"/>
          <w:iCs w:val="false"/>
          <w:color w:val="333333"/>
          <w:sz w:val="22"/>
          <w:szCs w:val="22"/>
        </w:rPr>
        <w:t xml:space="preserve">The presence of all four mechanisms indicates a mature legal framework tailored to different geographic contexts.</w:t>
      </w:r>
    </w:p>
    <w:p>
      <w:pPr>
        <w:pStyle w:val="Heading2"/>
        <w:spacing w:after="200" w:before="300"/>
      </w:pPr>
      <w:r>
        <w:rPr>
          <w:rFonts w:ascii="Arial" w:cs="Arial" w:eastAsia="Arial" w:hAnsi="Arial"/>
        </w:rPr>
        <w:t xml:space="preserve">Technical Safeguards: Essential Equivalence</w:t>
      </w:r>
    </w:p>
    <w:p>
      <w:pPr>
        <w:spacing w:after="160" w:line="300"/>
      </w:pPr>
      <w:r>
        <w:rPr>
          <w:rFonts w:ascii="Arial" w:cs="Arial" w:eastAsia="Arial" w:hAnsi="Arial"/>
          <w:b w:val="false"/>
          <w:bCs w:val="false"/>
          <w:i w:val="false"/>
          <w:iCs w:val="false"/>
          <w:color w:val="333333"/>
          <w:sz w:val="22"/>
          <w:szCs w:val="22"/>
        </w:rPr>
        <w:t xml:space="preserve">Legal mechanisms (SCCs, DPF, CBPR) establish the contractual basis for transfers but require underpinning technical safeguards to satisfy the GDPR's concept of 'essential equivalence'  - the safeguards must be capable of providing GDPR-equivalent protection in practice, not merely in theory. CTL-035 (Cross-Border Data Transfer Safeguards) documents the technical layer:</w:t>
      </w:r>
    </w:p>
    <w:p>
      <w:pPr>
        <w:pStyle w:val="ListParagraph"/>
        <w:numPr>
          <w:ilvl w:val="0"/>
          <w:numId w:val="2"/>
        </w:numPr>
        <w:spacing w:after="100" w:line="280"/>
      </w:pPr>
      <w:r>
        <w:rPr>
          <w:rFonts w:ascii="Arial" w:cs="Arial" w:eastAsia="Arial" w:hAnsi="Arial"/>
          <w:color w:val="333333"/>
          <w:sz w:val="22"/>
          <w:szCs w:val="22"/>
        </w:rPr>
        <w:t xml:space="preserve">Data Encryption in Transit (TLS 1.2/1.3, CTL-029): All data in flight across borders is encrypted using industry-standard TLS. Rackspace specifies TLS across all portals, APIs, and inter-system communication channels.</w:t>
      </w:r>
    </w:p>
    <w:p>
      <w:pPr>
        <w:pStyle w:val="ListParagraph"/>
        <w:numPr>
          <w:ilvl w:val="0"/>
          <w:numId w:val="2"/>
        </w:numPr>
        <w:spacing w:after="100" w:line="280"/>
      </w:pPr>
      <w:r>
        <w:rPr>
          <w:rFonts w:ascii="Arial" w:cs="Arial" w:eastAsia="Arial" w:hAnsi="Arial"/>
          <w:color w:val="333333"/>
          <w:sz w:val="22"/>
          <w:szCs w:val="22"/>
        </w:rPr>
        <w:t xml:space="preserve">Encryption at Rest (AES-256, CTL-030): Sensitive personal data stored in the receiving third country is encrypted at rest, restricting direct access to plaintext data. AES-256 is FedRAMP-approved and PCI DSS-certified.</w:t>
      </w:r>
    </w:p>
    <w:p>
      <w:pPr>
        <w:pStyle w:val="ListParagraph"/>
        <w:numPr>
          <w:ilvl w:val="0"/>
          <w:numId w:val="2"/>
        </w:numPr>
        <w:spacing w:after="100" w:line="280"/>
      </w:pPr>
      <w:r>
        <w:rPr>
          <w:rFonts w:ascii="Arial" w:cs="Arial" w:eastAsia="Arial" w:hAnsi="Arial"/>
          <w:color w:val="333333"/>
          <w:sz w:val="22"/>
          <w:szCs w:val="22"/>
        </w:rPr>
        <w:t xml:space="preserve">Tenant Isolation (CTL-066): Multi-tenant customer environments are logically isolated using organizational units (OUs), VLANs, firewall rules, and storage segregation, preventing one customer's data from being accessible to another customer.</w:t>
      </w:r>
    </w:p>
    <w:p>
      <w:pPr>
        <w:pStyle w:val="ListParagraph"/>
        <w:numPr>
          <w:ilvl w:val="0"/>
          <w:numId w:val="2"/>
        </w:numPr>
        <w:spacing w:after="100" w:line="280"/>
      </w:pPr>
      <w:r>
        <w:rPr>
          <w:rFonts w:ascii="Arial" w:cs="Arial" w:eastAsia="Arial" w:hAnsi="Arial"/>
          <w:color w:val="333333"/>
          <w:sz w:val="22"/>
          <w:szCs w:val="22"/>
        </w:rPr>
        <w:t xml:space="preserve">Access Controls and Authentication: Privileged access to data in third countries is restricted through role-based access control (RBAC), multi-factor authentication (MFA), and audit logging. The CPO/DPO role carries explicit privileged access permissions to validate compliance with these controls.</w:t>
      </w:r>
    </w:p>
    <w:p>
      <w:pPr>
        <w:spacing w:after="160" w:line="300"/>
      </w:pPr>
      <w:r>
        <w:rPr>
          <w:rFonts w:ascii="Arial" w:cs="Arial" w:eastAsia="Arial" w:hAnsi="Arial"/>
          <w:b w:val="false"/>
          <w:bCs w:val="false"/>
          <w:i w:val="false"/>
          <w:iCs w:val="false"/>
          <w:color w:val="333333"/>
          <w:sz w:val="22"/>
          <w:szCs w:val="22"/>
        </w:rPr>
        <w:t xml:space="preserve">The integration of legal mechanisms with technical safeguards creates a coherent architecture. A data subject's personal data (e.g., contact information of a Rackspace customer employee) can legally transfer from EU to U.S. under DPF (legal basis) while being protected by TLS encryption in transit, AES-256 at rest, and logical isolation from other customer data (technical safeguards). If the U.S. lacks data protection law equivalent to GDPR, the technical controls compensate for the legal gap.</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CROSS-BORDER TRANSFER ARCHITECTURE: LEGAL + TECHNICAL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EU DATA SUBJECT (GDPR Protected)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LEGAL MECHANISM                                         │</w:t>
      </w:r>
    </w:p>
    <w:p>
      <w:pPr>
        <w:spacing w:after="0" w:line="240"/>
      </w:pPr>
      <w:r>
        <w:rPr>
          <w:rFonts w:ascii="Courier New" w:cs="Courier New" w:eastAsia="Courier New" w:hAnsi="Courier New"/>
          <w:color w:val="1B3A5C"/>
          <w:sz w:val="16"/>
          <w:szCs w:val="16"/>
        </w:rPr>
        <w:t xml:space="preserve">│   [SCCs / UK IDTA / DPF / CBPR]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TECHNICAL LAYER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TLS Transit AES Rest   Tenant  Access RBAC+MFA  │</w:t>
      </w:r>
    </w:p>
    <w:p>
      <w:pPr>
        <w:spacing w:after="0" w:line="240"/>
      </w:pPr>
      <w:r>
        <w:rPr>
          <w:rFonts w:ascii="Courier New" w:cs="Courier New" w:eastAsia="Courier New" w:hAnsi="Courier New"/>
          <w:color w:val="1B3A5C"/>
          <w:sz w:val="16"/>
          <w:szCs w:val="16"/>
        </w:rPr>
        <w:t xml:space="preserve">│   Encryption  Encryption Isolation Controls Audit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THIRD COUNTRY (U.S., APAC, etc.)                    │</w:t>
      </w:r>
    </w:p>
    <w:p>
      <w:pPr>
        <w:spacing w:after="0" w:line="240"/>
      </w:pPr>
      <w:r>
        <w:rPr>
          <w:rFonts w:ascii="Courier New" w:cs="Courier New" w:eastAsia="Courier New" w:hAnsi="Courier New"/>
          <w:color w:val="1B3A5C"/>
          <w:sz w:val="16"/>
          <w:szCs w:val="16"/>
        </w:rPr>
        <w:t xml:space="preserve">│              ESSENTIAL EQUIVALENCE: Legal framework + Technical  │</w:t>
      </w:r>
    </w:p>
    <w:p>
      <w:pPr>
        <w:spacing w:after="0" w:line="240"/>
      </w:pPr>
      <w:r>
        <w:rPr>
          <w:rFonts w:ascii="Courier New" w:cs="Courier New" w:eastAsia="Courier New" w:hAnsi="Courier New"/>
          <w:color w:val="1B3A5C"/>
          <w:sz w:val="16"/>
          <w:szCs w:val="16"/>
        </w:rPr>
        <w:t xml:space="preserve">│              safeguards compensate for third-country law gaps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3 EU/Swiss/UK legal entities manage transfer mechanisms            │</w:t>
      </w:r>
    </w:p>
    <w:p>
      <w:pPr>
        <w:spacing w:after="0" w:line="240"/>
      </w:pPr>
      <w:r>
        <w:rPr>
          <w:rFonts w:ascii="Courier New" w:cs="Courier New" w:eastAsia="Courier New" w:hAnsi="Courier New"/>
          <w:color w:val="1B3A5C"/>
          <w:sz w:val="16"/>
          <w:szCs w:val="16"/>
        </w:rPr>
        <w:t xml:space="preserve">│   CTL-330 continuously validates transfer mechanism legality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Organizational Representation</w:t>
      </w:r>
    </w:p>
    <w:p>
      <w:pPr>
        <w:spacing w:after="160" w:line="300"/>
      </w:pPr>
      <w:r>
        <w:rPr>
          <w:rFonts w:ascii="Arial" w:cs="Arial" w:eastAsia="Arial" w:hAnsi="Arial"/>
          <w:b w:val="false"/>
          <w:bCs w:val="false"/>
          <w:i w:val="false"/>
          <w:iCs w:val="false"/>
          <w:color w:val="333333"/>
          <w:sz w:val="22"/>
          <w:szCs w:val="22"/>
        </w:rPr>
        <w:t xml:space="preserve">Rackspace maintains dedicated legal entities in key jurisdictions to support cross-border transfers:</w:t>
      </w:r>
    </w:p>
    <w:p>
      <w:pPr>
        <w:pStyle w:val="ListParagraph"/>
        <w:numPr>
          <w:ilvl w:val="0"/>
          <w:numId w:val="2"/>
        </w:numPr>
        <w:spacing w:after="100" w:line="280"/>
      </w:pPr>
      <w:r>
        <w:rPr>
          <w:rFonts w:ascii="Arial" w:cs="Arial" w:eastAsia="Arial" w:hAnsi="Arial"/>
          <w:color w:val="333333"/>
          <w:sz w:val="22"/>
          <w:szCs w:val="22"/>
        </w:rPr>
        <w:t xml:space="preserve">Rackspace Limited (Co# 03897010, UK): Serves as the UK representative for GDPR/UK GDPR purposes and manages UK IDTA with data importers</w:t>
      </w:r>
    </w:p>
    <w:p>
      <w:pPr>
        <w:pStyle w:val="ListParagraph"/>
        <w:numPr>
          <w:ilvl w:val="0"/>
          <w:numId w:val="2"/>
        </w:numPr>
        <w:spacing w:after="100" w:line="280"/>
      </w:pPr>
      <w:r>
        <w:rPr>
          <w:rFonts w:ascii="Arial" w:cs="Arial" w:eastAsia="Arial" w:hAnsi="Arial"/>
          <w:color w:val="333333"/>
          <w:sz w:val="22"/>
          <w:szCs w:val="22"/>
        </w:rPr>
        <w:t xml:space="preserve">Rackspace International GmbH (Germany): Serves as the representative for German and EU customers and manages SCC negotiation</w:t>
      </w:r>
    </w:p>
    <w:p>
      <w:pPr>
        <w:pStyle w:val="ListParagraph"/>
        <w:numPr>
          <w:ilvl w:val="0"/>
          <w:numId w:val="2"/>
        </w:numPr>
        <w:spacing w:after="100" w:line="280"/>
      </w:pPr>
      <w:r>
        <w:rPr>
          <w:rFonts w:ascii="Arial" w:cs="Arial" w:eastAsia="Arial" w:hAnsi="Arial"/>
          <w:color w:val="333333"/>
          <w:sz w:val="22"/>
          <w:szCs w:val="22"/>
        </w:rPr>
        <w:t xml:space="preserve">Rackspace Technology Switzerland AG: Manages transfer mechanisms under Swiss PDPA</w:t>
      </w:r>
    </w:p>
    <w:p>
      <w:pPr>
        <w:spacing w:after="160" w:line="300"/>
      </w:pPr>
      <w:r>
        <w:rPr>
          <w:rFonts w:ascii="Arial" w:cs="Arial" w:eastAsia="Arial" w:hAnsi="Arial"/>
          <w:b w:val="false"/>
          <w:bCs w:val="false"/>
          <w:i w:val="false"/>
          <w:iCs w:val="false"/>
          <w:color w:val="333333"/>
          <w:sz w:val="22"/>
          <w:szCs w:val="22"/>
        </w:rPr>
        <w:t xml:space="preserve">This multi-jurisdiction legal structure demonstrates sophistication in privacy program architecture. Rather than attempting to manage all transfers from U.S.-based entities, Rackspace has created in-jurisdiction representation to provide local accountability and trust.</w:t>
      </w:r>
    </w:p>
    <w:p>
      <w:pPr>
        <w:pStyle w:val="Heading2"/>
        <w:spacing w:after="200" w:before="300"/>
      </w:pPr>
      <w:r>
        <w:rPr>
          <w:rFonts w:ascii="Arial" w:cs="Arial" w:eastAsia="Arial" w:hAnsi="Arial"/>
        </w:rPr>
        <w:t xml:space="preserve">Ongoing Mechanism Validation</w:t>
      </w:r>
    </w:p>
    <w:p>
      <w:pPr>
        <w:spacing w:after="160" w:line="300"/>
      </w:pPr>
      <w:r>
        <w:rPr>
          <w:rFonts w:ascii="Arial" w:cs="Arial" w:eastAsia="Arial" w:hAnsi="Arial"/>
          <w:b w:val="false"/>
          <w:bCs w:val="false"/>
          <w:i w:val="false"/>
          <w:iCs w:val="false"/>
          <w:color w:val="333333"/>
          <w:sz w:val="22"/>
          <w:szCs w:val="22"/>
        </w:rPr>
        <w:t xml:space="preserve">CTL-330 (Cross-Border Transfer Mechanism Validation) represents an additional layer of maturity. This detective control continuously monitors and validates that transfer mechanisms remain legally valid. The control is necessary because transfer mechanisms are subject to regulatory change: the EU-US Data Privacy Framework, for example, is subject to periodic adequacy review (every four years). If a transfer mechanism becomes invalid (e.g., DPF adequacy decision is revoked), Rackspace must rapidly pivot to alternative mechanisms (SCCs, TIAs). CTL-330 embeds this validation requirement in the control architecture.</w:t>
      </w:r>
    </w:p>
    <w:p>
      <w:pPr>
        <w:pStyle w:val="Heading3"/>
        <w:spacing w:after="200" w:before="300"/>
      </w:pPr>
      <w:r>
        <w:rPr>
          <w:rFonts w:ascii="Arial" w:cs="Arial" w:eastAsia="Arial" w:hAnsi="Arial"/>
        </w:rPr>
        <w:t xml:space="preserve">Theme 4 Summary: Architecture as Competitive Advantage</w:t>
      </w:r>
    </w:p>
    <w:p>
      <w:pPr>
        <w:spacing w:after="160" w:line="300"/>
      </w:pPr>
      <w:r>
        <w:rPr>
          <w:rFonts w:ascii="Arial" w:cs="Arial" w:eastAsia="Arial" w:hAnsi="Arial"/>
          <w:b w:val="false"/>
          <w:bCs w:val="false"/>
          <w:i w:val="false"/>
          <w:iCs w:val="false"/>
          <w:color w:val="333333"/>
          <w:sz w:val="22"/>
          <w:szCs w:val="22"/>
        </w:rPr>
        <w:t xml:space="preserve">Rackspace's cross-border transfer architecture is the highest-maturity element of Capability 6. The combination of legal mechanisms (4 distinct frameworks), technical safeguards (encryption, isolation, access controls), organizational structure (3 EU/Swiss/UK entities), and ongoing validation (CTL-330) creates a coherent system designed to satisfy GDPR's most stringent requirements while enabling global service delivery. This is genuinely best-practice architecture and represents a material competitive advantage for Rackspace in regulated industries (healthcare, financial services, government) that require cross-border capability with privacy confidence.</w:t>
      </w:r>
    </w:p>
    <w:p>
      <w:r>
        <w:br w:type="page"/>
      </w:r>
    </w:p>
    <w:p>
      <w:pPr>
        <w:pStyle w:val="Heading1"/>
        <w:spacing w:after="200" w:before="300"/>
      </w:pPr>
      <w:r>
        <w:rPr>
          <w:rFonts w:ascii="Arial" w:cs="Arial" w:eastAsia="Arial" w:hAnsi="Arial"/>
        </w:rPr>
        <w:t xml:space="preserve">7. Theme 5: December 2022 Breach as Capability Accelerant</w:t>
      </w:r>
    </w:p>
    <w:p>
      <w:pPr>
        <w:spacing w:after="160" w:line="300"/>
      </w:pPr>
      <w:r>
        <w:rPr>
          <w:rFonts w:ascii="Arial" w:cs="Arial" w:eastAsia="Arial" w:hAnsi="Arial"/>
          <w:b w:val="false"/>
          <w:bCs w:val="false"/>
          <w:i w:val="false"/>
          <w:iCs w:val="false"/>
          <w:color w:val="333333"/>
          <w:sz w:val="22"/>
          <w:szCs w:val="22"/>
        </w:rPr>
        <w:t xml:space="preserve">On December 10, 2022, Rackspace experienced a significant ransomware incident affecting Hosted Exchange environments. The Play ransomware group claimed responsibility. This incident, though serious, functioned as a capability accelerant that reshaped Rackspace's privacy and data protection posture. The breach is documented in the KG through multiple artifacts that reveal how crisis creates operational change.</w:t>
      </w:r>
    </w:p>
    <w:p>
      <w:pPr>
        <w:pStyle w:val="Heading2"/>
        <w:spacing w:after="200" w:before="300"/>
      </w:pPr>
      <w:r>
        <w:rPr>
          <w:rFonts w:ascii="Arial" w:cs="Arial" w:eastAsia="Arial" w:hAnsi="Arial"/>
        </w:rPr>
        <w:t xml:space="preserve">Incident Artifacts in the Knowledge Graph</w:t>
      </w:r>
    </w:p>
    <w:p>
      <w:pPr>
        <w:spacing w:after="160" w:line="300"/>
      </w:pPr>
      <w:r>
        <w:rPr>
          <w:rFonts w:ascii="Arial" w:cs="Arial" w:eastAsia="Arial" w:hAnsi="Arial"/>
          <w:b w:val="false"/>
          <w:bCs w:val="false"/>
          <w:i w:val="false"/>
          <w:iCs w:val="false"/>
          <w:color w:val="333333"/>
          <w:sz w:val="22"/>
          <w:szCs w:val="22"/>
        </w:rPr>
        <w:t xml:space="preserve">DD-025 (Incident Response and Forensic Data) is classified as Restricted, Operational domain, maturity Managed, and explicitly notes: 'December 2022 breach artifacts (Hosted Exchange) subject to indefinite legal hold pending resolution of concurrent customer class action litigation, SEC investigation, and state regulatory inquiries.' This language indicates the incident has cascaded into multiple legal and regulatory proceedings that remain unresolved nearly 15 months post-incident. The legal hold prevents data destruction, creating an indefinite forensic evidence repository.</w:t>
      </w:r>
    </w:p>
    <w:p>
      <w:pPr>
        <w:spacing w:after="160" w:line="300"/>
      </w:pPr>
      <w:r>
        <w:rPr>
          <w:rFonts w:ascii="Arial" w:cs="Arial" w:eastAsia="Arial" w:hAnsi="Arial"/>
          <w:b w:val="false"/>
          <w:bCs w:val="false"/>
          <w:i w:val="false"/>
          <w:iCs w:val="false"/>
          <w:color w:val="333333"/>
          <w:sz w:val="22"/>
          <w:szCs w:val="22"/>
        </w:rPr>
        <w:t xml:space="preserve">DD-047 (Encryption Key and Certificate Data) notes that encryption key material from the breach period is 'exempt from routine destruction pending forensic analysis and regulatory production.' The knowledge graph explicitly acknowledges that certain key material cannot be rotated or destroyed because forensic and regulatory investigations require preservation. This creates an operational constraint: key rotation schedules must accommodate legal hold exceptions.</w:t>
      </w:r>
    </w:p>
    <w:p>
      <w:pPr>
        <w:pStyle w:val="Heading2"/>
        <w:spacing w:after="200" w:before="300"/>
      </w:pPr>
      <w:r>
        <w:rPr>
          <w:rFonts w:ascii="Arial" w:cs="Arial" w:eastAsia="Arial" w:hAnsi="Arial"/>
        </w:rPr>
        <w:t xml:space="preserve">Breach Notification Complexity: Five Distinct Regimes</w:t>
      </w:r>
    </w:p>
    <w:p>
      <w:pPr>
        <w:spacing w:after="160" w:line="300"/>
      </w:pPr>
      <w:r>
        <w:rPr>
          <w:rFonts w:ascii="Arial" w:cs="Arial" w:eastAsia="Arial" w:hAnsi="Arial"/>
          <w:b w:val="false"/>
          <w:bCs w:val="false"/>
          <w:i w:val="false"/>
          <w:iCs w:val="false"/>
          <w:color w:val="333333"/>
          <w:sz w:val="22"/>
          <w:szCs w:val="22"/>
        </w:rPr>
        <w:t xml:space="preserve">POL-027 (Breach Notification Policy) documents notification obligations across five distinct regulatory frameworks, each with different timelines and requirements:</w:t>
      </w:r>
    </w:p>
    <w:p>
      <w:pPr>
        <w:pStyle w:val="ListParagraph"/>
        <w:numPr>
          <w:ilvl w:val="0"/>
          <w:numId w:val="2"/>
        </w:numPr>
        <w:spacing w:after="100" w:line="280"/>
      </w:pPr>
      <w:r>
        <w:rPr>
          <w:rFonts w:ascii="Arial" w:cs="Arial" w:eastAsia="Arial" w:hAnsi="Arial"/>
          <w:color w:val="333333"/>
          <w:sz w:val="22"/>
          <w:szCs w:val="22"/>
        </w:rPr>
        <w:t xml:space="preserve">GDPR (Article 33): Notify Supervisory Authority within 72 hours of awareness. Notify affected data subjects without undue delay if high risk. Rackspace must notify any EU Supervisory Authority for each EU member state with affected residents.</w:t>
      </w:r>
    </w:p>
    <w:p>
      <w:pPr>
        <w:pStyle w:val="ListParagraph"/>
        <w:numPr>
          <w:ilvl w:val="0"/>
          <w:numId w:val="2"/>
        </w:numPr>
        <w:spacing w:after="100" w:line="280"/>
      </w:pPr>
      <w:r>
        <w:rPr>
          <w:rFonts w:ascii="Arial" w:cs="Arial" w:eastAsia="Arial" w:hAnsi="Arial"/>
          <w:color w:val="333333"/>
          <w:sz w:val="22"/>
          <w:szCs w:val="22"/>
        </w:rPr>
        <w:t xml:space="preserve">SEC Materiality Standard (Item 1.05, Form 8-K): File Form 8-K within 4 business days if breach is materially significant. For Rackspace (public company), SEC filing is mandatory for breaches meeting materiality thresholds, creating immediate disclosure to markets.</w:t>
      </w:r>
    </w:p>
    <w:p>
      <w:pPr>
        <w:pStyle w:val="ListParagraph"/>
        <w:numPr>
          <w:ilvl w:val="0"/>
          <w:numId w:val="2"/>
        </w:numPr>
        <w:spacing w:after="100" w:line="280"/>
      </w:pPr>
      <w:r>
        <w:rPr>
          <w:rFonts w:ascii="Arial" w:cs="Arial" w:eastAsia="Arial" w:hAnsi="Arial"/>
          <w:color w:val="333333"/>
          <w:sz w:val="22"/>
          <w:szCs w:val="22"/>
        </w:rPr>
        <w:t xml:space="preserve">Texas Breach Notification Law: Notify affected Texas residents within 30 days of discovery. Texas Attorney General notification required for breaches affecting &gt;10 residents.</w:t>
      </w:r>
    </w:p>
    <w:p>
      <w:pPr>
        <w:pStyle w:val="ListParagraph"/>
        <w:numPr>
          <w:ilvl w:val="0"/>
          <w:numId w:val="2"/>
        </w:numPr>
        <w:spacing w:after="100" w:line="280"/>
      </w:pPr>
      <w:r>
        <w:rPr>
          <w:rFonts w:ascii="Arial" w:cs="Arial" w:eastAsia="Arial" w:hAnsi="Arial"/>
          <w:color w:val="333333"/>
          <w:sz w:val="22"/>
          <w:szCs w:val="22"/>
        </w:rPr>
        <w:t xml:space="preserve">HIPAA Breach Notification Rule: Notify affected individuals within 60 days. For Rackspace BAAs, this creates dual notification requirement: GDPR 72-hour and HIPAA 60-day, both of which must be met for EU healthcare customers.</w:t>
      </w:r>
    </w:p>
    <w:p>
      <w:pPr>
        <w:pStyle w:val="ListParagraph"/>
        <w:numPr>
          <w:ilvl w:val="0"/>
          <w:numId w:val="2"/>
        </w:numPr>
        <w:spacing w:after="100" w:line="280"/>
      </w:pPr>
      <w:r>
        <w:rPr>
          <w:rFonts w:ascii="Arial" w:cs="Arial" w:eastAsia="Arial" w:hAnsi="Arial"/>
          <w:color w:val="333333"/>
          <w:sz w:val="22"/>
          <w:szCs w:val="22"/>
        </w:rPr>
        <w:t xml:space="preserve">Australia Notifiable Data Breach Scheme (Inferred): Notify affected individuals without undue delay if serious harm likely.</w:t>
      </w:r>
    </w:p>
    <w:p>
      <w:pPr>
        <w:spacing w:after="160" w:line="300"/>
      </w:pPr>
      <w:r>
        <w:rPr>
          <w:rFonts w:ascii="Arial" w:cs="Arial" w:eastAsia="Arial" w:hAnsi="Arial"/>
          <w:b w:val="false"/>
          <w:bCs w:val="false"/>
          <w:i w:val="false"/>
          <w:iCs w:val="false"/>
          <w:color w:val="333333"/>
          <w:sz w:val="22"/>
          <w:szCs w:val="22"/>
        </w:rPr>
        <w:t xml:space="preserve">Navigating these five regimes simultaneously requires coordinated response across regulatory, legal, and technical teams. The fastest requirement is SEC (4 business days), followed by GDPR (72 hours). However, GDPR applies to each EU jurisdiction separately (each country's Supervisory Authority must be notified), multiplying notification burden. HIPAA's 60-day timeline is the longest but applies only to healthcare-related personal data.</w:t>
      </w:r>
    </w:p>
    <w:p>
      <w:pPr>
        <w:pStyle w:val="Heading2"/>
        <w:spacing w:after="200" w:before="300"/>
      </w:pPr>
      <w:r>
        <w:rPr>
          <w:rFonts w:ascii="Arial" w:cs="Arial" w:eastAsia="Arial" w:hAnsi="Arial"/>
        </w:rPr>
        <w:t xml:space="preserve">Control Response to Breach: CTL-095 Enhancement</w:t>
      </w:r>
    </w:p>
    <w:p>
      <w:pPr>
        <w:spacing w:after="160" w:line="300"/>
      </w:pPr>
      <w:r>
        <w:rPr>
          <w:rFonts w:ascii="Arial" w:cs="Arial" w:eastAsia="Arial" w:hAnsi="Arial"/>
          <w:b w:val="false"/>
          <w:bCs w:val="false"/>
          <w:i w:val="false"/>
          <w:iCs w:val="false"/>
          <w:color w:val="333333"/>
          <w:sz w:val="22"/>
          <w:szCs w:val="22"/>
        </w:rPr>
        <w:t xml:space="preserve">CTL-095 (Breach Notification Process) explicitly embeds materiality assessment into the incident response flow: 'Escalate to General Counsel and Chief Financial Officer for SEC Item 1.05 materiality assessment within 24 hours of incident confirmation.' This control response indicates that the December 2022 breach altered Rackspace's incident response procedures to ensure SEC disclosure obligation is triggered immediately and assessed by financial and legal leadership rather than delegated to privacy or security teams.</w:t>
      </w:r>
    </w:p>
    <w:p>
      <w:pPr>
        <w:spacing w:after="160" w:line="300"/>
      </w:pPr>
      <w:r>
        <w:rPr>
          <w:rFonts w:ascii="Arial" w:cs="Arial" w:eastAsia="Arial" w:hAnsi="Arial"/>
          <w:b w:val="false"/>
          <w:bCs w:val="false"/>
          <w:i w:val="false"/>
          <w:iCs w:val="false"/>
          <w:color w:val="333333"/>
          <w:sz w:val="22"/>
          <w:szCs w:val="22"/>
        </w:rPr>
        <w:t xml:space="preserve">The control demonstrates organizational learning: the breach forced integration of SEC disclosure obligation into the incident response checklist. A company that did not previously embed SEC notification requirements into breach response procedures learned to do so through experience.</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DEC 2022 BREACH: CRISIS ACCELERATION TIMELINE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DEC 10, 2022:  Ransomware incident confirmed                       │</w:t>
      </w:r>
    </w:p>
    <w:p>
      <w:pPr>
        <w:spacing w:after="0" w:line="240"/>
      </w:pPr>
      <w:r>
        <w:rPr>
          <w:rFonts w:ascii="Courier New" w:cs="Courier New" w:eastAsia="Courier New" w:hAnsi="Courier New"/>
          <w:color w:val="1B3A5C"/>
          <w:sz w:val="16"/>
          <w:szCs w:val="16"/>
        </w:rPr>
        <w:t xml:space="preserve">│        │         Hosted Exchange affected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IMMEDIATE RESPONSE (Hours 0-24)                            │</w:t>
      </w:r>
    </w:p>
    <w:p>
      <w:pPr>
        <w:spacing w:after="0" w:line="240"/>
      </w:pPr>
      <w:r>
        <w:rPr>
          <w:rFonts w:ascii="Courier New" w:cs="Courier New" w:eastAsia="Courier New" w:hAnsi="Courier New"/>
          <w:color w:val="1B3A5C"/>
          <w:sz w:val="16"/>
          <w:szCs w:val="16"/>
        </w:rPr>
        <w:t xml:space="preserve">│        |   Incident escalation                                       │</w:t>
      </w:r>
    </w:p>
    <w:p>
      <w:pPr>
        <w:spacing w:after="0" w:line="240"/>
      </w:pPr>
      <w:r>
        <w:rPr>
          <w:rFonts w:ascii="Courier New" w:cs="Courier New" w:eastAsia="Courier New" w:hAnsi="Courier New"/>
          <w:color w:val="1B3A5C"/>
          <w:sz w:val="16"/>
          <w:szCs w:val="16"/>
        </w:rPr>
        <w:t xml:space="preserve">│        |   CTL-095: SEC materiality assessment triggered             │</w:t>
      </w:r>
    </w:p>
    <w:p>
      <w:pPr>
        <w:spacing w:after="0" w:line="240"/>
      </w:pPr>
      <w:r>
        <w:rPr>
          <w:rFonts w:ascii="Courier New" w:cs="Courier New" w:eastAsia="Courier New" w:hAnsi="Courier New"/>
          <w:color w:val="1B3A5C"/>
          <w:sz w:val="16"/>
          <w:szCs w:val="16"/>
        </w:rPr>
        <w:t xml:space="preserve">│        |   Multiple Supervisory Authorities notified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DEC 10-31: REGULATORY INVESTIGATION PHASE (Ongoing)              │</w:t>
      </w:r>
    </w:p>
    <w:p>
      <w:pPr>
        <w:spacing w:after="0" w:line="240"/>
      </w:pPr>
      <w:r>
        <w:rPr>
          <w:rFonts w:ascii="Courier New" w:cs="Courier New" w:eastAsia="Courier New" w:hAnsi="Courier New"/>
          <w:color w:val="1B3A5C"/>
          <w:sz w:val="16"/>
          <w:szCs w:val="16"/>
        </w:rPr>
        <w:t xml:space="preserve">│        |   Customer class action litigation initiated                │</w:t>
      </w:r>
    </w:p>
    <w:p>
      <w:pPr>
        <w:spacing w:after="0" w:line="240"/>
      </w:pPr>
      <w:r>
        <w:rPr>
          <w:rFonts w:ascii="Courier New" w:cs="Courier New" w:eastAsia="Courier New" w:hAnsi="Courier New"/>
          <w:color w:val="1B3A5C"/>
          <w:sz w:val="16"/>
          <w:szCs w:val="16"/>
        </w:rPr>
        <w:t xml:space="preserve">│        |   SEC investigation (Item 1.05 Form 8-K)                   │</w:t>
      </w:r>
    </w:p>
    <w:p>
      <w:pPr>
        <w:spacing w:after="0" w:line="240"/>
      </w:pPr>
      <w:r>
        <w:rPr>
          <w:rFonts w:ascii="Courier New" w:cs="Courier New" w:eastAsia="Courier New" w:hAnsi="Courier New"/>
          <w:color w:val="1B3A5C"/>
          <w:sz w:val="16"/>
          <w:szCs w:val="16"/>
        </w:rPr>
        <w:t xml:space="preserve">│        |   State AG inquiries (Texas, California, etc.)             │</w:t>
      </w:r>
    </w:p>
    <w:p>
      <w:pPr>
        <w:spacing w:after="0" w:line="240"/>
      </w:pPr>
      <w:r>
        <w:rPr>
          <w:rFonts w:ascii="Courier New" w:cs="Courier New" w:eastAsia="Courier New" w:hAnsi="Courier New"/>
          <w:color w:val="1B3A5C"/>
          <w:sz w:val="16"/>
          <w:szCs w:val="16"/>
        </w:rPr>
        <w:t xml:space="preserve">│        |   GDPR SAs investigations in EU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JAN 2023-Present: ARTIFACT PRESERVATION (Legal Hold)             │</w:t>
      </w:r>
    </w:p>
    <w:p>
      <w:pPr>
        <w:spacing w:after="0" w:line="240"/>
      </w:pPr>
      <w:r>
        <w:rPr>
          <w:rFonts w:ascii="Courier New" w:cs="Courier New" w:eastAsia="Courier New" w:hAnsi="Courier New"/>
          <w:color w:val="1B3A5C"/>
          <w:sz w:val="16"/>
          <w:szCs w:val="16"/>
        </w:rPr>
        <w:t xml:space="preserve">│        |   DD-025: Forensic data under indefinite legal hold         │</w:t>
      </w:r>
    </w:p>
    <w:p>
      <w:pPr>
        <w:spacing w:after="0" w:line="240"/>
      </w:pPr>
      <w:r>
        <w:rPr>
          <w:rFonts w:ascii="Courier New" w:cs="Courier New" w:eastAsia="Courier New" w:hAnsi="Courier New"/>
          <w:color w:val="1B3A5C"/>
          <w:sz w:val="16"/>
          <w:szCs w:val="16"/>
        </w:rPr>
        <w:t xml:space="preserve">│        |   DD-047: Encryption keys exempt from rotation              │</w:t>
      </w:r>
    </w:p>
    <w:p>
      <w:pPr>
        <w:spacing w:after="0" w:line="240"/>
      </w:pPr>
      <w:r>
        <w:rPr>
          <w:rFonts w:ascii="Courier New" w:cs="Courier New" w:eastAsia="Courier New" w:hAnsi="Courier New"/>
          <w:color w:val="1B3A5C"/>
          <w:sz w:val="16"/>
          <w:szCs w:val="16"/>
        </w:rPr>
        <w:t xml:space="preserve">│        |   POL-027 expanded to 5 notification regimes                │</w:t>
      </w:r>
    </w:p>
    <w:p>
      <w:pPr>
        <w:spacing w:after="0" w:line="240"/>
      </w:pPr>
      <w:r>
        <w:rPr>
          <w:rFonts w:ascii="Courier New" w:cs="Courier New" w:eastAsia="Courier New" w:hAnsi="Courier New"/>
          <w:color w:val="1B3A5C"/>
          <w:sz w:val="16"/>
          <w:szCs w:val="16"/>
        </w:rPr>
        <w:t xml:space="preserve">│        |   CTL-095 enhanced with SEC trigger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OUTCOME: Privacy posture accelerated from theoretical to tested  │</w:t>
      </w:r>
    </w:p>
    <w:p>
      <w:pPr>
        <w:spacing w:after="0" w:line="240"/>
      </w:pPr>
      <w:r>
        <w:rPr>
          <w:rFonts w:ascii="Courier New" w:cs="Courier New" w:eastAsia="Courier New" w:hAnsi="Courier New"/>
          <w:color w:val="1B3A5C"/>
          <w:sz w:val="16"/>
          <w:szCs w:val="16"/>
        </w:rPr>
        <w:t xml:space="preserve">└─────────────────────────────────────────────────────────────────┘</w:t>
      </w:r>
    </w:p>
    <w:p>
      <w:pPr>
        <w:spacing w:after="200"/>
      </w:pPr>
    </w:p>
    <w:p>
      <w:pPr>
        <w:pStyle w:val="Heading3"/>
        <w:spacing w:after="200" w:before="300"/>
      </w:pPr>
      <w:r>
        <w:rPr>
          <w:rFonts w:ascii="Arial" w:cs="Arial" w:eastAsia="Arial" w:hAnsi="Arial"/>
        </w:rPr>
        <w:t xml:space="preserve">Theme 5 Analysis: Crisis-Driven Capability Maturation</w:t>
      </w:r>
    </w:p>
    <w:p>
      <w:pPr>
        <w:spacing w:after="160" w:line="300"/>
      </w:pPr>
      <w:r>
        <w:rPr>
          <w:rFonts w:ascii="Arial" w:cs="Arial" w:eastAsia="Arial" w:hAnsi="Arial"/>
          <w:b w:val="false"/>
          <w:bCs w:val="false"/>
          <w:i w:val="false"/>
          <w:iCs w:val="false"/>
          <w:color w:val="333333"/>
          <w:sz w:val="22"/>
          <w:szCs w:val="22"/>
        </w:rPr>
        <w:t xml:space="preserve">Organizations often reach higher maturity levels through crisis response than through proactive planning. The December 2022 breach forced Rackspace's privacy and incident response capabilities to be tested at scale against real-time regulatory pressure. Unlike tabletop exercises or simulations, actual breach response reveals gaps in coordination, communication, evidence preservation, and regulatory compliance that are invisible until stress is applied.</w:t>
      </w:r>
    </w:p>
    <w:p>
      <w:pPr>
        <w:spacing w:after="160" w:line="300"/>
      </w:pPr>
      <w:r>
        <w:rPr>
          <w:rFonts w:ascii="Arial" w:cs="Arial" w:eastAsia="Arial" w:hAnsi="Arial"/>
          <w:b w:val="false"/>
          <w:bCs w:val="false"/>
          <w:i w:val="false"/>
          <w:iCs w:val="false"/>
          <w:color w:val="333333"/>
          <w:sz w:val="22"/>
          <w:szCs w:val="22"/>
        </w:rPr>
        <w:t xml:space="preserve">The breach appears to have accelerated Rackspace's privacy maturity in three ways. First, it operationalized breach notification procedures across five distinct regulatory regimes, forcing coordination between legal, compliance, and regulatory teams. Second, it embedded SEC disclosure obligation into incident response procedures (CTL-095 materiality assessment requirement), creating executive-level accountability. Third, it created ongoing forensic and regulatory evidence preservation requirements (DD-025, DD-047) that structure operational constraints for key management and data retention.</w:t>
      </w:r>
    </w:p>
    <w:p>
      <w:pPr>
        <w:spacing w:after="160" w:line="300"/>
      </w:pPr>
      <w:r>
        <w:rPr>
          <w:rFonts w:ascii="Arial" w:cs="Arial" w:eastAsia="Arial" w:hAnsi="Arial"/>
          <w:b w:val="false"/>
          <w:bCs w:val="false"/>
          <w:i w:val="false"/>
          <w:iCs w:val="false"/>
          <w:color w:val="333333"/>
          <w:sz w:val="22"/>
          <w:szCs w:val="22"/>
        </w:rPr>
        <w:t xml:space="preserve">The downside of crisis-driven maturity is that it often creates excess conservatism. The indefinite legal holds on breach artifacts (DD-025) and encryption key preservation exceptions (DD-047) that were appropriate during active investigation may persist past the point of legal necessity, constraining operational flexibility. However, this conservatism is a reasonable trade-off for the organizational learning the breach created.</w:t>
      </w:r>
    </w:p>
    <w:p>
      <w:r>
        <w:br w:type="page"/>
      </w:r>
    </w:p>
    <w:p>
      <w:pPr>
        <w:pStyle w:val="Heading1"/>
        <w:spacing w:after="200" w:before="300"/>
      </w:pPr>
      <w:r>
        <w:rPr>
          <w:rFonts w:ascii="Arial" w:cs="Arial" w:eastAsia="Arial" w:hAnsi="Arial"/>
        </w:rPr>
        <w:t xml:space="preserve">8. Core Privacy Policies and Enforcement Framework</w:t>
      </w:r>
    </w:p>
    <w:p>
      <w:pPr>
        <w:spacing w:after="160" w:line="300"/>
      </w:pPr>
      <w:r>
        <w:rPr>
          <w:rFonts w:ascii="Arial" w:cs="Arial" w:eastAsia="Arial" w:hAnsi="Arial"/>
          <w:b w:val="false"/>
          <w:bCs w:val="false"/>
          <w:i w:val="false"/>
          <w:iCs w:val="false"/>
          <w:color w:val="333333"/>
          <w:sz w:val="22"/>
          <w:szCs w:val="22"/>
        </w:rPr>
        <w:t xml:space="preserve">Capability 6's operational foundation rests on five core privacy policies that govern different aspects of privacy compliance and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Freq.</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POL-006</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Notice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365 days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Impact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POL-045</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HIPAA Security and Privacy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Cross-Border Data Transfer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POL-053</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Subject Rights Response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Operational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bl>
    <w:p>
      <w:pPr>
        <w:spacing w:after="200"/>
      </w:pPr>
    </w:p>
    <w:p>
      <w:pPr>
        <w:pStyle w:val="Heading2"/>
        <w:spacing w:after="200" w:before="300"/>
      </w:pPr>
      <w:r>
        <w:rPr>
          <w:rFonts w:ascii="Arial" w:cs="Arial" w:eastAsia="Arial" w:hAnsi="Arial"/>
        </w:rPr>
        <w:t xml:space="preserve">POL-006: Privacy Notice — GDPR Framework</w:t>
      </w:r>
    </w:p>
    <w:p>
      <w:pPr>
        <w:spacing w:after="160" w:line="300"/>
      </w:pPr>
      <w:r>
        <w:rPr>
          <w:rFonts w:ascii="Arial" w:cs="Arial" w:eastAsia="Arial" w:hAnsi="Arial"/>
          <w:b w:val="false"/>
          <w:bCs w:val="false"/>
          <w:i w:val="false"/>
          <w:iCs w:val="false"/>
          <w:color w:val="333333"/>
          <w:sz w:val="22"/>
          <w:szCs w:val="22"/>
        </w:rPr>
        <w:t xml:space="preserve">POL-006 governs the creation and delivery of privacy notices to data subjects, with explicit GDPR compliance requirements. GDPR Article 13 and 14 require that organizations provide specific information to data subjects at the time of data collection, including: the identity of the controller, purposes of processing, legal basis, recipient categories, retention periods, data subject rights, and complaint procedures. POL-006 designates the CPO (privacy@rackspace.com) as the responsible officer and specifies a 365-day review cycle, indicating that privacy notices are refreshed annually to account for changes in processing activities or regulatory requirements.</w:t>
      </w:r>
    </w:p>
    <w:p>
      <w:pPr>
        <w:pStyle w:val="Heading2"/>
        <w:spacing w:after="200" w:before="300"/>
      </w:pPr>
      <w:r>
        <w:rPr>
          <w:rFonts w:ascii="Arial" w:cs="Arial" w:eastAsia="Arial" w:hAnsi="Arial"/>
        </w:rPr>
        <w:t xml:space="preserve">POL-040: Privacy Impact Assessment — GDPR Art. 35</w:t>
      </w:r>
    </w:p>
    <w:p>
      <w:pPr>
        <w:spacing w:after="160" w:line="300"/>
      </w:pPr>
      <w:r>
        <w:rPr>
          <w:rFonts w:ascii="Arial" w:cs="Arial" w:eastAsia="Arial" w:hAnsi="Arial"/>
          <w:b w:val="false"/>
          <w:bCs w:val="false"/>
          <w:i w:val="false"/>
          <w:iCs w:val="false"/>
          <w:color w:val="333333"/>
          <w:sz w:val="22"/>
          <w:szCs w:val="22"/>
        </w:rPr>
        <w:t xml:space="preserve">POL-040 operationalizes GDPR Article 35's requirement for Data Protection Impact Assessment (DPIA). Whenever Rackspace initiates a new processing activity that is likely to result in high risk to data subjects (e.g., deployment of new customer surveillance technology, changes to data access controls), POL-040 triggers CTL-091 (Privacy Impact Assessment Process), which requires assessment of processing purposes, legal basis, necessity, proportionality, and identification of data protection risks. The policy has High severity and Annual review cycle.</w:t>
      </w:r>
    </w:p>
    <w:p>
      <w:pPr>
        <w:pStyle w:val="Heading2"/>
        <w:spacing w:after="200" w:before="300"/>
      </w:pPr>
      <w:r>
        <w:rPr>
          <w:rFonts w:ascii="Arial" w:cs="Arial" w:eastAsia="Arial" w:hAnsi="Arial"/>
        </w:rPr>
        <w:t xml:space="preserve">POL-045: HIPAA Security and Privacy — Business Associate Framework</w:t>
      </w:r>
    </w:p>
    <w:p>
      <w:pPr>
        <w:spacing w:after="160" w:line="300"/>
      </w:pPr>
      <w:r>
        <w:rPr>
          <w:rFonts w:ascii="Arial" w:cs="Arial" w:eastAsia="Arial" w:hAnsi="Arial"/>
          <w:b w:val="false"/>
          <w:bCs w:val="false"/>
          <w:i w:val="false"/>
          <w:iCs w:val="false"/>
          <w:color w:val="333333"/>
          <w:sz w:val="22"/>
          <w:szCs w:val="22"/>
        </w:rPr>
        <w:t xml:space="preserve">POL-045 addresses U.S. healthcare privacy regulation (45 CFR Parts 160 and 164). It explicitly governs Rackspace's relationship with healthcare customers through Business Associate Agreements (BAAs). The policy covers both the Security Rule (technical and administrative safeguards for Protected Health Information) and Privacy Rule (use and disclosure restrictions). POL-045 has Critical severity, reflecting healthcare's high-risk nature and significant penalties for non-compliance.</w:t>
      </w:r>
    </w:p>
    <w:p>
      <w:pPr>
        <w:pStyle w:val="Heading2"/>
        <w:spacing w:after="200" w:before="300"/>
      </w:pPr>
      <w:r>
        <w:rPr>
          <w:rFonts w:ascii="Arial" w:cs="Arial" w:eastAsia="Arial" w:hAnsi="Arial"/>
        </w:rPr>
        <w:t xml:space="preserve">POL-050: Cross-Border Data Transfer — Legal Mechanisms</w:t>
      </w:r>
    </w:p>
    <w:p>
      <w:pPr>
        <w:spacing w:after="160" w:line="300"/>
      </w:pPr>
      <w:r>
        <w:rPr>
          <w:rFonts w:ascii="Arial" w:cs="Arial" w:eastAsia="Arial" w:hAnsi="Arial"/>
          <w:b w:val="false"/>
          <w:bCs w:val="false"/>
          <w:i w:val="false"/>
          <w:iCs w:val="false"/>
          <w:color w:val="333333"/>
          <w:sz w:val="22"/>
          <w:szCs w:val="22"/>
        </w:rPr>
        <w:t xml:space="preserve">As discussed in Theme 4, POL-050 governs the legal mechanisms (SCCs, DPF, CBPR, UK IDTA) and technical safeguards (encryption, isolation) for cross-border transfers. The policy is Critical severity due to GDPR's treatment of inadequate transfer safeguards as a direct violation and potential source of significant enforcement risk.</w:t>
      </w:r>
    </w:p>
    <w:p>
      <w:pPr>
        <w:pStyle w:val="Heading2"/>
        <w:spacing w:after="200" w:before="300"/>
      </w:pPr>
      <w:r>
        <w:rPr>
          <w:rFonts w:ascii="Arial" w:cs="Arial" w:eastAsia="Arial" w:hAnsi="Arial"/>
        </w:rPr>
        <w:t xml:space="preserve">POL-053: Data Subject Rights Response — GDPR and CCPA/CPRA</w:t>
      </w:r>
    </w:p>
    <w:p>
      <w:pPr>
        <w:spacing w:after="160" w:line="300"/>
      </w:pPr>
      <w:r>
        <w:rPr>
          <w:rFonts w:ascii="Arial" w:cs="Arial" w:eastAsia="Arial" w:hAnsi="Arial"/>
          <w:b w:val="false"/>
          <w:bCs w:val="false"/>
          <w:i w:val="false"/>
          <w:iCs w:val="false"/>
          <w:color w:val="333333"/>
          <w:sz w:val="22"/>
          <w:szCs w:val="22"/>
        </w:rPr>
        <w:t xml:space="preserve">POL-053 operationalizes the legal obligations for responding to data subject access requests (DSARs) and other data subject rights. The policy covers: right to access (GDPR Art. 15, CCPA §1798.100), right to rectification (GDPR Art. 16, CPRA §1798.105), right to erasure (GDPR Art. 17, CCPA §1798.105), right to restrict processing (GDPR Art. 18), right to portability (GDPR Art. 20, CCPA §1798.100), right to object (GDPR Art. 21), and right against automated decision-making (GDPR Art. 22). The policy specifies a 30-day response timeline aligned with GDPR's default requirement. Importantly, the policy is marked as 'Operational' severity (lower than Critical), suggesting organizational judgment that while DSR compliance is important, it is operationally manageable within Rackspace's current capability level.</w:t>
      </w:r>
    </w:p>
    <w:p>
      <w:r>
        <w:br w:type="page"/>
      </w:r>
    </w:p>
    <w:p>
      <w:pPr>
        <w:pStyle w:val="Heading1"/>
        <w:spacing w:after="200" w:before="300"/>
      </w:pPr>
      <w:r>
        <w:rPr>
          <w:rFonts w:ascii="Arial" w:cs="Arial" w:eastAsia="Arial" w:hAnsi="Arial"/>
        </w:rPr>
        <w:t xml:space="preserve">9. Privacy Control Coverage: Detection and Prevention</w:t>
      </w:r>
    </w:p>
    <w:p>
      <w:pPr>
        <w:spacing w:after="160" w:line="300"/>
      </w:pPr>
      <w:r>
        <w:rPr>
          <w:rFonts w:ascii="Arial" w:cs="Arial" w:eastAsia="Arial" w:hAnsi="Arial"/>
          <w:b w:val="false"/>
          <w:bCs w:val="false"/>
          <w:i w:val="false"/>
          <w:iCs w:val="false"/>
          <w:color w:val="333333"/>
          <w:sz w:val="22"/>
          <w:szCs w:val="22"/>
        </w:rPr>
        <w:t xml:space="preserve">Capability 6's operational depth is manifested in 15+ privacy-specific controls spanning preventive, detective, and corrective categories. This control architecture represents the day-to-day mechanisms through which privacy policies are operationalized: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80"/>
        <w:gridCol w:w="14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Count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Preventive</w:t>
            </w:r>
          </w:p>
        </w:tc>
        <w:tc>
          <w:tcPr>
            <w:tcW w:type="dxa" w:w="1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Detective</w:t>
            </w:r>
          </w:p>
        </w:tc>
        <w:tc>
          <w:tcPr>
            <w:tcW w:type="dxa" w:w="1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Automated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6.1: Privacy Governance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POL-006 notice</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POL-040 PIA</w:t>
            </w:r>
          </w:p>
        </w:tc>
        <w:tc>
          <w:tcPr>
            <w:tcW w:type="dxa" w:w="1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Automated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6.2: Privacy Impact Assessment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CTL-091 Process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CTL-096 Design</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Partially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6.3: Data Protection Controls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CTL-029/030 Enc</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CTL-032 DLP</w:t>
            </w:r>
          </w:p>
        </w:tc>
        <w:tc>
          <w:tcPr>
            <w:tcW w:type="dxa" w:w="1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6.4: Cross-Border Transfer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CTL-035 Legal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CTL-330 Validate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6.5: Data Subject Rights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CTL-092 Response</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CTL-093 Consent</w:t>
            </w:r>
          </w:p>
        </w:tc>
        <w:tc>
          <w:tcPr>
            <w:tcW w:type="dxa" w:w="1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Partial</w:t>
            </w:r>
          </w:p>
        </w:tc>
      </w:tr>
    </w:tbl>
    <w:p>
      <w:pPr>
        <w:spacing w:after="200"/>
      </w:pPr>
    </w:p>
    <w:p>
      <w:pPr>
        <w:pStyle w:val="Heading2"/>
        <w:spacing w:after="200" w:before="300"/>
      </w:pPr>
      <w:r>
        <w:rPr>
          <w:rFonts w:ascii="Arial" w:cs="Arial" w:eastAsia="Arial" w:hAnsi="Arial"/>
        </w:rPr>
        <w:t xml:space="preserve">Preventive Controls: Privacy-by-Design (CTL-096)</w:t>
      </w:r>
    </w:p>
    <w:p>
      <w:pPr>
        <w:spacing w:after="160" w:line="300"/>
      </w:pPr>
      <w:r>
        <w:rPr>
          <w:rFonts w:ascii="Arial" w:cs="Arial" w:eastAsia="Arial" w:hAnsi="Arial"/>
          <w:b w:val="false"/>
          <w:bCs w:val="false"/>
          <w:i w:val="false"/>
          <w:iCs w:val="false"/>
          <w:color w:val="333333"/>
          <w:sz w:val="22"/>
          <w:szCs w:val="22"/>
        </w:rPr>
        <w:t xml:space="preserve">CTL-096 (Privacy-by-Design in Service Development) is a Preventive control aligned with GDPR Article 25. The control embeds privacy requirements into product development lifecycles before systems are deployed. Rather than attempting to retrofit privacy into existing systems, CTL-096 ensures that privacy is architected from inception. This represents a maturity level where privacy is not an afterthought but a design requirement.</w:t>
      </w:r>
    </w:p>
    <w:p>
      <w:pPr>
        <w:pStyle w:val="Heading2"/>
        <w:spacing w:after="200" w:before="300"/>
      </w:pPr>
      <w:r>
        <w:rPr>
          <w:rFonts w:ascii="Arial" w:cs="Arial" w:eastAsia="Arial" w:hAnsi="Arial"/>
        </w:rPr>
        <w:t xml:space="preserve">Detective Controls: DLP, Consent Management, Cookie Controls</w:t>
      </w:r>
    </w:p>
    <w:p>
      <w:pPr>
        <w:spacing w:after="160" w:line="300"/>
      </w:pPr>
      <w:r>
        <w:rPr>
          <w:rFonts w:ascii="Arial" w:cs="Arial" w:eastAsia="Arial" w:hAnsi="Arial"/>
          <w:b w:val="false"/>
          <w:bCs w:val="false"/>
          <w:i w:val="false"/>
          <w:iCs w:val="false"/>
          <w:color w:val="333333"/>
          <w:sz w:val="22"/>
          <w:szCs w:val="22"/>
        </w:rPr>
        <w:t xml:space="preserve">CTL-032 (Data Loss Prevention) monitors data in flight across email, web, and endpoint channels for unauthorized transmission of sensitive personal data. CTL-093 (Cookie Consent Management) and CTL-298 (Cookie Consent and Tracking Controls) enforce GDPR Article 7 (explicit consent requirement) and ePrivacy Directive requirements. CTL-300 (Digital Marketing Privacy Controls) ensures consent-based marketing compliance. These detective controls provide continuous monitoring for privacy compliance violations.</w:t>
      </w:r>
    </w:p>
    <w:p>
      <w:pPr>
        <w:pStyle w:val="Heading2"/>
        <w:spacing w:after="200" w:before="300"/>
      </w:pPr>
      <w:r>
        <w:rPr>
          <w:rFonts w:ascii="Arial" w:cs="Arial" w:eastAsia="Arial" w:hAnsi="Arial"/>
        </w:rPr>
        <w:t xml:space="preserve">Corrective Controls: Breach Notification and DSR Handling</w:t>
      </w:r>
    </w:p>
    <w:p>
      <w:pPr>
        <w:spacing w:after="160" w:line="300"/>
      </w:pPr>
      <w:r>
        <w:rPr>
          <w:rFonts w:ascii="Arial" w:cs="Arial" w:eastAsia="Arial" w:hAnsi="Arial"/>
          <w:b w:val="false"/>
          <w:bCs w:val="false"/>
          <w:i w:val="false"/>
          <w:iCs w:val="false"/>
          <w:color w:val="333333"/>
          <w:sz w:val="22"/>
          <w:szCs w:val="22"/>
        </w:rPr>
        <w:t xml:space="preserve">CTL-095 (Breach Notification Process) and CTL-092 (Privacy Data Subject Rights Request Handling) are Corrective controls that respond to privacy incidents or regulatory obligations after they occur. CTL-092 explicitly specifies a 30-day GDPR timeline and covers three constituencies: customer employees, Rackspace employees, and website visitors. The control's explicit coverage of multiple constituencies indicates operational sophistication in understanding that privacy obligations extend beyond customers to all individuals whose data Rackspace processes.</w:t>
      </w:r>
    </w:p>
    <w:p>
      <w:r>
        <w:br w:type="page"/>
      </w:r>
    </w:p>
    <w:p>
      <w:pPr>
        <w:pStyle w:val="Heading1"/>
        <w:spacing w:after="200" w:before="300"/>
      </w:pPr>
      <w:r>
        <w:rPr>
          <w:rFonts w:ascii="Arial" w:cs="Arial" w:eastAsia="Arial" w:hAnsi="Arial"/>
        </w:rPr>
        <w:t xml:space="preserve">10. Theme 6: The Measurement Void Even at Score 4</w:t>
      </w:r>
    </w:p>
    <w:p>
      <w:pPr>
        <w:spacing w:after="160" w:line="300"/>
      </w:pPr>
      <w:r>
        <w:rPr>
          <w:rFonts w:ascii="Arial" w:cs="Arial" w:eastAsia="Arial" w:hAnsi="Arial"/>
          <w:b w:val="false"/>
          <w:bCs w:val="false"/>
          <w:i w:val="false"/>
          <w:iCs w:val="false"/>
          <w:color w:val="333333"/>
          <w:sz w:val="22"/>
          <w:szCs w:val="22"/>
        </w:rPr>
        <w:t xml:space="preserve">Despite achieving the highest capability score (4, Managed) in the entire DCAM assessment, every privacy control in the knowledge graph exhibits the same structural absence evident in lower-scoring capabilities: empty KPI objects and undefined control effectiveness ratings.</w:t>
      </w:r>
    </w:p>
    <w:p>
      <w:pPr>
        <w:spacing w:after="160" w:line="300"/>
      </w:pPr>
      <w:r>
        <w:rPr>
          <w:rFonts w:ascii="Arial" w:cs="Arial" w:eastAsia="Arial" w:hAnsi="Arial"/>
          <w:b w:val="false"/>
          <w:bCs w:val="false"/>
          <w:i w:val="false"/>
          <w:iCs w:val="false"/>
          <w:color w:val="333333"/>
          <w:sz w:val="22"/>
          <w:szCs w:val="22"/>
        </w:rPr>
        <w:t xml:space="preserve">CTL-091 (Privacy Impact Assessment Process), CTL-092 (DSR Handling), CTL-093 (Cookie Consent), CTL-095 (Breach Notification), CTL-096 (Privacy-by-Design), CTL-225 (Privacy Notice Delivery), CTL-298 (Cookie Consent and Tracking), CTL-300 (Digital Marketing Controls), CTL-029 (Encryption in Transit), CTL-030 (Encryption at Rest), CTL-032 (DLP), CTL-035 (Cross-Border Transfer Safeguards), CTL-330 (Transfer Mechanism Validation) — all have:</w:t>
      </w:r>
    </w:p>
    <w:p>
      <w:pPr>
        <w:pStyle w:val="ListParagraph"/>
        <w:numPr>
          <w:ilvl w:val="0"/>
          <w:numId w:val="2"/>
        </w:numPr>
        <w:spacing w:after="100" w:line="280"/>
      </w:pPr>
      <w:r>
        <w:rPr>
          <w:rFonts w:ascii="Arial" w:cs="Arial" w:eastAsia="Arial" w:hAnsi="Arial"/>
          <w:color w:val="333333"/>
          <w:sz w:val="22"/>
          <w:szCs w:val="22"/>
        </w:rPr>
        <w:t xml:space="preserve">metric_name: null</w:t>
      </w:r>
    </w:p>
    <w:p>
      <w:pPr>
        <w:pStyle w:val="ListParagraph"/>
        <w:numPr>
          <w:ilvl w:val="0"/>
          <w:numId w:val="2"/>
        </w:numPr>
        <w:spacing w:after="100" w:line="280"/>
      </w:pPr>
      <w:r>
        <w:rPr>
          <w:rFonts w:ascii="Arial" w:cs="Arial" w:eastAsia="Arial" w:hAnsi="Arial"/>
          <w:color w:val="333333"/>
          <w:sz w:val="22"/>
          <w:szCs w:val="22"/>
        </w:rPr>
        <w:t xml:space="preserve">target_value: null</w:t>
      </w:r>
    </w:p>
    <w:p>
      <w:pPr>
        <w:pStyle w:val="ListParagraph"/>
        <w:numPr>
          <w:ilvl w:val="0"/>
          <w:numId w:val="2"/>
        </w:numPr>
        <w:spacing w:after="100" w:line="280"/>
      </w:pPr>
      <w:r>
        <w:rPr>
          <w:rFonts w:ascii="Arial" w:cs="Arial" w:eastAsia="Arial" w:hAnsi="Arial"/>
          <w:color w:val="333333"/>
          <w:sz w:val="22"/>
          <w:szCs w:val="22"/>
        </w:rPr>
        <w:t xml:space="preserve">current_value: null</w:t>
      </w:r>
    </w:p>
    <w:p>
      <w:pPr>
        <w:pStyle w:val="ListParagraph"/>
        <w:numPr>
          <w:ilvl w:val="0"/>
          <w:numId w:val="2"/>
        </w:numPr>
        <w:spacing w:after="100" w:line="280"/>
      </w:pPr>
      <w:r>
        <w:rPr>
          <w:rFonts w:ascii="Arial" w:cs="Arial" w:eastAsia="Arial" w:hAnsi="Arial"/>
          <w:color w:val="333333"/>
          <w:sz w:val="22"/>
          <w:szCs w:val="22"/>
        </w:rPr>
        <w:t xml:space="preserve">measurement_method: null</w:t>
      </w:r>
    </w:p>
    <w:p>
      <w:pPr>
        <w:pStyle w:val="ListParagraph"/>
        <w:numPr>
          <w:ilvl w:val="0"/>
          <w:numId w:val="2"/>
        </w:numPr>
        <w:spacing w:after="100" w:line="280"/>
      </w:pPr>
      <w:r>
        <w:rPr>
          <w:rFonts w:ascii="Arial" w:cs="Arial" w:eastAsia="Arial" w:hAnsi="Arial"/>
          <w:color w:val="333333"/>
          <w:sz w:val="22"/>
          <w:szCs w:val="22"/>
        </w:rPr>
        <w:t xml:space="preserve">frequency: null</w:t>
      </w:r>
    </w:p>
    <w:p>
      <w:pPr>
        <w:pStyle w:val="ListParagraph"/>
        <w:numPr>
          <w:ilvl w:val="0"/>
          <w:numId w:val="2"/>
        </w:numPr>
        <w:spacing w:after="100" w:line="280"/>
      </w:pPr>
      <w:r>
        <w:rPr>
          <w:rFonts w:ascii="Arial" w:cs="Arial" w:eastAsia="Arial" w:hAnsi="Arial"/>
          <w:color w:val="333333"/>
          <w:sz w:val="22"/>
          <w:szCs w:val="22"/>
        </w:rPr>
        <w:t xml:space="preserve">control_effectiveness: null</w:t>
      </w:r>
    </w:p>
    <w:p>
      <w:pPr>
        <w:spacing w:after="160" w:line="300"/>
      </w:pPr>
      <w:r>
        <w:rPr>
          <w:rFonts w:ascii="Arial" w:cs="Arial" w:eastAsia="Arial" w:hAnsi="Arial"/>
          <w:b w:val="false"/>
          <w:bCs w:val="false"/>
          <w:i w:val="false"/>
          <w:iCs w:val="false"/>
          <w:color w:val="333333"/>
          <w:sz w:val="22"/>
          <w:szCs w:val="22"/>
        </w:rPr>
        <w:t xml:space="preserve">This pattern means Rackspace has implemented privacy controls and conducts compliance activities (DSR response, privacy notice updates, breach notification), but cannot quantitatively demonstrate the effectiveness of those controls. The organization operates on faith rather than measurement.</w:t>
      </w:r>
    </w:p>
    <w:p>
      <w:pPr>
        <w:pStyle w:val="Heading3"/>
        <w:spacing w:after="200" w:before="300"/>
      </w:pPr>
      <w:r>
        <w:rPr>
          <w:rFonts w:ascii="Arial" w:cs="Arial" w:eastAsia="Arial" w:hAnsi="Arial"/>
        </w:rPr>
        <w:t xml:space="preserve">What Score 5 Would Require</w:t>
      </w:r>
    </w:p>
    <w:p>
      <w:pPr>
        <w:spacing w:after="160" w:line="300"/>
      </w:pPr>
      <w:r>
        <w:rPr>
          <w:rFonts w:ascii="Arial" w:cs="Arial" w:eastAsia="Arial" w:hAnsi="Arial"/>
          <w:b w:val="false"/>
          <w:bCs w:val="false"/>
          <w:i w:val="false"/>
          <w:iCs w:val="false"/>
          <w:color w:val="333333"/>
          <w:sz w:val="22"/>
          <w:szCs w:val="22"/>
        </w:rPr>
        <w:t xml:space="preserve">Transition from Score 4 (Managed) to Score 5 (Optimized) would require measurement and continuous improvement cycles:</w:t>
      </w:r>
    </w:p>
    <w:p>
      <w:pPr>
        <w:pStyle w:val="ListParagraph"/>
        <w:numPr>
          <w:ilvl w:val="0"/>
          <w:numId w:val="2"/>
        </w:numPr>
        <w:spacing w:after="100" w:line="280"/>
      </w:pPr>
      <w:r>
        <w:rPr>
          <w:rFonts w:ascii="Arial" w:cs="Arial" w:eastAsia="Arial" w:hAnsi="Arial"/>
          <w:color w:val="333333"/>
          <w:sz w:val="22"/>
          <w:szCs w:val="22"/>
        </w:rPr>
        <w:t xml:space="preserve">CTL-091 KPI Example: Metric = 'Number of PIAs completed for new processing activities'; Target = '100% of new processing activities triggering DPIA requirements assessed within 30 days'; Current Value = measured monthly; Effectiveness = percentage of PIAs that identified risks subsequently remediated.</w:t>
      </w:r>
    </w:p>
    <w:p>
      <w:pPr>
        <w:pStyle w:val="ListParagraph"/>
        <w:numPr>
          <w:ilvl w:val="0"/>
          <w:numId w:val="2"/>
        </w:numPr>
        <w:spacing w:after="100" w:line="280"/>
      </w:pPr>
      <w:r>
        <w:rPr>
          <w:rFonts w:ascii="Arial" w:cs="Arial" w:eastAsia="Arial" w:hAnsi="Arial"/>
          <w:color w:val="333333"/>
          <w:sz w:val="22"/>
          <w:szCs w:val="22"/>
        </w:rPr>
        <w:t xml:space="preserve">CTL-092 KPI Example: Metric = 'Mean time to DSR fulfillment'; Target = 'Median 15 days, 95th percentile &lt;25 days'; Current Value = tracked per request; Effectiveness = percentage of DSRs completed within target SLA.</w:t>
      </w:r>
    </w:p>
    <w:p>
      <w:pPr>
        <w:pStyle w:val="ListParagraph"/>
        <w:numPr>
          <w:ilvl w:val="0"/>
          <w:numId w:val="2"/>
        </w:numPr>
        <w:spacing w:after="100" w:line="280"/>
      </w:pPr>
      <w:r>
        <w:rPr>
          <w:rFonts w:ascii="Arial" w:cs="Arial" w:eastAsia="Arial" w:hAnsi="Arial"/>
          <w:color w:val="333333"/>
          <w:sz w:val="22"/>
          <w:szCs w:val="22"/>
        </w:rPr>
        <w:t xml:space="preserve">CTL-095 KPI Example: Metric = 'Breach notification SLA adherence'; Target = '100% notifications within GDPR 72-hour requirement'; Current Value = measured per incident; Effectiveness = zero missed deadlines.</w:t>
      </w:r>
    </w:p>
    <w:p>
      <w:pPr>
        <w:spacing w:after="160" w:line="300"/>
      </w:pPr>
      <w:r>
        <w:rPr>
          <w:rFonts w:ascii="Arial" w:cs="Arial" w:eastAsia="Arial" w:hAnsi="Arial"/>
          <w:b w:val="false"/>
          <w:bCs w:val="false"/>
          <w:i w:val="false"/>
          <w:iCs w:val="false"/>
          <w:color w:val="333333"/>
          <w:sz w:val="22"/>
          <w:szCs w:val="22"/>
        </w:rPr>
        <w:t xml:space="preserve">The absence of these metrics across all privacy controls indicates that while Rackspace conducts privacy activities, it does not systematically measure whether those activities are effective, efficient, or trending toward continuous improvement. This represents the gap between Managed (Score 4) and Optimized (Score 5).</w:t>
      </w:r>
    </w:p>
    <w:p>
      <w:r>
        <w:br w:type="page"/>
      </w:r>
    </w:p>
    <w:p>
      <w:pPr>
        <w:pStyle w:val="Heading1"/>
        <w:spacing w:after="200" w:before="300"/>
      </w:pPr>
      <w:r>
        <w:rPr>
          <w:rFonts w:ascii="Arial" w:cs="Arial" w:eastAsia="Arial" w:hAnsi="Arial"/>
        </w:rPr>
        <w:t xml:space="preserve">11. Theme 7: Privacy as Revenue Architecture</w:t>
      </w:r>
    </w:p>
    <w:p>
      <w:pPr>
        <w:spacing w:after="160" w:line="300"/>
      </w:pPr>
      <w:r>
        <w:rPr>
          <w:rFonts w:ascii="Arial" w:cs="Arial" w:eastAsia="Arial" w:hAnsi="Arial"/>
          <w:b w:val="false"/>
          <w:bCs w:val="false"/>
          <w:i w:val="false"/>
          <w:iCs w:val="false"/>
          <w:color w:val="333333"/>
          <w:sz w:val="22"/>
          <w:szCs w:val="22"/>
        </w:rPr>
        <w:t xml:space="preserve">Privacy management is not merely a compliance cost center; it is directly correlated with Rackspace's most valuable revenue streams. The $4.34M investment in privacy infrastructure supports products and customer segments worth orders of magnitude more.</w:t>
      </w:r>
    </w:p>
    <w:p>
      <w:pPr>
        <w:pStyle w:val="Heading2"/>
        <w:spacing w:after="200" w:before="300"/>
      </w:pPr>
      <w:r>
        <w:rPr>
          <w:rFonts w:ascii="Arial" w:cs="Arial" w:eastAsia="Arial" w:hAnsi="Arial"/>
        </w:rPr>
        <w:t xml:space="preserve">Regulated Customer Segments</w:t>
      </w:r>
    </w:p>
    <w:p>
      <w:pPr>
        <w:spacing w:after="160" w:line="300"/>
      </w:pPr>
      <w:r>
        <w:rPr>
          <w:rFonts w:ascii="Arial" w:cs="Arial" w:eastAsia="Arial" w:hAnsi="Arial"/>
          <w:b w:val="false"/>
          <w:bCs w:val="false"/>
          <w:i w:val="false"/>
          <w:iCs w:val="false"/>
          <w:color w:val="333333"/>
          <w:sz w:val="22"/>
          <w:szCs w:val="22"/>
        </w:rPr>
        <w:t xml:space="preserve">Three customer segments require privacy-enabled infrastructure:</w:t>
      </w:r>
    </w:p>
    <w:p>
      <w:pPr>
        <w:pStyle w:val="ListParagraph"/>
        <w:numPr>
          <w:ilvl w:val="0"/>
          <w:numId w:val="2"/>
        </w:numPr>
        <w:spacing w:after="100" w:line="280"/>
      </w:pPr>
      <w:r>
        <w:rPr>
          <w:rFonts w:ascii="Arial" w:cs="Arial" w:eastAsia="Arial" w:hAnsi="Arial"/>
          <w:color w:val="333333"/>
          <w:sz w:val="22"/>
          <w:szCs w:val="22"/>
        </w:rPr>
        <w:t xml:space="preserve">Healthcare: Rackspace operates as a HIPAA Business Associate (POL-045, BAA requirements). Healthcare customers processing Protected Health Information (PHI) require HIPAA-compliant infrastructure. HIPAA-covered entities cannot outsource to vendors without BAA. Rackspace's ability to offer HIPAA-compliant hosting (encryption, audit logs, data segregation) is a competitive requirement for health sector customers. Healthcare cloud infrastructure commands premium pricing due to compliance complexity.</w:t>
      </w:r>
    </w:p>
    <w:p>
      <w:pPr>
        <w:pStyle w:val="ListParagraph"/>
        <w:numPr>
          <w:ilvl w:val="0"/>
          <w:numId w:val="2"/>
        </w:numPr>
        <w:spacing w:after="100" w:line="280"/>
      </w:pPr>
      <w:r>
        <w:rPr>
          <w:rFonts w:ascii="Arial" w:cs="Arial" w:eastAsia="Arial" w:hAnsi="Arial"/>
          <w:color w:val="333333"/>
          <w:sz w:val="22"/>
          <w:szCs w:val="22"/>
        </w:rPr>
        <w:t xml:space="preserve">Government/Defense: Federal government customers processing sensitive data require FedRAMP ATO (Authority to Operate). FedRAMP compliance requires privacy controls (data minimization, retention policies, access controls) as a prerequisite for authorization. Rackspace's FedRAMP ATO enables government customer relationships. PRD-014 (Rackspace Data Protection, Cohesity-powered) explicitly addresses government/regulated sector data protection needs.</w:t>
      </w:r>
    </w:p>
    <w:p>
      <w:pPr>
        <w:pStyle w:val="ListParagraph"/>
        <w:numPr>
          <w:ilvl w:val="0"/>
          <w:numId w:val="2"/>
        </w:numPr>
        <w:spacing w:after="100" w:line="280"/>
      </w:pPr>
      <w:r>
        <w:rPr>
          <w:rFonts w:ascii="Arial" w:cs="Arial" w:eastAsia="Arial" w:hAnsi="Arial"/>
          <w:color w:val="333333"/>
          <w:sz w:val="22"/>
          <w:szCs w:val="22"/>
        </w:rPr>
        <w:t xml:space="preserve">Financial Services: PCI DSS Level 1 certification (cardholder data processing) requires data protection controls (encryption, PCI DSS CDE isolation, CTL-291). Financial services and payment processors require PCI Level 1 providers. Rackspace's PCI compliance enables relationships with financial institutions.</w:t>
      </w:r>
    </w:p>
    <w:p>
      <w:pPr>
        <w:pStyle w:val="Heading2"/>
        <w:spacing w:after="200" w:before="300"/>
      </w:pPr>
      <w:r>
        <w:rPr>
          <w:rFonts w:ascii="Arial" w:cs="Arial" w:eastAsia="Arial" w:hAnsi="Arial"/>
        </w:rPr>
        <w:t xml:space="preserve">Product Portfolio Alignment</w:t>
      </w:r>
    </w:p>
    <w:p>
      <w:pPr>
        <w:spacing w:after="160" w:line="300"/>
      </w:pPr>
      <w:r>
        <w:rPr>
          <w:rFonts w:ascii="Arial" w:cs="Arial" w:eastAsia="Arial" w:hAnsi="Arial"/>
          <w:b w:val="false"/>
          <w:bCs w:val="false"/>
          <w:i w:val="false"/>
          <w:iCs w:val="false"/>
          <w:color w:val="333333"/>
          <w:sz w:val="22"/>
          <w:szCs w:val="22"/>
        </w:rPr>
        <w:t xml:space="preserve">PRD-014 (Rackspace Data Protection, Cohesity-powered) is explicitly positioned as a SaaS product in Growth lifecycle. The product is designed for customers who require data protection, disaster recovery, and privacy compliance. The product directly monetizes Rackspace's privacy and data protection capabilities. The associated portfolio PF-051 (Data Protection Services) is classified as having Core strategic role with Growth trajectory.</w:t>
      </w:r>
    </w:p>
    <w:p>
      <w:pPr>
        <w:spacing w:after="160" w:line="300"/>
      </w:pPr>
      <w:r>
        <w:rPr>
          <w:rFonts w:ascii="Arial" w:cs="Arial" w:eastAsia="Arial" w:hAnsi="Arial"/>
          <w:b w:val="false"/>
          <w:bCs w:val="false"/>
          <w:i w:val="false"/>
          <w:iCs w:val="false"/>
          <w:color w:val="333333"/>
          <w:sz w:val="22"/>
          <w:szCs w:val="22"/>
        </w:rPr>
        <w:t xml:space="preserve">Both PRD-014 and PF-051 directly depend on Rackspace's own privacy and data protection maturity. A company that did not internally implement encryption, DLP, and cross-border transfer safeguards (CTL-029, CTL-030, CTL-032, CTL-035) could not credibly offer these as customer-facing services. Privacy maturity is a prerequisite for product credibility.</w:t>
      </w:r>
    </w:p>
    <w:p>
      <w:pPr>
        <w:pStyle w:val="Heading3"/>
        <w:spacing w:after="200" w:before="300"/>
      </w:pPr>
      <w:r>
        <w:rPr>
          <w:rFonts w:ascii="Arial" w:cs="Arial" w:eastAsia="Arial" w:hAnsi="Arial"/>
        </w:rPr>
        <w:t xml:space="preserve">Revenue-to-Investment Ratio</w:t>
      </w:r>
    </w:p>
    <w:p>
      <w:pPr>
        <w:spacing w:after="160" w:line="300"/>
      </w:pPr>
      <w:r>
        <w:rPr>
          <w:rFonts w:ascii="Arial" w:cs="Arial" w:eastAsia="Arial" w:hAnsi="Arial"/>
          <w:b w:val="false"/>
          <w:bCs w:val="false"/>
          <w:i w:val="false"/>
          <w:iCs w:val="false"/>
          <w:color w:val="333333"/>
          <w:sz w:val="22"/>
          <w:szCs w:val="22"/>
        </w:rPr>
        <w:t xml:space="preserve">The $4.34M privacy investment supports customer segments and products that represent a substantial portion of Rackspace's revenue base. Assuming average customer cloud infrastructure spending of $50K-200K annually per enterprise customer, and assuming that 20-40% of Rackspace's enterprise customer base are in regulated sectors (healthcare, government, financial services) requiring privacy-enabled infrastructure, the privacy program's revenue enablement is in the range of hundreds of millions of dollars annually. The ROI on the $4.34M privacy investment is measured in orders of magnitude.</w:t>
      </w:r>
    </w:p>
    <w:p>
      <w:pPr>
        <w:spacing w:after="160" w:line="300"/>
      </w:pPr>
      <w:r>
        <w:rPr>
          <w:rFonts w:ascii="Arial" w:cs="Arial" w:eastAsia="Arial" w:hAnsi="Arial"/>
          <w:b w:val="false"/>
          <w:bCs w:val="false"/>
          <w:i w:val="false"/>
          <w:iCs w:val="false"/>
          <w:color w:val="333333"/>
          <w:sz w:val="22"/>
          <w:szCs w:val="22"/>
        </w:rPr>
        <w:t xml:space="preserve">This alignment means that privacy capability is not a risk mitigation cost but a revenue enablement investment. Conversely, privacy capability gaps create revenue risk: a loss of HIPAA BAA status, FedRAMP ATO revocation, or PCI DSS downgrade would immediately impact customer relationships in regulated sectors.</w:t>
      </w:r>
    </w:p>
    <w:p>
      <w:r>
        <w:br w:type="page"/>
      </w:r>
    </w:p>
    <w:p>
      <w:pPr>
        <w:pStyle w:val="Heading1"/>
        <w:spacing w:after="200" w:before="300"/>
      </w:pPr>
      <w:r>
        <w:rPr>
          <w:rFonts w:ascii="Arial" w:cs="Arial" w:eastAsia="Arial" w:hAnsi="Arial"/>
        </w:rPr>
        <w:t xml:space="preserve">12. Key Findings: Analytical Summary</w:t>
      </w:r>
    </w:p>
    <w:p>
      <w:pPr>
        <w:pStyle w:val="ListParagraph"/>
        <w:numPr>
          <w:ilvl w:val="0"/>
          <w:numId w:val="3"/>
        </w:numPr>
        <w:spacing w:after="100" w:line="280"/>
      </w:pPr>
      <w:r>
        <w:rPr>
          <w:rFonts w:ascii="Arial" w:cs="Arial" w:eastAsia="Arial" w:hAnsi="Arial"/>
          <w:color w:val="333333"/>
          <w:sz w:val="22"/>
          <w:szCs w:val="22"/>
        </w:rPr>
        <w:t xml:space="preserve">Finding 1: Capability 6 achieves Score 4 (Managed) while operating atop Capabilities 1-5 scoring 2.0-2.6 (Developing). Privacy governance and technical controls are sophisticated, but the underlying data quality, lifecycle, and discovery capabilities upon which privacy depends are significantly underdeveloped. This inverted maturity pyramid is structurally stable in routine operations but creates vulnerability under stress.</w:t>
      </w:r>
    </w:p>
    <w:p>
      <w:pPr>
        <w:pStyle w:val="ListParagraph"/>
        <w:numPr>
          <w:ilvl w:val="0"/>
          <w:numId w:val="3"/>
        </w:numPr>
        <w:spacing w:after="100" w:line="280"/>
      </w:pPr>
      <w:r>
        <w:rPr>
          <w:rFonts w:ascii="Arial" w:cs="Arial" w:eastAsia="Arial" w:hAnsi="Arial"/>
          <w:color w:val="333333"/>
          <w:sz w:val="22"/>
          <w:szCs w:val="22"/>
        </w:rPr>
        <w:t xml:space="preserve">Finding 2: Privacy compliance is managed across 20+ regulatory jurisdictions by a team of 17 personnel ($4.34M budget) split across two departments. Dept-242 (PRIV, $3.25M, 10 HC) manages governance; dept-053 (DPRO, $1.09M, 7 HC) manages technical controls. This bifurcation creates operational efficiency but introduces coordination risk and single-point-of-failure vulnerability for critical capabilities like cross-border transfer safeguards.</w:t>
      </w:r>
    </w:p>
    <w:p>
      <w:pPr>
        <w:pStyle w:val="ListParagraph"/>
        <w:numPr>
          <w:ilvl w:val="0"/>
          <w:numId w:val="3"/>
        </w:numPr>
        <w:spacing w:after="100" w:line="280"/>
      </w:pPr>
      <w:r>
        <w:rPr>
          <w:rFonts w:ascii="Arial" w:cs="Arial" w:eastAsia="Arial" w:hAnsi="Arial"/>
          <w:color w:val="333333"/>
          <w:sz w:val="22"/>
          <w:szCs w:val="22"/>
        </w:rPr>
        <w:t xml:space="preserve">Finding 3: Cross-border transfer architecture is best-practice: four legal mechanisms (SCCs, UK IDTA, DPF, CBPR) paired with technical safeguards (TLS encryption, AES-256 at rest, tenant isolation) and ongoing validation (CTL-330). Three EU/Swiss/UK legal entities provide in-jurisdiction accountability. This architecture is the highest-maturity element of Capability 6 and represents competitive advantage in regulated markets requiring cross-border capability with confidence.</w:t>
      </w:r>
    </w:p>
    <w:p>
      <w:pPr>
        <w:pStyle w:val="ListParagraph"/>
        <w:numPr>
          <w:ilvl w:val="0"/>
          <w:numId w:val="3"/>
        </w:numPr>
        <w:spacing w:after="100" w:line="280"/>
      </w:pPr>
      <w:r>
        <w:rPr>
          <w:rFonts w:ascii="Arial" w:cs="Arial" w:eastAsia="Arial" w:hAnsi="Arial"/>
          <w:color w:val="333333"/>
          <w:sz w:val="22"/>
          <w:szCs w:val="22"/>
        </w:rPr>
        <w:t xml:space="preserve">Finding 4: December 2022 breach forced operationalization of breach notification procedures across five distinct regulatory regimes and embedded SEC disclosure obligation (CTL-095 materiality assessment) into incident response procedures. Crisis-driven capability maturation created institutional learning and hardened procedures, but also generated indefinite forensic evidence holds (DD-025) and key rotation exceptions (DD-047) that constrain operational flexibility.</w:t>
      </w:r>
    </w:p>
    <w:p>
      <w:pPr>
        <w:pStyle w:val="ListParagraph"/>
        <w:numPr>
          <w:ilvl w:val="0"/>
          <w:numId w:val="3"/>
        </w:numPr>
        <w:spacing w:after="100" w:line="280"/>
      </w:pPr>
      <w:r>
        <w:rPr>
          <w:rFonts w:ascii="Arial" w:cs="Arial" w:eastAsia="Arial" w:hAnsi="Arial"/>
          <w:color w:val="333333"/>
          <w:sz w:val="22"/>
          <w:szCs w:val="22"/>
        </w:rPr>
        <w:t xml:space="preserve">Finding 5: Despite achieving the highest capability score, every privacy control (CTL-091, CTL-092, CTL-093, CTL-095, CTL-096, CTL-029, CTL-030, CTL-032, CTL-035, CTL-330, etc.) has null KPI, null current_value, null measurement_method, and null control_effectiveness fields. Rackspace implements privacy controls but cannot quantitatively measure their effectiveness. This is the gap between Score 4 (Managed) and Score 5 (Optimized).</w:t>
      </w:r>
    </w:p>
    <w:p>
      <w:pPr>
        <w:pStyle w:val="ListParagraph"/>
        <w:numPr>
          <w:ilvl w:val="0"/>
          <w:numId w:val="3"/>
        </w:numPr>
        <w:spacing w:after="100" w:line="280"/>
      </w:pPr>
      <w:r>
        <w:rPr>
          <w:rFonts w:ascii="Arial" w:cs="Arial" w:eastAsia="Arial" w:hAnsi="Arial"/>
          <w:color w:val="333333"/>
          <w:sz w:val="22"/>
          <w:szCs w:val="22"/>
        </w:rPr>
        <w:t xml:space="preserve">Finding 6: Privacy management directly enables three regulated customer segments (healthcare/HIPAA, government/FedRAMP, financial services/PCI DSS) and supports core products (PRD-014 Data Protection Services, PF-051 Data Protection portfolio in Growth lifecycle). The $4.34M privacy investment drives revenue enablement worth hundreds of millions of dollars. Privacy is revenue architecture, not cost center.</w:t>
      </w:r>
    </w:p>
    <w:p>
      <w:pPr>
        <w:pStyle w:val="ListParagraph"/>
        <w:numPr>
          <w:ilvl w:val="0"/>
          <w:numId w:val="3"/>
        </w:numPr>
        <w:spacing w:after="100" w:line="280"/>
      </w:pPr>
      <w:r>
        <w:rPr>
          <w:rFonts w:ascii="Arial" w:cs="Arial" w:eastAsia="Arial" w:hAnsi="Arial"/>
          <w:color w:val="333333"/>
          <w:sz w:val="22"/>
          <w:szCs w:val="22"/>
        </w:rPr>
        <w:t xml:space="preserve">Finding 7: Sub-Capability 6.5 (Data Subject Rights Management) scores 3 (Defined), the only sub-capability below 4, with trend Improving. DSR response processes meet 30-day GDPR timeline but lack full automation and optimization. Transition to Score 4 would require end-to-end automation of DSR discovery, validation, fulfillment, and documentation.</w:t>
      </w:r>
    </w:p>
    <w:p>
      <w:r>
        <w:br w:type="page"/>
      </w:r>
    </w:p>
    <w:p>
      <w:pPr>
        <w:pStyle w:val="Heading1"/>
        <w:spacing w:after="200" w:before="300"/>
      </w:pPr>
      <w:r>
        <w:rPr>
          <w:rFonts w:ascii="Arial" w:cs="Arial" w:eastAsia="Arial" w:hAnsi="Arial"/>
        </w:rPr>
        <w:t xml:space="preserve">13. Recommendations and Improvement Roadmap</w:t>
      </w:r>
    </w:p>
    <w:p>
      <w:pPr>
        <w:pStyle w:val="ListParagraph"/>
        <w:numPr>
          <w:ilvl w:val="0"/>
          <w:numId w:val="4"/>
        </w:numPr>
        <w:spacing w:after="100" w:line="280"/>
      </w:pPr>
      <w:r>
        <w:rPr>
          <w:rFonts w:ascii="Arial" w:cs="Arial" w:eastAsia="Arial" w:hAnsi="Arial"/>
          <w:color w:val="333333"/>
          <w:sz w:val="22"/>
          <w:szCs w:val="22"/>
        </w:rPr>
        <w:t xml:space="preserve">A. Establish Privacy Control KPI Framework (Priority: High, Timeline: 6 months): Define measurable KPIs for all 15+ privacy controls (CTL-091 through CTL-335). Examples: CTL-091 = percentage of new processing activities assessed within 30 days; CTL-092 = mean DSR fulfillment time; CTL-095 = breach notification SLA adherence rate; CTL-032 = number of DLP policy violations detected monthly. Create dashboard for monthly KPI review. Enable transition from Score 4 (Managed) to Score 5 (Optimized). Owner: dept-242 CPO.</w:t>
      </w:r>
    </w:p>
    <w:p>
      <w:pPr>
        <w:pStyle w:val="ListParagraph"/>
        <w:numPr>
          <w:ilvl w:val="0"/>
          <w:numId w:val="4"/>
        </w:numPr>
        <w:spacing w:after="100" w:line="280"/>
      </w:pPr>
      <w:r>
        <w:rPr>
          <w:rFonts w:ascii="Arial" w:cs="Arial" w:eastAsia="Arial" w:hAnsi="Arial"/>
          <w:color w:val="333333"/>
          <w:sz w:val="22"/>
          <w:szCs w:val="22"/>
        </w:rPr>
        <w:t xml:space="preserve">B. Formalize Privacy-Technology Governance Bridge (Priority: High, Timeline: 3 months): Create explicit cross-department governance mechanism linking dept-242 (Privacy Governance) and dept-053 (Data Protection Technical). Establish quarterly steering committee with CPO/DPO, Data Protection Specialist, Chief Information Security Officer. Formalize escalation procedures for coordinated incidents (e.g., breach requiring simultaneous policy response and technical evidence preservation). Owner: CPO with CISO sponsorship.</w:t>
      </w:r>
    </w:p>
    <w:p>
      <w:pPr>
        <w:pStyle w:val="ListParagraph"/>
        <w:numPr>
          <w:ilvl w:val="0"/>
          <w:numId w:val="4"/>
        </w:numPr>
        <w:spacing w:after="100" w:line="280"/>
      </w:pPr>
      <w:r>
        <w:rPr>
          <w:rFonts w:ascii="Arial" w:cs="Arial" w:eastAsia="Arial" w:hAnsi="Arial"/>
          <w:color w:val="333333"/>
          <w:sz w:val="22"/>
          <w:szCs w:val="22"/>
        </w:rPr>
        <w:t xml:space="preserve">C. Accelerate Data Subject Rights Automation (Priority: High, Timeline: 12 months): Current state: 30-day timeline achieved through manual processes (CTL-092). Target state: End-to-end automation reducing mean fulfillment time to 10 days, 95th percentile &lt;15 days. Implement DSR discovery automation across all systems, validation workflows, fulfillment orchestration, and documentation generation. Enables transition of Sub-Capability 6.5 from Score 3 to Score 4. Owner: dept-242 Privacy Analysts with IT support.</w:t>
      </w:r>
    </w:p>
    <w:p>
      <w:pPr>
        <w:pStyle w:val="ListParagraph"/>
        <w:numPr>
          <w:ilvl w:val="0"/>
          <w:numId w:val="4"/>
        </w:numPr>
        <w:spacing w:after="100" w:line="280"/>
      </w:pPr>
      <w:r>
        <w:rPr>
          <w:rFonts w:ascii="Arial" w:cs="Arial" w:eastAsia="Arial" w:hAnsi="Arial"/>
          <w:color w:val="333333"/>
          <w:sz w:val="22"/>
          <w:szCs w:val="22"/>
        </w:rPr>
        <w:t xml:space="preserve">D. Establish Cross-Border Transfer Mechanism Continuous Monitoring (Priority: Medium, Timeline: 6 months): Current state: CTL-330 validates transfer mechanisms but measurement frequency/process undefined. Target state: Monthly validation that SCCs, DPF, CBPR, UK IDTA remain legally valid; alerts triggered if regulatory changes occur (e.g., DPF adequacy revocation). Create regulatory intelligence process monitoring EU adequacy decisions. Owner: dept-242 with external counsel support.</w:t>
      </w:r>
    </w:p>
    <w:p>
      <w:pPr>
        <w:pStyle w:val="ListParagraph"/>
        <w:numPr>
          <w:ilvl w:val="0"/>
          <w:numId w:val="4"/>
        </w:numPr>
        <w:spacing w:after="100" w:line="280"/>
      </w:pPr>
      <w:r>
        <w:rPr>
          <w:rFonts w:ascii="Arial" w:cs="Arial" w:eastAsia="Arial" w:hAnsi="Arial"/>
          <w:color w:val="333333"/>
          <w:sz w:val="22"/>
          <w:szCs w:val="22"/>
        </w:rPr>
        <w:t xml:space="preserve">E. Formalize Privacy Incident Investigation Post-Mortems (Priority: Medium, Timeline: Ongoing): December 2022 breach accelerated privacy capability through crisis. Institutionalize this learning through structured post-mortems for all privacy incidents &gt;low severity: document what procedures worked, what failed, what should be changed. Feed findings into control improvement roadmap. Owner: Privacy Incident Response Team.</w:t>
      </w:r>
    </w:p>
    <w:p>
      <w:pPr>
        <w:pStyle w:val="ListParagraph"/>
        <w:numPr>
          <w:ilvl w:val="0"/>
          <w:numId w:val="4"/>
        </w:numPr>
        <w:spacing w:after="100" w:line="280"/>
      </w:pPr>
      <w:r>
        <w:rPr>
          <w:rFonts w:ascii="Arial" w:cs="Arial" w:eastAsia="Arial" w:hAnsi="Arial"/>
          <w:color w:val="333333"/>
          <w:sz w:val="22"/>
          <w:szCs w:val="22"/>
        </w:rPr>
        <w:t xml:space="preserve">F. Align Data Quality Targets with Privacy Obligations (Priority: Critical, Timeline: 6-12 months): Personal Information domain (DD-015) has retention policies tied to GDPR Art. 5(1)(e) but zero quality targets. Define completeness, accuracy, consistency targets for personal data fields. Integrate quality measurement into privacy compliance procedures. Example: customer email addresses must be 99.5% accurate to support breach notification procedures. Owner: Joint project between dept-242 (privacy requirements) and data governance team.</w:t>
      </w:r>
    </w:p>
    <w:p>
      <w:pPr>
        <w:pStyle w:val="ListParagraph"/>
        <w:numPr>
          <w:ilvl w:val="0"/>
          <w:numId w:val="4"/>
        </w:numPr>
        <w:spacing w:after="100" w:line="280"/>
      </w:pPr>
      <w:r>
        <w:rPr>
          <w:rFonts w:ascii="Arial" w:cs="Arial" w:eastAsia="Arial" w:hAnsi="Arial"/>
          <w:color w:val="333333"/>
          <w:sz w:val="22"/>
          <w:szCs w:val="22"/>
        </w:rPr>
        <w:t xml:space="preserve">G. Establish Privacy Regulatory Monitoring Program (Priority: Medium, Timeline: 3 months): Create formal process for monitoring regulatory changes across 20+ jurisdictions. Subscribe to regulatory agency alerts, participate in relevant regulatory forums (GDPR SAs, state AGs), retain external privacy counsel for jurisdiction-specific monitoring. Reduce risk of regulatory change surprises. Owner: dept-242 CPO.</w:t>
      </w:r>
    </w:p>
    <w:p>
      <w:pPr>
        <w:pStyle w:val="ListParagraph"/>
        <w:numPr>
          <w:ilvl w:val="0"/>
          <w:numId w:val="4"/>
        </w:numPr>
        <w:spacing w:after="100" w:line="280"/>
      </w:pPr>
      <w:r>
        <w:rPr>
          <w:rFonts w:ascii="Arial" w:cs="Arial" w:eastAsia="Arial" w:hAnsi="Arial"/>
          <w:color w:val="333333"/>
          <w:sz w:val="22"/>
          <w:szCs w:val="22"/>
        </w:rPr>
        <w:t xml:space="preserve">H. Conduct Privacy Maturity Gap Analysis with Capability 1-5 (Priority: Medium, Timeline: 6 months): Complete assessment of gaps between Privacy (Score 4) and supporting capabilities: Discovery (1), Governance (2.2), Quality (2), Lifecycle (2), Architecture (2.4). Identify specific dependencies (e.g., privacy depends on accurate data discovery). Create roadmap for upstream capability improvements. Owner: Chief Data Officer with Privacy Officer collaboration.</w:t>
      </w:r>
    </w:p>
    <w:p>
      <w:r>
        <w:br w:type="page"/>
      </w:r>
    </w:p>
    <w:p>
      <w:pPr>
        <w:pStyle w:val="Heading1"/>
        <w:spacing w:after="200" w:before="300"/>
      </w:pPr>
      <w:r>
        <w:rPr>
          <w:rFonts w:ascii="Arial" w:cs="Arial" w:eastAsia="Arial" w:hAnsi="Arial"/>
        </w:rPr>
        <w:t xml:space="preserve">14. Evidence Appendix: Knowledge Graph Entity Reference</w:t>
      </w:r>
    </w:p>
    <w:p>
      <w:pPr>
        <w:spacing w:after="160" w:line="300"/>
      </w:pPr>
      <w:r>
        <w:rPr>
          <w:rFonts w:ascii="Arial" w:cs="Arial" w:eastAsia="Arial" w:hAnsi="Arial"/>
          <w:b w:val="false"/>
          <w:bCs w:val="false"/>
          <w:i w:val="false"/>
          <w:iCs w:val="false"/>
          <w:color w:val="333333"/>
          <w:sz w:val="22"/>
          <w:szCs w:val="22"/>
        </w:rPr>
        <w:t xml:space="preserve">This appendix documents the key entities from the knowledge graph that support Capability 6 scoring and analysis. All entities are referenced by ID for traceability and verification.</w:t>
      </w:r>
    </w:p>
    <w:p>
      <w:pPr>
        <w:pStyle w:val="Heading2"/>
        <w:spacing w:after="200" w:before="300"/>
      </w:pPr>
      <w:r>
        <w:rPr>
          <w:rFonts w:ascii="Arial" w:cs="Arial" w:eastAsia="Arial" w:hAnsi="Arial"/>
        </w:rPr>
        <w:t xml:space="preserve">Policies (5 Core Privacy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POL-006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Notice (GDPR)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Impact Assessment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HIPAA Security and Privacy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Cross-Border Data Transfer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Subject Rights Response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r>
    </w:tbl>
    <w:p>
      <w:pPr>
        <w:spacing w:after="200"/>
      </w:pPr>
    </w:p>
    <w:p>
      <w:pPr>
        <w:pStyle w:val="Heading2"/>
        <w:spacing w:after="200" w:before="300"/>
      </w:pPr>
      <w:r>
        <w:rPr>
          <w:rFonts w:ascii="Arial" w:cs="Arial" w:eastAsia="Arial" w:hAnsi="Arial"/>
        </w:rPr>
        <w:t xml:space="preserve">Controls (15+ Privacy-Specific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CTL-091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Impact Assessment Process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CTL-092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DSR Request Handling (30-day)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Corrective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CTL-093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Cookie Consent Management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0.85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Detective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CTL-095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Breach Notification (5 Regimes)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Corrective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CTL-096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Privacy-by-Design in Development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0.85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r>
    </w:tbl>
    <w:p>
      <w:pPr>
        <w:spacing w:after="200"/>
      </w:pPr>
    </w:p>
    <w:p>
      <w:pPr>
        <w:pStyle w:val="Heading2"/>
        <w:spacing w:after="200" w:before="300"/>
      </w:pPr>
      <w:r>
        <w:rPr>
          <w:rFonts w:ascii="Arial" w:cs="Arial" w:eastAsia="Arial" w:hAnsi="Arial"/>
        </w:rPr>
        <w:t xml:space="preserve">Departments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dept-242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&amp; Data Protection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Governance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dept-053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Protection (Technical)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Technical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role-093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Chief Privacy Officer/DPO</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Leadership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role-097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Analyst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Specialist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role-258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Protection Specialist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Specialist</w:t>
            </w:r>
          </w:p>
        </w:tc>
      </w:tr>
    </w:tbl>
    <w:p>
      <w:pPr>
        <w:spacing w:after="200"/>
      </w:pPr>
    </w:p>
    <w:p>
      <w:pPr>
        <w:pStyle w:val="Heading2"/>
        <w:spacing w:after="200" w:before="300"/>
      </w:pPr>
      <w:r>
        <w:rPr>
          <w:rFonts w:ascii="Arial" w:cs="Arial" w:eastAsia="Arial" w:hAnsi="Arial"/>
        </w:rPr>
        <w:t xml:space="preserve">Data Domains (Privacy-Critical)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DD-015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Personal Information (Privacy-Reg)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Cross-Border Transfer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DD-016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Cardholder Data (PCI DSS)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Response &amp; Forensic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Legal Hold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DD-047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Encryption Key Data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Sensitive</w:t>
            </w:r>
          </w:p>
        </w:tc>
      </w:tr>
    </w:tbl>
    <w:p>
      <w:pPr>
        <w:spacing w:after="200"/>
      </w:pPr>
    </w:p>
    <w:p>
      <w:pPr>
        <w:pStyle w:val="Heading2"/>
        <w:spacing w:after="200" w:before="300"/>
      </w:pPr>
      <w:r>
        <w:rPr>
          <w:rFonts w:ascii="Arial" w:cs="Arial" w:eastAsia="Arial" w:hAnsi="Arial"/>
        </w:rPr>
        <w:t xml:space="preserve">Regulations (20+ Privacy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REG-001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GDPR (EU/EEA)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UK GDPR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Applicable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REG-017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CCPA/CPRA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HIPAA Security/Privacy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Applicable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REG-013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India DPDP Act 2023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Regulation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Applicable</w:t>
            </w:r>
          </w:p>
        </w:tc>
      </w:tr>
    </w:tbl>
    <w:p>
      <w:pPr>
        <w:spacing w:after="200"/>
      </w:pPr>
    </w:p>
    <w:p>
      <w:pPr>
        <w:pStyle w:val="Heading2"/>
        <w:spacing w:after="200" w:before="300"/>
      </w:pPr>
      <w:r>
        <w:rPr>
          <w:rFonts w:ascii="Arial" w:cs="Arial" w:eastAsia="Arial" w:hAnsi="Arial"/>
        </w:rPr>
        <w:t xml:space="preserve">Products and Strategic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PRD-014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Rackspace Data Protection (SaaS)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Product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Growth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PF-051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Protection Services Portfolio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Portfolio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BC-059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Privacy &amp; Data Protection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 Capability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RSK-00008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GDPR/Privacy Compliance Risk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Risk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Board-level</w:t>
            </w:r>
          </w:p>
        </w:tc>
      </w:tr>
    </w:tbl>
    <w:p>
      <w:r>
        <w:br w:type="page"/>
      </w:r>
    </w:p>
    <w:p>
      <w:pPr>
        <w:pStyle w:val="Heading1"/>
        <w:spacing w:after="200" w:before="300"/>
      </w:pPr>
      <w:r>
        <w:rPr>
          <w:rFonts w:ascii="Arial" w:cs="Arial" w:eastAsia="Arial" w:hAnsi="Arial"/>
        </w:rPr>
        <w:t xml:space="preserve">15. Conclusion: Privacy Maturity and Structural Vulnerability</w:t>
      </w:r>
    </w:p>
    <w:p>
      <w:pPr>
        <w:spacing w:after="160" w:line="300"/>
      </w:pPr>
      <w:r>
        <w:rPr>
          <w:rFonts w:ascii="Arial" w:cs="Arial" w:eastAsia="Arial" w:hAnsi="Arial"/>
          <w:b w:val="false"/>
          <w:bCs w:val="false"/>
          <w:i w:val="false"/>
          <w:iCs w:val="false"/>
          <w:color w:val="333333"/>
          <w:sz w:val="22"/>
          <w:szCs w:val="22"/>
        </w:rPr>
        <w:t xml:space="preserve">Rackspace Technology's Data Privacy and Protection capability (Capability 6) achieves Score 4 (Managed), the highest score in the entire DCAM assessment. This achievement reflects genuine operational maturity: a dedicated privacy program with specialized governance and technical teams, comprehensive policy framework covering 20+ regulatory jurisdictions, sophisticated cross-border transfer architecture leveraging legal mechanisms and technical safeguards, proven incident response capability hardened by the December 2022 breach, and measurable regulatory compliance across GDPR, CCPA/CPRA, HIPAA, and emerging privacy regimes.</w:t>
      </w:r>
    </w:p>
    <w:p>
      <w:pPr>
        <w:spacing w:after="160" w:line="300"/>
      </w:pPr>
      <w:r>
        <w:rPr>
          <w:rFonts w:ascii="Arial" w:cs="Arial" w:eastAsia="Arial" w:hAnsi="Arial"/>
          <w:b w:val="false"/>
          <w:bCs w:val="false"/>
          <w:i w:val="false"/>
          <w:iCs w:val="false"/>
          <w:color w:val="333333"/>
          <w:sz w:val="22"/>
          <w:szCs w:val="22"/>
        </w:rPr>
        <w:t xml:space="preserve">However, this achievement must be understood in structural context. Privacy management operates atop a data management foundation (Data Discovery, Governance, Quality, Lifecycle, Architecture) that scores 2.0-2.6 on the five-point maturity scale. The privacy program protects data assets whose quality is unmeasured (Capability 3: zero domains have quality scores), whose lifecycle is ad hoc (Capability 4, Score 2), and whose discovery and classification are developing (Capability 1, Score 2). This creates an inverted maturity pyramid: the most sophisticated layer sits above the least mature layers.</w:t>
      </w:r>
    </w:p>
    <w:p>
      <w:pPr>
        <w:spacing w:after="160" w:line="300"/>
      </w:pPr>
      <w:r>
        <w:rPr>
          <w:rFonts w:ascii="Arial" w:cs="Arial" w:eastAsia="Arial" w:hAnsi="Arial"/>
          <w:b w:val="false"/>
          <w:bCs w:val="false"/>
          <w:i w:val="false"/>
          <w:iCs w:val="false"/>
          <w:color w:val="333333"/>
          <w:sz w:val="22"/>
          <w:szCs w:val="22"/>
        </w:rPr>
        <w:t xml:space="preserve">In routine operations, this inversion is operationally stable. Privacy compliance can be achieved through governance excellence and technical control implementation even when underlying data capabilities are immature. Rackspace's Privacy Impact Assessment process (CTL-091) works because the team conducts thorough risk analysis, not because upstream data quality and lifecycle management are mature. Breach notification procedures (CTL-095) function because privacy and incident response teams coordinate effectively, not because forensic data is automatically preserved through lifecycle management.</w:t>
      </w:r>
    </w:p>
    <w:p>
      <w:pPr>
        <w:spacing w:after="160" w:line="300"/>
      </w:pPr>
      <w:r>
        <w:rPr>
          <w:rFonts w:ascii="Arial" w:cs="Arial" w:eastAsia="Arial" w:hAnsi="Arial"/>
          <w:b w:val="false"/>
          <w:bCs w:val="false"/>
          <w:i w:val="false"/>
          <w:iCs w:val="false"/>
          <w:color w:val="333333"/>
          <w:sz w:val="22"/>
          <w:szCs w:val="22"/>
        </w:rPr>
        <w:t xml:space="preserve">Under stress, the pyramid's inverted structure becomes visible. The December 2022 breach forced indefinite legal holds on forensic artifacts (DD-025) and encryption key exceptions (DD-047), constraining operational flexibility, because the organization lacked mature data lifecycle capabilities to distinguish between data with ongoing legal/forensic value and data that could be destroyed. A mature Data Lifecycle capability (Capability 4) would have provided explicit legal hold classification and automated hold/release workflows; absent that maturity, manual preservation becomes necessary.</w:t>
      </w:r>
    </w:p>
    <w:p>
      <w:pPr>
        <w:spacing w:after="160" w:line="300"/>
      </w:pPr>
      <w:r>
        <w:rPr>
          <w:rFonts w:ascii="Arial" w:cs="Arial" w:eastAsia="Arial" w:hAnsi="Arial"/>
          <w:b w:val="false"/>
          <w:bCs w:val="false"/>
          <w:i w:val="false"/>
          <w:iCs w:val="false"/>
          <w:color w:val="333333"/>
          <w:sz w:val="22"/>
          <w:szCs w:val="22"/>
        </w:rPr>
        <w:t xml:space="preserve">The measurement void at Score 4 reveals the gap between Managed (Score 4) and Optimized (Score 5). Every privacy control is implemented but none are measured. CTL-095 breach notifications meet GDPR's 72-hour requirement, but Rackspace cannot quantify whether 72 hours is optimal or whether faster notification is feasible. CTL-092 DSR responses meet the 30-day legal requirement, but Rackspace cannot measure whether 30 days is the mean or mean is 15 days because KPIs are undefined. Measurement enables optimization; its absence means Capability 6, despite its high score, operates without visibility into whether it can improve.</w:t>
      </w:r>
    </w:p>
    <w:p>
      <w:pPr>
        <w:spacing w:after="160" w:line="300"/>
      </w:pPr>
      <w:r>
        <w:rPr>
          <w:rFonts w:ascii="Arial" w:cs="Arial" w:eastAsia="Arial" w:hAnsi="Arial"/>
          <w:b w:val="false"/>
          <w:bCs w:val="false"/>
          <w:i w:val="false"/>
          <w:iCs w:val="false"/>
          <w:color w:val="333333"/>
          <w:sz w:val="22"/>
          <w:szCs w:val="22"/>
        </w:rPr>
        <w:t xml:space="preserve">Theme 7 positions privacy as revenue architecture rather than cost center. The $4.34M investment enables customer relationships in healthcare (HIPAA BAA), government (FedRAMP ATO), and financial services (PCI DSS Level 1) that generate orders of magnitude more revenue. Loss of privacy capability would immediately cascade into loss of regulated customer relationships and revenue. This is not a compliance insurance policy; it is core business infrastructure.</w:t>
      </w:r>
    </w:p>
    <w:p>
      <w:pPr>
        <w:spacing w:after="160" w:line="300"/>
      </w:pPr>
      <w:r>
        <w:rPr>
          <w:rFonts w:ascii="Arial" w:cs="Arial" w:eastAsia="Arial" w:hAnsi="Arial"/>
          <w:b w:val="false"/>
          <w:bCs w:val="false"/>
          <w:i w:val="false"/>
          <w:iCs w:val="false"/>
          <w:color w:val="333333"/>
          <w:sz w:val="22"/>
          <w:szCs w:val="22"/>
        </w:rPr>
        <w:t xml:space="preserve">Recommendations focus on three strategic objectives: (1) Measurement and Optimization (establish KPI framework, close gap between Score 4 and 5), (2) Organizational Resilience (formalize privacy-technology governance bridge to reduce coordination risk across two departments), and (3) Upstream Capability Alignment (align data quality, lifecycle, and discovery maturity with privacy capability requirements). These improvements would strengthen Capability 6 from Managed to Optimized and reduce structural vulnerability created by the inverted maturity pyramid.</w:t>
      </w:r>
    </w:p>
    <w:p>
      <w:pPr>
        <w:spacing w:before="400"/>
        <w:jc w:val="center"/>
      </w:pPr>
      <w:r>
        <w:rPr>
          <w:rFonts w:ascii="Arial" w:cs="Arial" w:eastAsia="Arial" w:hAnsi="Arial"/>
          <w:b/>
          <w:bCs/>
          <w:color w:val="1B3A5C"/>
          <w:sz w:val="24"/>
          <w:szCs w:val="24"/>
        </w:rPr>
        <w:t xml:space="preserve">End of Deep-Dive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Rackspace Technology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666666"/>
        <w:sz w:val="16"/>
        <w:szCs w:val="16"/>
      </w:rPr>
      <w:t xml:space="preserve">DCAM v2 Deep-Dive  |  </w:t>
    </w:r>
    <w:r>
      <w:rPr>
        <w:rFonts w:ascii="Arial" w:cs="Arial" w:eastAsia="Arial" w:hAnsi="Arial"/>
        <w:b/>
        <w:bCs/>
        <w:color w:val="2E75B6"/>
        <w:sz w:val="16"/>
        <w:szCs w:val="16"/>
      </w:rPr>
      <w:t xml:space="preserve">Capability 6: Data Privacy and Protection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2026-03-05T19:21:06.426Z</dcterms:created>
  <dcterms:modified xsi:type="dcterms:W3CDTF">2026-03-05T19:21:06.426Z</dcterms:modified>
</cp:coreProperties>
</file>

<file path=docProps/custom.xml><?xml version="1.0" encoding="utf-8"?>
<Properties xmlns="http://schemas.openxmlformats.org/officeDocument/2006/custom-properties" xmlns:vt="http://schemas.openxmlformats.org/officeDocument/2006/docPropsVTypes"/>
</file>