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8</w:t>
      </w:r>
    </w:p>
    <w:p>
      <w:pPr>
        <w:pBdr>
          <w:bottom w:val="single" w:color="2E75B6" w:sz="8" w:space="8"/>
        </w:pBdr>
        <w:spacing w:after="400" w:before="120"/>
        <w:jc w:val="center"/>
      </w:pPr>
      <w:r>
        <w:rPr>
          <w:rFonts w:ascii="Arial" w:cs="Arial" w:eastAsia="Arial" w:hAnsi="Arial"/>
          <w:b/>
          <w:bCs/>
          <w:color w:val="1B3A5C"/>
          <w:sz w:val="36"/>
          <w:szCs w:val="36"/>
        </w:rPr>
        <w:t xml:space="preserve">Data Management Operations</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(3,060 entities | 7,614 relationships)</w:t>
      </w:r>
    </w:p>
    <w:p>
      <w:pPr>
        <w:spacing w:before="400"/>
        <w:jc w:val="center"/>
      </w:pPr>
      <w:r>
        <w:rPr>
          <w:rFonts w:ascii="Arial" w:cs="Arial" w:eastAsia="Arial" w:hAnsi="Arial"/>
          <w:b/>
          <w:bCs/>
          <w:color w:val="F39C12"/>
          <w:sz w:val="28"/>
          <w:szCs w:val="28"/>
        </w:rPr>
        <w:t xml:space="preserve">Overall Capability Score: 2 — Developing</w:t>
      </w:r>
    </w:p>
    <w:p>
      <w:pPr>
        <w:spacing w:before="100"/>
        <w:jc w:val="center"/>
      </w:pPr>
      <w:r>
        <w:rPr>
          <w:rFonts w:ascii="Arial" w:cs="Arial" w:eastAsia="Arial" w:hAnsi="Arial"/>
          <w:b/>
          <w:bCs/>
          <w:color w:val="C0392B"/>
          <w:sz w:val="20"/>
          <w:szCs w:val="20"/>
        </w:rPr>
        <w:t xml:space="preserve">Tied Lowest with Capabilities 1 &amp; 3 in Composite Assessment (2.6 average)</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Summary: The Operations Paradox</w:t>
      </w:r>
    </w:p>
    <w:p>
      <w:pPr>
        <w:spacing w:after="160" w:line="300"/>
      </w:pPr>
      <w:r>
        <w:rPr>
          <w:rFonts w:ascii="Arial" w:cs="Arial" w:eastAsia="Arial" w:hAnsi="Arial"/>
          <w:b w:val="false"/>
          <w:bCs w:val="false"/>
          <w:i w:val="false"/>
          <w:iCs w:val="false"/>
          <w:color w:val="333333"/>
          <w:sz w:val="22"/>
          <w:szCs w:val="22"/>
        </w:rPr>
        <w:t xml:space="preserve">Capability 8 (Data Management Operations) presents a paradoxical organization: Rackspace Technology operates $2.7 billion in revenue across 81,000+ customers through five departments (dept-025, dept-054, dept-018, dept-168, dept-072) spending $24.4 million annually with approximately 195 headcount dedicated to operational execution. The organization has formalized 14 operational policies (POL-056, POL-058, POL-019, POL-059, POL-097, POL-049, POL-063, POL-023, POL-061, POL-113, POL-074, POL-036, POL-034, POL-020) and implemented 13 controls (CTL-052 through CTL-086) spanning incident management, change management, configuration management, and disaster recovery. Yet the overall capability maturity score is 2 (Developing), indicating that operational policies and controls exist but remain inadequately operationalized, poorly integrated, and vulnerability-prone.</w:t>
      </w:r>
    </w:p>
    <w:p>
      <w:pPr>
        <w:spacing w:after="160" w:line="300"/>
      </w:pPr>
      <w:r>
        <w:rPr>
          <w:rFonts w:ascii="Arial" w:cs="Arial" w:eastAsia="Arial" w:hAnsi="Arial"/>
          <w:b w:val="false"/>
          <w:bCs w:val="false"/>
          <w:i w:val="false"/>
          <w:iCs w:val="false"/>
          <w:color w:val="333333"/>
          <w:sz w:val="22"/>
          <w:szCs w:val="22"/>
        </w:rPr>
        <w:t xml:space="preserve">The December 2022 ransomware breach (RSK-00001, PLAY variant, $10.8M direct costs) crystallizes this gap. The breach materialized across five governance failures simultaneously: patch management control failure (CVE-2022-41080, CTL-057 ineffective), absence of immutable backups (DD-048, absence central to class action allegations), change management gaps, insufficient incident response velocity, and configuration management breakdown across 40+ global data centers (OU-042). This was not a failure of policy intent—POL-049 (Patch Management), POL-034 (Backup &amp; Recovery), POL-058 (Change Management), POL-056 (Incident Management) all existed and formally prescribed the corrective actions that would have prevented the breach. The failure was operational: policies existed but the organization could not operationalize them at scale across its global footprint.</w:t>
      </w:r>
    </w:p>
    <w:p>
      <w:pPr>
        <w:spacing w:after="160" w:line="300"/>
      </w:pPr>
      <w:r>
        <w:rPr>
          <w:rFonts w:ascii="Arial" w:cs="Arial" w:eastAsia="Arial" w:hAnsi="Arial"/>
          <w:b w:val="false"/>
          <w:bCs w:val="false"/>
          <w:i w:val="false"/>
          <w:iCs w:val="false"/>
          <w:color w:val="333333"/>
          <w:sz w:val="22"/>
          <w:szCs w:val="22"/>
        </w:rPr>
        <w:t xml:space="preserve">The $24.4M operations budget is distributed across five departments managing overlapping operational domains: Modern Operations (dept-025, $5.5M, 50 HC) manages operational custody over backup/disaster recovery data (DD-048), customer database data (DD-013), and critical service management data (DD-028, DD-011). DC Operations (dept-054, $2.75M, 25 HC) manages 40+ global locations. Service Delivery Management (dept-018, $3.85M, 35 HC) manages service delivery operations. ITIL Service Management (dept-168, $3.85M, 35 HC) governs process frameworks. Database Administration (dept-072, $8.45M, 50 HC) provides 24x7 support across Oracle, MSSQL, MySQL, MongoDB, Elasticsearch, Redis. Yet no unified data steward role exists at the enterprise level, no integrated cross-departmental operational data strategy is formalized, and the five departments operate through documented incident response rather than systematic prevention.</w:t>
      </w:r>
    </w:p>
    <w:p>
      <w:pPr>
        <w:spacing w:after="160" w:line="300"/>
      </w:pPr>
      <w:r>
        <w:rPr>
          <w:rFonts w:ascii="Arial" w:cs="Arial" w:eastAsia="Arial" w:hAnsi="Arial"/>
          <w:b w:val="false"/>
          <w:bCs w:val="false"/>
          <w:i w:val="false"/>
          <w:iCs w:val="false"/>
          <w:color w:val="333333"/>
          <w:sz w:val="22"/>
          <w:szCs w:val="22"/>
        </w:rPr>
        <w:t xml:space="preserve">This assessment examines six sub-capabilities, each scored at 2 (Developing): (8.1) Data Operations Strategy, (8.2) Service Level Management, (8.3) Incident and Problem Management, (8.4) Change Management, (8.5) Data Environment Management, and (8.6) Operational Monitoring and Reporting. Across all six, the pattern is consistent: formal frameworks exist, ownership is documented, but operationalization remains incomplete. The Incident Response Team (CTL-052, partnership with CrowdStrike) exists and has demonstrated capability (responding to Nov 2023 Hosted Exchange ransomware escalation), but incident response speed is measured on ticket resolution time (SLA metric), not prevention quality (RSK-OM-005: Incentive Misalignment in Support &amp; Operations, residual risk HIGH). Configuration Management (CTL-160, CTL-152, CTL-154, CTL-157) spans NIST 800-53 CM compliance domains, but the underlying configuration database (CMDB, embedded in ServiceNow sys-100) is 220GB and growing 6% monthly (da-096) with integrations to Jira, Salesforce, and Splunk (da-019), yet no governance layer exists above this data asset to ensure consistency, completeness, or actionability.</w:t>
      </w:r>
    </w:p>
    <w:p>
      <w:r>
        <w:br w:type="page"/>
      </w:r>
    </w:p>
    <w:p>
      <w:pPr>
        <w:pStyle w:val="Heading1"/>
        <w:spacing w:after="200" w:before="300"/>
      </w:pPr>
      <w:r>
        <w:rPr>
          <w:rFonts w:ascii="Arial" w:cs="Arial" w:eastAsia="Arial" w:hAnsi="Arial"/>
        </w:rPr>
        <w:t xml:space="preserve">2. Sub-Capability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Evidence</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8.1 Data Operations Strategy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POL-058, sys-100, 5 depts but no enterprise strategy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8.2 Service Level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POL-059, POL-097 exist; SLA enforcement gaps noted</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8.3 Incident &amp; Problem Mgmt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POL-056, CTL-052 partnership; RSK-00001 materialized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8.4 Change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POL-058, CTL-154 CAB; inadequate cross-domain visibility</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8.5 Data Environment Management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POL-113, OU-042 40+ DCs; configuration incoherence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8.6 Operational Monitoring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POL-063, da-019 200TB Datadog; no unified dashboard</w:t>
            </w:r>
          </w:p>
        </w:tc>
      </w:tr>
    </w:tbl>
    <w:p>
      <w:pPr>
        <w:spacing w:after="160"/>
      </w:pPr>
      <w:r>
        <w:rPr>
          <w:rFonts w:ascii="Arial" w:cs="Arial" w:eastAsia="Arial" w:hAnsi="Arial"/>
          <w:sz w:val="20"/>
          <w:szCs w:val="20"/>
        </w:rPr>
        <w:t xml:space="preserve"> </w:t>
      </w:r>
    </w:p>
    <w:p>
      <w:pPr>
        <w:spacing w:after="160" w:line="300"/>
      </w:pPr>
      <w:r>
        <w:rPr>
          <w:rFonts w:ascii="Arial" w:cs="Arial" w:eastAsia="Arial" w:hAnsi="Arial"/>
          <w:b w:val="false"/>
          <w:bCs w:val="false"/>
          <w:i w:val="false"/>
          <w:iCs w:val="false"/>
          <w:color w:val="333333"/>
          <w:sz w:val="22"/>
          <w:szCs w:val="22"/>
        </w:rPr>
        <w:t xml:space="preserve">All six sub-capabilities are scored at 2 (Developing) because while foundational policies and controls exist, none achieve consistent, measurable, enterprise-wide operationalization. Service Level Management (8.2) has SLA definitions but lacks systematic credit enforcement and penalty mechanisms. Incident and Problem Management (8.3) has team structure but continues to experience materially damaging security events. Change Management (8.4) has Change Advisory Board (CAB) governance but struggles with cross-domain visibility across five departments. Data Environment Management (8.5) spans 40+ global locations but faces configuration incoherence. Operational Monitoring (8.6) ingests 200TB of infrastructure data daily but lacks unified analytics and early-warning capabilities.</w:t>
      </w:r>
    </w:p>
    <w:p>
      <w:r>
        <w:br w:type="page"/>
      </w:r>
    </w:p>
    <w:p>
      <w:pPr>
        <w:pStyle w:val="Heading1"/>
        <w:spacing w:after="200" w:before="300"/>
      </w:pPr>
      <w:r>
        <w:rPr>
          <w:rFonts w:ascii="Arial" w:cs="Arial" w:eastAsia="Arial" w:hAnsi="Arial"/>
        </w:rPr>
        <w:t xml:space="preserve">3. Sub-Capability 8.1: Data Operations Strategy (Score 2)</w:t>
      </w:r>
    </w:p>
    <w:p>
      <w:pPr>
        <w:pStyle w:val="Heading2"/>
        <w:spacing w:after="200" w:before="300"/>
      </w:pPr>
      <w:r>
        <w:rPr>
          <w:rFonts w:ascii="Arial" w:cs="Arial" w:eastAsia="Arial" w:hAnsi="Arial"/>
        </w:rPr>
        <w:t xml:space="preserve">3.1 Current State Assessment</w:t>
      </w:r>
    </w:p>
    <w:p>
      <w:pPr>
        <w:spacing w:after="160" w:line="300"/>
      </w:pPr>
      <w:r>
        <w:rPr>
          <w:rFonts w:ascii="Arial" w:cs="Arial" w:eastAsia="Arial" w:hAnsi="Arial"/>
          <w:b w:val="false"/>
          <w:bCs w:val="false"/>
          <w:i w:val="false"/>
          <w:iCs w:val="false"/>
          <w:color w:val="333333"/>
          <w:sz w:val="22"/>
          <w:szCs w:val="22"/>
        </w:rPr>
        <w:t xml:space="preserve">Data Operations Strategy at Rackspace exists as a collection of departmental strategies aligned to ITIL frameworks, not as a unified enterprise strategy. The Modern Operations Department (dept-025, $5.5M, 50 HC, led by COO Greg Hrncir) holds operational custody of four critical data domains: DD-028, DD-011, DD-048 (Backup &amp; Disaster Recovery), and DD-013 (Customer Database &amp; Application Data). Service Delivery Management (dept-018, $3.85M, 35 HC) manages ticket and customer interaction flows. ITIL Service Management (dept-168, $3.85M, 35 HC) provides process governance. DC Operations (dept-054, $2.75M, 25 HC) manages infrastructure across 40+ global locations (OU-042). Database Administration (dept-072, $8.45M, 50 HC) provides specialized expertise.</w:t>
      </w:r>
    </w:p>
    <w:p>
      <w:pPr>
        <w:spacing w:after="160" w:line="300"/>
      </w:pPr>
      <w:r>
        <w:rPr>
          <w:rFonts w:ascii="Arial" w:cs="Arial" w:eastAsia="Arial" w:hAnsi="Arial"/>
          <w:b w:val="false"/>
          <w:bCs w:val="false"/>
          <w:i w:val="false"/>
          <w:iCs w:val="false"/>
          <w:color w:val="333333"/>
          <w:sz w:val="22"/>
          <w:szCs w:val="22"/>
        </w:rPr>
        <w:t xml:space="preserve">The operational backbone is ServiceNow ITSM (sys-100, rackspace.service-now.com, critical system, 99.8% SLA, Active-Active multi-DC), which contains 220GB of integrated service management data (da-096). This system ingests incident reports, change requests, configuration items (CMDB), and problem logs, then integrates downstream to Jira (project tracking), Salesforce (customer relations), and Splunk (security analytics). The system operates on a monthly growth rate of 6%, accumulating data at a pace that will double capacity within 12 years if not actively managed. Yet no formal Data Lifecycle Management policy exists specifically for operational data. DD-030 (Service Management &amp; Ticketing) is under litigation hold due to the December 2022 breach and customer notification obligations. DD-077 (Rackspace Fabric Service Management data) is also under legal hold due to trade-secret designation. DD-029 (Configuration and Change Management Data) carries legal hold status and represents &gt;$500K per employee in revenue value.</w:t>
      </w:r>
    </w:p>
    <w:p>
      <w:pPr>
        <w:spacing w:after="160" w:line="300"/>
      </w:pPr>
      <w:r>
        <w:rPr>
          <w:rFonts w:ascii="Arial" w:cs="Arial" w:eastAsia="Arial" w:hAnsi="Arial"/>
          <w:b w:val="false"/>
          <w:bCs w:val="false"/>
          <w:i w:val="false"/>
          <w:iCs w:val="false"/>
          <w:color w:val="333333"/>
          <w:sz w:val="22"/>
          <w:szCs w:val="22"/>
        </w:rPr>
        <w:t xml:space="preserve">The lack of unified strategy manifests in five concrete operational gaps:</w:t>
      </w:r>
    </w:p>
    <w:p>
      <w:pPr>
        <w:pStyle w:val="ListParagraph"/>
        <w:numPr>
          <w:ilvl w:val="0"/>
          <w:numId w:val="2"/>
        </w:numPr>
        <w:spacing w:after="100" w:line="280"/>
      </w:pPr>
      <w:r>
        <w:rPr>
          <w:rFonts w:ascii="Arial" w:cs="Arial" w:eastAsia="Arial" w:hAnsi="Arial"/>
          <w:color w:val="333333"/>
          <w:sz w:val="22"/>
          <w:szCs w:val="22"/>
        </w:rPr>
        <w:t xml:space="preserve">Gap 1: No integrated master data management for operational entities. Configuration management data (CTL-160, CTL-152, CTL-154, CTL-157) is scattered across ServiceNow CMDB, Ansible Tower (sys-086), Terraform Enterprise (sys-088), and ad-hoc documentation. A system in one database may not exist in another. Change advisory boards (CAB) operate through ServiceNow but cannot see Ansible inventory drift or Terraform state file divergences.</w:t>
      </w:r>
    </w:p>
    <w:p>
      <w:pPr>
        <w:pStyle w:val="ListParagraph"/>
        <w:numPr>
          <w:ilvl w:val="0"/>
          <w:numId w:val="2"/>
        </w:numPr>
        <w:spacing w:after="100" w:line="280"/>
      </w:pPr>
      <w:r>
        <w:rPr>
          <w:rFonts w:ascii="Arial" w:cs="Arial" w:eastAsia="Arial" w:hAnsi="Arial"/>
          <w:color w:val="333333"/>
          <w:sz w:val="22"/>
          <w:szCs w:val="22"/>
        </w:rPr>
        <w:t xml:space="preserve">Gap 2: No unified data quality metrics for operational data. The five data domains (DD-028, DD-011, DD-048, DD-013, DD-030) under Modern Operations custody lack documented quality targets, profiling status, or monitoring automation. ServiceNow CMDB completeness is estimated at 65-70% (human verbal estimate, not measured), but no automated data quality monitoring enforces this minimum.</w:t>
      </w:r>
    </w:p>
    <w:p>
      <w:pPr>
        <w:pStyle w:val="ListParagraph"/>
        <w:numPr>
          <w:ilvl w:val="0"/>
          <w:numId w:val="2"/>
        </w:numPr>
        <w:spacing w:after="100" w:line="280"/>
      </w:pPr>
      <w:r>
        <w:rPr>
          <w:rFonts w:ascii="Arial" w:cs="Arial" w:eastAsia="Arial" w:hAnsi="Arial"/>
          <w:color w:val="333333"/>
          <w:sz w:val="22"/>
          <w:szCs w:val="22"/>
        </w:rPr>
        <w:t xml:space="preserve">Gap 3: No cross-departmental data dictionary. The five departments use different terminology for common concepts. Incident severity is mapped as 'P1-P4' in Modern Operations but 'S1-S4' (ITIL standard) in ServiceNow. Asset classification differs between DB admins (table-oriented) and infrastructure teams (resource-oriented).</w:t>
      </w:r>
    </w:p>
    <w:p>
      <w:pPr>
        <w:pStyle w:val="ListParagraph"/>
        <w:numPr>
          <w:ilvl w:val="0"/>
          <w:numId w:val="2"/>
        </w:numPr>
        <w:spacing w:after="100" w:line="280"/>
      </w:pPr>
      <w:r>
        <w:rPr>
          <w:rFonts w:ascii="Arial" w:cs="Arial" w:eastAsia="Arial" w:hAnsi="Arial"/>
          <w:color w:val="333333"/>
          <w:sz w:val="22"/>
          <w:szCs w:val="22"/>
        </w:rPr>
        <w:t xml:space="preserve">Gap 4: No systematic archival or retention policy for aged operational data. ServiceNow 220GB dataset contains six years of incident history (2020-2026). Legal hold constraints (Dec 2022 breach) prevent deletion of specific data sets but create perpetual storage obligations and governance complexity.</w:t>
      </w:r>
    </w:p>
    <w:p>
      <w:pPr>
        <w:pStyle w:val="ListParagraph"/>
        <w:numPr>
          <w:ilvl w:val="0"/>
          <w:numId w:val="2"/>
        </w:numPr>
        <w:spacing w:after="100" w:line="280"/>
      </w:pPr>
      <w:r>
        <w:rPr>
          <w:rFonts w:ascii="Arial" w:cs="Arial" w:eastAsia="Arial" w:hAnsi="Arial"/>
          <w:color w:val="333333"/>
          <w:sz w:val="22"/>
          <w:szCs w:val="22"/>
        </w:rPr>
        <w:t xml:space="preserve">Gap 5: No unified operational data governance body. Modern Operations (dept-025) has operational custody. Service Delivery Management (dept-018) has process ownership. ITIL Service Management (dept-168) has policy authority. No steering committee integrates these overlapping authorities or resolves conflicts.</w:t>
      </w:r>
    </w:p>
    <w:p>
      <w:pPr>
        <w:pStyle w:val="Heading2"/>
        <w:spacing w:after="200" w:before="300"/>
      </w:pPr>
      <w:r>
        <w:rPr>
          <w:rFonts w:ascii="Arial" w:cs="Arial" w:eastAsia="Arial" w:hAnsi="Arial"/>
        </w:rPr>
        <w:t xml:space="preserve">3.2 Policy &amp; Control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Management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Management ITSM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POL-019</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Management (NIST)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Level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POL-097</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SLA Agreement Management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Operational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Patch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PCI DSS, NIST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POL-063</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Event &amp; Monitoring Mgmt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Active</w:t>
            </w:r>
          </w:p>
        </w:tc>
      </w:tr>
    </w:tbl>
    <w:p>
      <w:pPr>
        <w:spacing w:after="160"/>
      </w:pPr>
      <w:r>
        <w:rPr>
          <w:rFonts w:ascii="Arial" w:cs="Arial" w:eastAsia="Arial" w:hAnsi="Arial"/>
          <w:sz w:val="20"/>
          <w:szCs w:val="20"/>
        </w:rPr>
        <w:t xml:space="preserve"> </w:t>
      </w:r>
    </w:p>
    <w:p>
      <w:pPr>
        <w:spacing w:after="160" w:line="300"/>
      </w:pPr>
      <w:r>
        <w:rPr>
          <w:rFonts w:ascii="Arial" w:cs="Arial" w:eastAsia="Arial" w:hAnsi="Arial"/>
          <w:b w:val="false"/>
          <w:bCs w:val="false"/>
          <w:i w:val="false"/>
          <w:iCs w:val="false"/>
          <w:color w:val="333333"/>
          <w:sz w:val="22"/>
          <w:szCs w:val="22"/>
        </w:rPr>
        <w:t xml:space="preserve">Seven of fourteen operational policies directly govern data management operations strategy. However, policy existence does not imply operational implementation. POL-056 (Incident Management) prescribes severity classifications (S1-S4) and escalation timelines but does not define data quality standards for incident records themselves. POL-058 (Change Management ITSM) requires change requests to be logged, approved, and audited but does not mandate data consistency validation before change promotion. POL-049 (Patch Management) failed catastrophically for CVE-2022-41080 due to operational breakdown, not policy deficiency.</w:t>
      </w:r>
    </w:p>
    <w:p>
      <w:r>
        <w:br w:type="page"/>
      </w:r>
    </w:p>
    <w:p>
      <w:pPr>
        <w:pStyle w:val="Heading1"/>
        <w:spacing w:after="200" w:before="300"/>
      </w:pPr>
      <w:r>
        <w:rPr>
          <w:rFonts w:ascii="Arial" w:cs="Arial" w:eastAsia="Arial" w:hAnsi="Arial"/>
        </w:rPr>
        <w:t xml:space="preserve">4. Sub-Capability 8.2: Service Level Management (Score 2)</w:t>
      </w:r>
    </w:p>
    <w:p>
      <w:pPr>
        <w:pStyle w:val="Heading2"/>
        <w:spacing w:after="200" w:before="300"/>
      </w:pPr>
      <w:r>
        <w:rPr>
          <w:rFonts w:ascii="Arial" w:cs="Arial" w:eastAsia="Arial" w:hAnsi="Arial"/>
        </w:rPr>
        <w:t xml:space="preserve">4.1 SLA Framework &amp; Coverage</w:t>
      </w:r>
    </w:p>
    <w:p>
      <w:pPr>
        <w:spacing w:after="160" w:line="300"/>
      </w:pPr>
      <w:r>
        <w:rPr>
          <w:rFonts w:ascii="Arial" w:cs="Arial" w:eastAsia="Arial" w:hAnsi="Arial"/>
          <w:b w:val="false"/>
          <w:bCs w:val="false"/>
          <w:i w:val="false"/>
          <w:iCs w:val="false"/>
          <w:color w:val="333333"/>
          <w:sz w:val="22"/>
          <w:szCs w:val="22"/>
        </w:rPr>
        <w:t xml:space="preserve">Service Level Management at Rackspace is governed by two foundational policies: POL-059 (Service Level Management) and POL-097 (SLA Agreement Management). These policies establish SLA targets, measurement procedures, reporting obligations, and credit/penalty mechanisms for failure. ServiceNow ITSM (sys-100) implements SLA tracking at the incident and request level, with percentage-based SLA attainment metrics driving operational KPI dashboards.</w:t>
      </w:r>
    </w:p>
    <w:p>
      <w:pPr>
        <w:spacing w:after="160" w:line="300"/>
      </w:pPr>
      <w:r>
        <w:rPr>
          <w:rFonts w:ascii="Arial" w:cs="Arial" w:eastAsia="Arial" w:hAnsi="Arial"/>
          <w:b w:val="false"/>
          <w:bCs w:val="false"/>
          <w:i w:val="false"/>
          <w:iCs w:val="false"/>
          <w:color w:val="333333"/>
          <w:sz w:val="22"/>
          <w:szCs w:val="22"/>
        </w:rPr>
        <w:t xml:space="preserve">However, the SLA framework exhibits three critical gaps:</w:t>
      </w:r>
    </w:p>
    <w:p>
      <w:pPr>
        <w:pStyle w:val="ListParagraph"/>
        <w:numPr>
          <w:ilvl w:val="0"/>
          <w:numId w:val="2"/>
        </w:numPr>
        <w:spacing w:after="100" w:line="280"/>
      </w:pPr>
      <w:r>
        <w:rPr>
          <w:rFonts w:ascii="Arial" w:cs="Arial" w:eastAsia="Arial" w:hAnsi="Arial"/>
          <w:color w:val="333333"/>
          <w:sz w:val="22"/>
          <w:szCs w:val="22"/>
        </w:rPr>
        <w:t xml:space="preserve">Gap 1: SLA metrics incentivize speed over quality. POL-059 defines SLA as 'first response time' and 'resolution time', creating perverse incentives. Support teams (dept-018, Service Delivery Management) are measured on SLA response compliance (ticket closed within SLA window), not on whether the customer's actual problem is solved. RSK-OM-005 (Incentive Misalignment in Support &amp; Operations) notes this residual HIGH-risk pattern: 'support measured on SLA response times not resolution quality; operations on incident response speed not prevention.' This explains why the Dec 2022 breach (RSK-00001, ransomware) occurred despite existing incident management infrastructure—prevention signals were ignored because incident response speed was the incentive mechanism.</w:t>
      </w:r>
    </w:p>
    <w:p>
      <w:pPr>
        <w:pStyle w:val="ListParagraph"/>
        <w:numPr>
          <w:ilvl w:val="0"/>
          <w:numId w:val="2"/>
        </w:numPr>
        <w:spacing w:after="100" w:line="280"/>
      </w:pPr>
      <w:r>
        <w:rPr>
          <w:rFonts w:ascii="Arial" w:cs="Arial" w:eastAsia="Arial" w:hAnsi="Arial"/>
          <w:color w:val="333333"/>
          <w:sz w:val="22"/>
          <w:szCs w:val="22"/>
        </w:rPr>
        <w:t xml:space="preserve">Gap 2: No systematic SLA credit enforcement. POL-097 defines SLA credit calculations (e.g., 10% service credit for 99.8% uptime SLA miss), but actual credit issuance is ad-hoc and reactive, triggered only when customers explicitly escalate. No automated system calculates and applies credits monthly. No centralized audit of credit accuracy exists.</w:t>
      </w:r>
    </w:p>
    <w:p>
      <w:pPr>
        <w:pStyle w:val="ListParagraph"/>
        <w:numPr>
          <w:ilvl w:val="0"/>
          <w:numId w:val="2"/>
        </w:numPr>
        <w:spacing w:after="100" w:line="280"/>
      </w:pPr>
      <w:r>
        <w:rPr>
          <w:rFonts w:ascii="Arial" w:cs="Arial" w:eastAsia="Arial" w:hAnsi="Arial"/>
          <w:color w:val="333333"/>
          <w:sz w:val="22"/>
          <w:szCs w:val="22"/>
        </w:rPr>
        <w:t xml:space="preserve">Gap 3: SLA coverage gaps for operational data services. ServiceNow ITSM (sys-100) has published 99.8% SLA (critical system), but no explicit SLA is defined for data quality, data timeliness, or incident data completeness. The 220GB ServiceNow dataset (da-096) growing 6% monthly lacks contractual commitment on query response time, data freshness, or availability of historical incident data for audits.</w:t>
      </w:r>
    </w:p>
    <w:p>
      <w:pPr>
        <w:pStyle w:val="Heading2"/>
        <w:spacing w:after="200" w:before="300"/>
      </w:pPr>
      <w:r>
        <w:rPr>
          <w:rFonts w:ascii="Arial" w:cs="Arial" w:eastAsia="Arial" w:hAnsi="Arial"/>
        </w:rPr>
        <w:t xml:space="preserve">4.2 Operational SLA Measurement &amp; Reporting</w:t>
      </w:r>
    </w:p>
    <w:p>
      <w:pPr>
        <w:spacing w:after="160" w:line="300"/>
      </w:pPr>
      <w:r>
        <w:rPr>
          <w:rFonts w:ascii="Arial" w:cs="Arial" w:eastAsia="Arial" w:hAnsi="Arial"/>
          <w:b w:val="false"/>
          <w:bCs w:val="false"/>
          <w:i w:val="false"/>
          <w:iCs w:val="false"/>
          <w:color w:val="333333"/>
          <w:sz w:val="22"/>
          <w:szCs w:val="22"/>
        </w:rPr>
        <w:t xml:space="preserve">SLA measurement is automated within ServiceNow ITSM but lacks unified cross-system visibility. Incidents logged in ServiceNow trigger automatic SLA timers. When response or resolution targets are reached, escalation notifications are sent to on-call personnel. However:</w:t>
      </w:r>
    </w:p>
    <w:p>
      <w:pPr>
        <w:pStyle w:val="ListParagraph"/>
        <w:numPr>
          <w:ilvl w:val="0"/>
          <w:numId w:val="2"/>
        </w:numPr>
        <w:spacing w:after="100" w:line="280"/>
      </w:pPr>
      <w:r>
        <w:rPr>
          <w:rFonts w:ascii="Arial" w:cs="Arial" w:eastAsia="Arial" w:hAnsi="Arial"/>
          <w:color w:val="333333"/>
          <w:sz w:val="22"/>
          <w:szCs w:val="22"/>
        </w:rPr>
        <w:t xml:space="preserve">Measurement is single-system only. If an incident requires coordination across Ansible (sys-086) and Terraform (sys-088) for infrastructure remediation, only the parent ServiceNow ticket is tracked for SLA compliance. Sub-tasks in Ansible or Terraform have no integrated SLA visibility.</w:t>
      </w:r>
    </w:p>
    <w:p>
      <w:pPr>
        <w:pStyle w:val="ListParagraph"/>
        <w:numPr>
          <w:ilvl w:val="0"/>
          <w:numId w:val="2"/>
        </w:numPr>
        <w:spacing w:after="100" w:line="280"/>
      </w:pPr>
      <w:r>
        <w:rPr>
          <w:rFonts w:ascii="Arial" w:cs="Arial" w:eastAsia="Arial" w:hAnsi="Arial"/>
          <w:color w:val="333333"/>
          <w:sz w:val="22"/>
          <w:szCs w:val="22"/>
        </w:rPr>
        <w:t xml:space="preserve">Data completeness is assumed but not verified. SLA reporting assumes all incidents are logged in ServiceNow. However, P3-P4 (low-priority) incidents in some business units are resolved through other channels (email escalations, ad-hoc calls) and never logged, creating blind spots in SLA compliance reporting.</w:t>
      </w:r>
    </w:p>
    <w:p>
      <w:pPr>
        <w:pStyle w:val="ListParagraph"/>
        <w:numPr>
          <w:ilvl w:val="0"/>
          <w:numId w:val="2"/>
        </w:numPr>
        <w:spacing w:after="100" w:line="280"/>
      </w:pPr>
      <w:r>
        <w:rPr>
          <w:rFonts w:ascii="Arial" w:cs="Arial" w:eastAsia="Arial" w:hAnsi="Arial"/>
          <w:color w:val="333333"/>
          <w:sz w:val="22"/>
          <w:szCs w:val="22"/>
        </w:rPr>
        <w:t xml:space="preserve">Historical SLA trend analysis is manual. While ServiceNow provides month-to-month SLA compliance numbers, year-over-year trend analysis, root cause analysis of SLA misses, and predictive SLA risk modeling require manual data export to spreadsheets.</w:t>
      </w:r>
    </w:p>
    <w:p>
      <w:r>
        <w:br w:type="page"/>
      </w:r>
    </w:p>
    <w:p>
      <w:pPr>
        <w:pStyle w:val="Heading1"/>
        <w:spacing w:after="200" w:before="300"/>
      </w:pPr>
      <w:r>
        <w:rPr>
          <w:rFonts w:ascii="Arial" w:cs="Arial" w:eastAsia="Arial" w:hAnsi="Arial"/>
        </w:rPr>
        <w:t xml:space="preserve">5. Sub-Capability 8.3: Incident &amp; Problem Management (Score 2)</w:t>
      </w:r>
    </w:p>
    <w:p>
      <w:pPr>
        <w:pStyle w:val="Heading2"/>
        <w:spacing w:after="200" w:before="300"/>
      </w:pPr>
      <w:r>
        <w:rPr>
          <w:rFonts w:ascii="Arial" w:cs="Arial" w:eastAsia="Arial" w:hAnsi="Arial"/>
        </w:rPr>
        <w:t xml:space="preserve">5.1 Incident Response Structure</w:t>
      </w:r>
    </w:p>
    <w:p>
      <w:pPr>
        <w:spacing w:after="160" w:line="300"/>
      </w:pPr>
      <w:r>
        <w:rPr>
          <w:rFonts w:ascii="Arial" w:cs="Arial" w:eastAsia="Arial" w:hAnsi="Arial"/>
          <w:b w:val="false"/>
          <w:bCs w:val="false"/>
          <w:i w:val="false"/>
          <w:iCs w:val="false"/>
          <w:color w:val="333333"/>
          <w:sz w:val="22"/>
          <w:szCs w:val="22"/>
        </w:rPr>
        <w:t xml:space="preserve">Incident Management is governed by POL-056 (Incident Management, ITIL 4 framework, ServiceNow-based, S1-S4 severity escalation) and operationalized through CTL-052 (Incident Response Team, partnership with CrowdStrike IR). The Incident Response Manager (role-099, $130K, P3 privileged) leads a structured team with on-call rotations, escalation procedures, and vendor integration.</w:t>
      </w:r>
    </w:p>
    <w:p>
      <w:pPr>
        <w:spacing w:after="160" w:line="300"/>
      </w:pPr>
      <w:r>
        <w:rPr>
          <w:rFonts w:ascii="Arial" w:cs="Arial" w:eastAsia="Arial" w:hAnsi="Arial"/>
          <w:b w:val="false"/>
          <w:bCs w:val="false"/>
          <w:i w:val="false"/>
          <w:iCs w:val="false"/>
          <w:color w:val="333333"/>
          <w:sz w:val="22"/>
          <w:szCs w:val="22"/>
        </w:rPr>
        <w:t xml:space="preserve">The November 2023 Hosted Exchange ransomware incident demonstrates operational capability: the IR team coordinated with CrowdStrike forensics, preserved evidence, isolated affected systems, and managed customer notifications through a structured process. Yet this same capability was absent during the December 2022 PLAY ransomware breach (RSK-00001, $10.8M). The organizational paradox: mature incident response exists for 2023 incidents but was inadequate for 2022. The difference is not capability but organizational learning—the 2022 breach forced adoption of forensic partnership and evidence preservation discipline that would have prevented or reduced the breach impact.</w:t>
      </w:r>
    </w:p>
    <w:p>
      <w:pPr>
        <w:spacing w:after="160" w:line="300"/>
      </w:pPr>
      <w:r>
        <w:rPr>
          <w:rFonts w:ascii="Arial" w:cs="Arial" w:eastAsia="Arial" w:hAnsi="Arial"/>
          <w:b w:val="false"/>
          <w:bCs w:val="false"/>
          <w:i w:val="false"/>
          <w:iCs w:val="false"/>
          <w:color w:val="333333"/>
          <w:sz w:val="22"/>
          <w:szCs w:val="22"/>
        </w:rPr>
        <w:t xml:space="preserve">Key incident management elements:</w:t>
      </w:r>
    </w:p>
    <w:p>
      <w:pPr>
        <w:pStyle w:val="ListParagraph"/>
        <w:numPr>
          <w:ilvl w:val="0"/>
          <w:numId w:val="2"/>
        </w:numPr>
        <w:spacing w:after="100" w:line="280"/>
      </w:pPr>
      <w:r>
        <w:rPr>
          <w:rFonts w:ascii="Arial" w:cs="Arial" w:eastAsia="Arial" w:hAnsi="Arial"/>
          <w:color w:val="333333"/>
          <w:sz w:val="22"/>
          <w:szCs w:val="22"/>
        </w:rPr>
        <w:t xml:space="preserve">Severity Classification: S1 (Critical, &lt;1 hr response), S2 (Major, &lt;4 hrs), S3 (Medium, &lt;8 hrs), S4 (Low, &lt;24 hrs) per POL-056 and ServiceNow configuration.</w:t>
      </w:r>
    </w:p>
    <w:p>
      <w:pPr>
        <w:pStyle w:val="ListParagraph"/>
        <w:numPr>
          <w:ilvl w:val="0"/>
          <w:numId w:val="2"/>
        </w:numPr>
        <w:spacing w:after="100" w:line="280"/>
      </w:pPr>
      <w:r>
        <w:rPr>
          <w:rFonts w:ascii="Arial" w:cs="Arial" w:eastAsia="Arial" w:hAnsi="Arial"/>
          <w:color w:val="333333"/>
          <w:sz w:val="22"/>
          <w:szCs w:val="22"/>
        </w:rPr>
        <w:t xml:space="preserve">Escalation Path: First-line support (dept-018, Service Delivery) → Incident Manager → Engineering (dept-025, dept-054, dept-072) → Executive escalation for RCA if required.</w:t>
      </w:r>
    </w:p>
    <w:p>
      <w:pPr>
        <w:pStyle w:val="ListParagraph"/>
        <w:numPr>
          <w:ilvl w:val="0"/>
          <w:numId w:val="2"/>
        </w:numPr>
        <w:spacing w:after="100" w:line="280"/>
      </w:pPr>
      <w:r>
        <w:rPr>
          <w:rFonts w:ascii="Arial" w:cs="Arial" w:eastAsia="Arial" w:hAnsi="Arial"/>
          <w:color w:val="333333"/>
          <w:sz w:val="22"/>
          <w:szCs w:val="22"/>
        </w:rPr>
        <w:t xml:space="preserve">Forensic Partnership: CrowdStrike IR (CTL-052) integrated for security incidents requiring forensic investigation, threat intelligence, and post-incident reporting.</w:t>
      </w:r>
    </w:p>
    <w:p>
      <w:pPr>
        <w:pStyle w:val="ListParagraph"/>
        <w:numPr>
          <w:ilvl w:val="0"/>
          <w:numId w:val="2"/>
        </w:numPr>
        <w:spacing w:after="100" w:line="280"/>
      </w:pPr>
      <w:r>
        <w:rPr>
          <w:rFonts w:ascii="Arial" w:cs="Arial" w:eastAsia="Arial" w:hAnsi="Arial"/>
          <w:color w:val="333333"/>
          <w:sz w:val="22"/>
          <w:szCs w:val="22"/>
        </w:rPr>
        <w:t xml:space="preserve">Knowledge Base: POL-061 (Knowledge Management, Knowledge-Centered Service framework) captures incident resolutions and solutions for reuse, reducing MTTR for recurring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CTL-052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Response Team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CrowdStrike IR partner, forensic investigation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CTL-057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Patch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CVE-2022-41080 lessons, emergency patching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Management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 S1-S4 severity, ServiceNow-based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Enforced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POL-061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Knowledge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KCS framework, incident resolution capture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Enforced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CTL-292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Management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9001, process quality assurance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bl>
    <w:p>
      <w:pPr>
        <w:spacing w:after="200"/>
      </w:pPr>
    </w:p>
    <w:p>
      <w:pPr>
        <w:pStyle w:val="Heading2"/>
        <w:spacing w:after="200" w:before="300"/>
      </w:pPr>
      <w:r>
        <w:rPr>
          <w:rFonts w:ascii="Arial" w:cs="Arial" w:eastAsia="Arial" w:hAnsi="Arial"/>
        </w:rPr>
        <w:t xml:space="preserve">5.2 Problem Management Gaps</w:t>
      </w:r>
    </w:p>
    <w:p>
      <w:pPr>
        <w:spacing w:after="160" w:line="300"/>
      </w:pPr>
      <w:r>
        <w:rPr>
          <w:rFonts w:ascii="Arial" w:cs="Arial" w:eastAsia="Arial" w:hAnsi="Arial"/>
          <w:b w:val="false"/>
          <w:bCs w:val="false"/>
          <w:i w:val="false"/>
          <w:iCs w:val="false"/>
          <w:color w:val="333333"/>
          <w:sz w:val="22"/>
          <w:szCs w:val="22"/>
        </w:rPr>
        <w:t xml:space="preserve">Problem Management—the proactive discipline of analyzing incident patterns and implementing permanent solutions—is formalized in POL-056 but operationally immature. The gap manifests in three ways:</w:t>
      </w:r>
    </w:p>
    <w:p>
      <w:pPr>
        <w:pStyle w:val="ListParagraph"/>
        <w:numPr>
          <w:ilvl w:val="0"/>
          <w:numId w:val="2"/>
        </w:numPr>
        <w:spacing w:after="100" w:line="280"/>
      </w:pPr>
      <w:r>
        <w:rPr>
          <w:rFonts w:ascii="Arial" w:cs="Arial" w:eastAsia="Arial" w:hAnsi="Arial"/>
          <w:color w:val="333333"/>
          <w:sz w:val="22"/>
          <w:szCs w:val="22"/>
        </w:rPr>
        <w:t xml:space="preserve">No systematic root cause analysis (RCA) requirement. While ServiceNow has a 'Problem' record type distinct from 'Incident', the escalation from incident to problem is manual and ad-hoc. No threshold exists (e.g., 'three identical incidents in 30 days triggers problem investigation'). RCAs are conducted reactively for customer-visible outages only.</w:t>
      </w:r>
    </w:p>
    <w:p>
      <w:pPr>
        <w:pStyle w:val="ListParagraph"/>
        <w:numPr>
          <w:ilvl w:val="0"/>
          <w:numId w:val="2"/>
        </w:numPr>
        <w:spacing w:after="100" w:line="280"/>
      </w:pPr>
      <w:r>
        <w:rPr>
          <w:rFonts w:ascii="Arial" w:cs="Arial" w:eastAsia="Arial" w:hAnsi="Arial"/>
          <w:color w:val="333333"/>
          <w:sz w:val="22"/>
          <w:szCs w:val="22"/>
        </w:rPr>
        <w:t xml:space="preserve">No problem lifecycle tracking. Once a problem is identified, the linkage from problem → solution → preventive change is not enforced. A problem may be 'resolved' (solution identified) but the change implementing that solution (through POL-058 Change Management) may languish in CAB approval for weeks.</w:t>
      </w:r>
    </w:p>
    <w:p>
      <w:pPr>
        <w:pStyle w:val="ListParagraph"/>
        <w:numPr>
          <w:ilvl w:val="0"/>
          <w:numId w:val="2"/>
        </w:numPr>
        <w:spacing w:after="100" w:line="280"/>
      </w:pPr>
      <w:r>
        <w:rPr>
          <w:rFonts w:ascii="Arial" w:cs="Arial" w:eastAsia="Arial" w:hAnsi="Arial"/>
          <w:color w:val="333333"/>
          <w:sz w:val="22"/>
          <w:szCs w:val="22"/>
        </w:rPr>
        <w:t xml:space="preserve">No metrics on problem resolution velocity. ServiceNow reports incident MTTR (Mean Time To Recovery), but not MTTR for problems or time-to-prevent-recurrence metrics. This creates a scenario where the same incident recurs repeatedly because problem-to-change conversion is slow.</w:t>
      </w:r>
    </w:p>
    <w:p>
      <w:pPr>
        <w:spacing w:after="160" w:line="300"/>
      </w:pPr>
      <w:r>
        <w:rPr>
          <w:rFonts w:ascii="Arial" w:cs="Arial" w:eastAsia="Arial" w:hAnsi="Arial"/>
          <w:b w:val="false"/>
          <w:bCs w:val="false"/>
          <w:i w:val="false"/>
          <w:iCs w:val="false"/>
          <w:color w:val="333333"/>
          <w:sz w:val="22"/>
          <w:szCs w:val="22"/>
        </w:rPr>
        <w:t xml:space="preserve">The December 2022 breach (RSK-00001) is a concrete example: the CVE-2022-41080 patch failure (CTL-057) was an incident event. The root problem was configuration drift in patch automation pipelines, the absence of immutable backups (DD-048), and change management process gaps. Had systematic problem management converted the patch failure incident into formal problems with assigned solutions and change schedules, the October-November timeline would have been closed before December exploitation. Instead, the incident-centric organizational focus (measured on S1-S4 response times per SLA targets) delayed root problem analysis until after breach materialization.</w:t>
      </w:r>
    </w:p>
    <w:p>
      <w:r>
        <w:br w:type="page"/>
      </w:r>
    </w:p>
    <w:p>
      <w:pPr>
        <w:pStyle w:val="Heading1"/>
        <w:spacing w:after="200" w:before="300"/>
      </w:pPr>
      <w:r>
        <w:rPr>
          <w:rFonts w:ascii="Arial" w:cs="Arial" w:eastAsia="Arial" w:hAnsi="Arial"/>
        </w:rPr>
        <w:t xml:space="preserve">6. Sub-Capability 8.4: Change Management (Score 2)</w:t>
      </w:r>
    </w:p>
    <w:p>
      <w:pPr>
        <w:pStyle w:val="Heading2"/>
        <w:spacing w:after="200" w:before="300"/>
      </w:pPr>
      <w:r>
        <w:rPr>
          <w:rFonts w:ascii="Arial" w:cs="Arial" w:eastAsia="Arial" w:hAnsi="Arial"/>
        </w:rPr>
        <w:t xml:space="preserve">6.1 Change Advisory Board &amp; Governance</w:t>
      </w:r>
    </w:p>
    <w:p>
      <w:pPr>
        <w:spacing w:after="160" w:line="300"/>
      </w:pPr>
      <w:r>
        <w:rPr>
          <w:rFonts w:ascii="Arial" w:cs="Arial" w:eastAsia="Arial" w:hAnsi="Arial"/>
          <w:b w:val="false"/>
          <w:bCs w:val="false"/>
          <w:i w:val="false"/>
          <w:iCs w:val="false"/>
          <w:color w:val="333333"/>
          <w:sz w:val="22"/>
          <w:szCs w:val="22"/>
        </w:rPr>
        <w:t xml:space="preserve">Change Management is dual-governed by POL-058 (Change Management ITSM, CAB process) and POL-019 (Change Management NIST 800-53 CM-3). ServiceNow ITSM (sys-100) implements the workflow, with CTL-154 (Change Advisory Board control, CAB, ITIL 4, ServiceNow-based) providing approval authority.</w:t>
      </w:r>
    </w:p>
    <w:p>
      <w:pPr>
        <w:spacing w:after="160" w:line="300"/>
      </w:pPr>
      <w:r>
        <w:rPr>
          <w:rFonts w:ascii="Arial" w:cs="Arial" w:eastAsia="Arial" w:hAnsi="Arial"/>
          <w:b w:val="false"/>
          <w:bCs w:val="false"/>
          <w:i w:val="false"/>
          <w:iCs w:val="false"/>
          <w:color w:val="333333"/>
          <w:sz w:val="22"/>
          <w:szCs w:val="22"/>
        </w:rPr>
        <w:t xml:space="preserve">The CAB structure includes:</w:t>
      </w:r>
    </w:p>
    <w:p>
      <w:pPr>
        <w:pStyle w:val="ListParagraph"/>
        <w:numPr>
          <w:ilvl w:val="0"/>
          <w:numId w:val="2"/>
        </w:numPr>
        <w:spacing w:after="100" w:line="280"/>
      </w:pPr>
      <w:r>
        <w:rPr>
          <w:rFonts w:ascii="Arial" w:cs="Arial" w:eastAsia="Arial" w:hAnsi="Arial"/>
          <w:color w:val="333333"/>
          <w:sz w:val="22"/>
          <w:szCs w:val="22"/>
        </w:rPr>
        <w:t xml:space="preserve">Change Manager (role-190, ITIL-certified, $110K, P1): Owns change request intake, impact assessment, and CAB scheduling.</w:t>
      </w:r>
    </w:p>
    <w:p>
      <w:pPr>
        <w:pStyle w:val="ListParagraph"/>
        <w:numPr>
          <w:ilvl w:val="0"/>
          <w:numId w:val="2"/>
        </w:numPr>
        <w:spacing w:after="100" w:line="280"/>
      </w:pPr>
      <w:r>
        <w:rPr>
          <w:rFonts w:ascii="Arial" w:cs="Arial" w:eastAsia="Arial" w:hAnsi="Arial"/>
          <w:color w:val="333333"/>
          <w:sz w:val="22"/>
          <w:szCs w:val="22"/>
        </w:rPr>
        <w:t xml:space="preserve">Infrastructure representatives: DC Operations (dept-054), Modern Operations (dept-025), Automation Engineering (role-117, $110K, elevated, privileged).</w:t>
      </w:r>
    </w:p>
    <w:p>
      <w:pPr>
        <w:pStyle w:val="ListParagraph"/>
        <w:numPr>
          <w:ilvl w:val="0"/>
          <w:numId w:val="2"/>
        </w:numPr>
        <w:spacing w:after="100" w:line="280"/>
      </w:pPr>
      <w:r>
        <w:rPr>
          <w:rFonts w:ascii="Arial" w:cs="Arial" w:eastAsia="Arial" w:hAnsi="Arial"/>
          <w:color w:val="333333"/>
          <w:sz w:val="22"/>
          <w:szCs w:val="22"/>
        </w:rPr>
        <w:t xml:space="preserve">Application/Database representatives: Database Administration (dept-072, role-044 DBA $169K elevated), Application Support.</w:t>
      </w:r>
    </w:p>
    <w:p>
      <w:pPr>
        <w:pStyle w:val="ListParagraph"/>
        <w:numPr>
          <w:ilvl w:val="0"/>
          <w:numId w:val="2"/>
        </w:numPr>
        <w:spacing w:after="100" w:line="280"/>
      </w:pPr>
      <w:r>
        <w:rPr>
          <w:rFonts w:ascii="Arial" w:cs="Arial" w:eastAsia="Arial" w:hAnsi="Arial"/>
          <w:color w:val="333333"/>
          <w:sz w:val="22"/>
          <w:szCs w:val="22"/>
        </w:rPr>
        <w:t xml:space="preserve">Approval threshold: Standard changes (patches, config updates) approved by functional manager; major changes (capacity increase, new infrastructure) require CAB; emergency changes (incident response) approved by incident manager with post-change audit.</w:t>
      </w:r>
    </w:p>
    <w:p>
      <w:pPr>
        <w:pStyle w:val="Heading2"/>
        <w:spacing w:after="200" w:before="300"/>
      </w:pPr>
      <w:r>
        <w:rPr>
          <w:rFonts w:ascii="Arial" w:cs="Arial" w:eastAsia="Arial" w:hAnsi="Arial"/>
        </w:rPr>
        <w:t xml:space="preserve">6.2 Change Implementation Tracking</w:t>
      </w:r>
    </w:p>
    <w:p>
      <w:pPr>
        <w:spacing w:after="160" w:line="300"/>
      </w:pPr>
      <w:r>
        <w:rPr>
          <w:rFonts w:ascii="Arial" w:cs="Arial" w:eastAsia="Arial" w:hAnsi="Arial"/>
          <w:b w:val="false"/>
          <w:bCs w:val="false"/>
          <w:i w:val="false"/>
          <w:iCs w:val="false"/>
          <w:color w:val="333333"/>
          <w:sz w:val="22"/>
          <w:szCs w:val="22"/>
        </w:rPr>
        <w:t xml:space="preserve">Change tracking in ServiceNow ITSM (da-096, 220GB) captures change requests, approval decisions, and implementation status. However, visibility gaps limit effectiveness:</w:t>
      </w:r>
    </w:p>
    <w:p>
      <w:pPr>
        <w:pStyle w:val="ListParagraph"/>
        <w:numPr>
          <w:ilvl w:val="0"/>
          <w:numId w:val="2"/>
        </w:numPr>
        <w:spacing w:after="100" w:line="280"/>
      </w:pPr>
      <w:r>
        <w:rPr>
          <w:rFonts w:ascii="Arial" w:cs="Arial" w:eastAsia="Arial" w:hAnsi="Arial"/>
          <w:color w:val="333333"/>
          <w:sz w:val="22"/>
          <w:szCs w:val="22"/>
        </w:rPr>
        <w:t xml:space="preserve">Change implementation lag: Infrastructure changes (Ansible sys-086, Terraform sys-088) are executed by automation teams but change closure in ServiceNow is delayed 1-3 days pending manual verification. This creates a window where infrastructure has changed but documentation is stale.</w:t>
      </w:r>
    </w:p>
    <w:p>
      <w:pPr>
        <w:pStyle w:val="ListParagraph"/>
        <w:numPr>
          <w:ilvl w:val="0"/>
          <w:numId w:val="2"/>
        </w:numPr>
        <w:spacing w:after="100" w:line="280"/>
      </w:pPr>
      <w:r>
        <w:rPr>
          <w:rFonts w:ascii="Arial" w:cs="Arial" w:eastAsia="Arial" w:hAnsi="Arial"/>
          <w:color w:val="333333"/>
          <w:sz w:val="22"/>
          <w:szCs w:val="22"/>
        </w:rPr>
        <w:t xml:space="preserve">Drift detection gaps: Ansible Tower (sys-086, critical system, SSH root to all managed hosts) and Terraform Enterprise (sys-088, multi-cloud IaC for AWS/Azure/OpenStack) both perform infrastructure-as-code deployments, but no automated drift detection validates that actual infrastructure matches the intended change. Manual reconciliation occurs quarterly.</w:t>
      </w:r>
    </w:p>
    <w:p>
      <w:pPr>
        <w:pStyle w:val="ListParagraph"/>
        <w:numPr>
          <w:ilvl w:val="0"/>
          <w:numId w:val="2"/>
        </w:numPr>
        <w:spacing w:after="100" w:line="280"/>
      </w:pPr>
      <w:r>
        <w:rPr>
          <w:rFonts w:ascii="Arial" w:cs="Arial" w:eastAsia="Arial" w:hAnsi="Arial"/>
          <w:color w:val="333333"/>
          <w:sz w:val="22"/>
          <w:szCs w:val="22"/>
        </w:rPr>
        <w:t xml:space="preserve">Cross-domain change coordination: Changes in the 40+ global data centers (OU-042, DC Operations dept-054) must be coordinated with customer-facing changes (Service Delivery dept-018) to avoid cascading failures. This coordination is managed through ServiceNow change coordination fields but lacks real-time cross-system visibility. A database maintenance window (Database Administration dept-072) scheduled without visibility to related service changes can trigger unexpected customer impact.</w:t>
      </w:r>
    </w:p>
    <w:p>
      <w:pPr>
        <w:spacing w:after="160" w:line="300"/>
      </w:pPr>
      <w:r>
        <w:rPr>
          <w:rFonts w:ascii="Arial" w:cs="Arial" w:eastAsia="Arial" w:hAnsi="Arial"/>
          <w:b w:val="false"/>
          <w:bCs w:val="false"/>
          <w:i w:val="false"/>
          <w:iCs w:val="false"/>
          <w:color w:val="333333"/>
          <w:sz w:val="22"/>
          <w:szCs w:val="22"/>
        </w:rPr>
        <w:t xml:space="preserve">The December 2022 breach (RSK-00001) involved change management failure: the patch for CVE-2022-41080 was approved by CAB and change management policies were followed, but implementation consistency across 40+ data centers broke down. Some systems were patched, others were not. Change tracking did not detect this divergence until post-breach forensics revealed the gap. This was a change execution failure, not a change governance failure.</w:t>
      </w:r>
    </w:p>
    <w:p>
      <w:pPr>
        <w:pStyle w:val="Heading3"/>
        <w:spacing w:after="200" w:before="300"/>
      </w:pPr>
      <w:r>
        <w:rPr>
          <w:rFonts w:ascii="Arial" w:cs="Arial" w:eastAsia="Arial" w:hAnsi="Arial"/>
        </w:rPr>
        <w:t xml:space="preserve">6.3 Change &amp; Configuration Control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CTL-154</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Change Control (CM-3)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CAB-approved, rollback required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 / ServiceNow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CTL-160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Management Plan (CM-9)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Roles, responsibilities, CM processes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Management Policy (CM-1)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 review per ISO 27001 ISMS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Settings (CM-6)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CIS Benchmarks, vendor hardening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PCI DSS Req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CTL-237</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Developer Config Mgmt (SA-10)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Branch protection, merge approval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Management ITSM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CAB processes, ServiceNow workflow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POL-019</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Management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 CM-3 alignment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NIST 800-53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POL-036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Baselines, hardening, tracking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27001 A.8.9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F39C12"/>
                <w:sz w:val="20"/>
                <w:szCs w:val="20"/>
              </w:rPr>
            </w:r>
          </w:p>
        </w:tc>
      </w:tr>
    </w:tbl>
    <w:p>
      <w:pPr>
        <w:spacing w:after="200"/>
      </w:pPr>
    </w:p>
    <w:p>
      <w:r>
        <w:br w:type="page"/>
      </w:r>
    </w:p>
    <w:p>
      <w:pPr>
        <w:pStyle w:val="Heading1"/>
        <w:spacing w:after="200" w:before="300"/>
      </w:pPr>
      <w:r>
        <w:rPr>
          <w:rFonts w:ascii="Arial" w:cs="Arial" w:eastAsia="Arial" w:hAnsi="Arial"/>
        </w:rPr>
        <w:t xml:space="preserve">7. Sub-Capability 8.5: Data Environment Management (Score 2)</w:t>
      </w:r>
    </w:p>
    <w:p>
      <w:pPr>
        <w:pStyle w:val="Heading2"/>
        <w:spacing w:after="200" w:before="300"/>
      </w:pPr>
      <w:r>
        <w:rPr>
          <w:rFonts w:ascii="Arial" w:cs="Arial" w:eastAsia="Arial" w:hAnsi="Arial"/>
        </w:rPr>
        <w:t xml:space="preserve">7.1 Global Data Center Operations</w:t>
      </w:r>
    </w:p>
    <w:p>
      <w:pPr>
        <w:spacing w:after="160" w:line="300"/>
      </w:pPr>
      <w:r>
        <w:rPr>
          <w:rFonts w:ascii="Arial" w:cs="Arial" w:eastAsia="Arial" w:hAnsi="Arial"/>
          <w:b w:val="false"/>
          <w:bCs w:val="false"/>
          <w:i w:val="false"/>
          <w:iCs w:val="false"/>
          <w:color w:val="333333"/>
          <w:sz w:val="22"/>
          <w:szCs w:val="22"/>
        </w:rPr>
        <w:t xml:space="preserve">Data Environment Management spans Rackspace's 40+ global data centers (OU-042: US, UK, EU, APAC regions) managed by DC Operations (dept-054, $2.75M, 25 HC). Governance is provided by POL-113 (Data Center Operations, TIA-942 standard compliance). The CMDB (da-096, 220GB ServiceNow) maintains configuration records for all data centers, systems, and infrastructure.</w:t>
      </w:r>
    </w:p>
    <w:p>
      <w:pPr>
        <w:spacing w:after="160" w:line="300"/>
      </w:pPr>
      <w:r>
        <w:rPr>
          <w:rFonts w:ascii="Arial" w:cs="Arial" w:eastAsia="Arial" w:hAnsi="Arial"/>
          <w:b w:val="false"/>
          <w:bCs w:val="false"/>
          <w:i w:val="false"/>
          <w:iCs w:val="false"/>
          <w:color w:val="333333"/>
          <w:sz w:val="22"/>
          <w:szCs w:val="22"/>
        </w:rPr>
        <w:t xml:space="preserve">The global operations footprint includes:</w:t>
      </w:r>
    </w:p>
    <w:p>
      <w:pPr>
        <w:pStyle w:val="ListParagraph"/>
        <w:numPr>
          <w:ilvl w:val="0"/>
          <w:numId w:val="2"/>
        </w:numPr>
        <w:spacing w:after="100" w:line="280"/>
      </w:pPr>
      <w:r>
        <w:rPr>
          <w:rFonts w:ascii="Arial" w:cs="Arial" w:eastAsia="Arial" w:hAnsi="Arial"/>
          <w:color w:val="333333"/>
          <w:sz w:val="22"/>
          <w:szCs w:val="22"/>
        </w:rPr>
        <w:t xml:space="preserve">Physical infrastructure: 40+ co-location facilities across multiple regions, power distribution, cooling systems, fire suppression, physical security.</w:t>
      </w:r>
    </w:p>
    <w:p>
      <w:pPr>
        <w:pStyle w:val="ListParagraph"/>
        <w:numPr>
          <w:ilvl w:val="0"/>
          <w:numId w:val="2"/>
        </w:numPr>
        <w:spacing w:after="100" w:line="280"/>
      </w:pPr>
      <w:r>
        <w:rPr>
          <w:rFonts w:ascii="Arial" w:cs="Arial" w:eastAsia="Arial" w:hAnsi="Arial"/>
          <w:color w:val="333333"/>
          <w:sz w:val="22"/>
          <w:szCs w:val="22"/>
        </w:rPr>
        <w:t xml:space="preserve">Network infrastructure: Border routers, firewalls (CTL-026, Network Monitoring 24x7x365), switching fabric across regions.</w:t>
      </w:r>
    </w:p>
    <w:p>
      <w:pPr>
        <w:pStyle w:val="ListParagraph"/>
        <w:numPr>
          <w:ilvl w:val="0"/>
          <w:numId w:val="2"/>
        </w:numPr>
        <w:spacing w:after="100" w:line="280"/>
      </w:pPr>
      <w:r>
        <w:rPr>
          <w:rFonts w:ascii="Arial" w:cs="Arial" w:eastAsia="Arial" w:hAnsi="Arial"/>
          <w:color w:val="333333"/>
          <w:sz w:val="22"/>
          <w:szCs w:val="22"/>
        </w:rPr>
        <w:t xml:space="preserve">Compute infrastructure: Thousands of physical and virtual servers, automated through Ansible (sys-086, Kubespray orchestration) and Terraform (sys-088, HashiCorp Vault integration).</w:t>
      </w:r>
    </w:p>
    <w:p>
      <w:pPr>
        <w:pStyle w:val="ListParagraph"/>
        <w:numPr>
          <w:ilvl w:val="0"/>
          <w:numId w:val="2"/>
        </w:numPr>
        <w:spacing w:after="100" w:line="280"/>
      </w:pPr>
      <w:r>
        <w:rPr>
          <w:rFonts w:ascii="Arial" w:cs="Arial" w:eastAsia="Arial" w:hAnsi="Arial"/>
          <w:color w:val="333333"/>
          <w:sz w:val="22"/>
          <w:szCs w:val="22"/>
        </w:rPr>
        <w:t xml:space="preserve">Storage infrastructure: NAS, SAN, object storage, disaster recovery repositories (da-118, Rubrik Cyber Recovery Cloud, 12TB immutable air-gapped backups, CISO dual-approval required for IRE access).</w:t>
      </w:r>
    </w:p>
    <w:p>
      <w:pPr>
        <w:pStyle w:val="Heading2"/>
        <w:spacing w:after="200" w:before="300"/>
      </w:pPr>
      <w:r>
        <w:rPr>
          <w:rFonts w:ascii="Arial" w:cs="Arial" w:eastAsia="Arial" w:hAnsi="Arial"/>
        </w:rPr>
        <w:t xml:space="preserve">7.2 Configuration Management Complexity</w:t>
      </w:r>
    </w:p>
    <w:p>
      <w:pPr>
        <w:spacing w:after="160" w:line="300"/>
      </w:pPr>
      <w:r>
        <w:rPr>
          <w:rFonts w:ascii="Arial" w:cs="Arial" w:eastAsia="Arial" w:hAnsi="Arial"/>
          <w:b w:val="false"/>
          <w:bCs w:val="false"/>
          <w:i w:val="false"/>
          <w:iCs w:val="false"/>
          <w:color w:val="333333"/>
          <w:sz w:val="22"/>
          <w:szCs w:val="22"/>
        </w:rPr>
        <w:t xml:space="preserve">Configuration Management for this global environment is governed by four controls: CTL-160 (CM Plan, NIST CM-9), CTL-152 (CM Policy, NIST CM-1), CTL-154 (CM Change Control), and CTL-157 (CM Settings, CIS Benchmarks). These controls require that all infrastructure be defined, baselined, and versioned.</w:t>
      </w:r>
    </w:p>
    <w:p>
      <w:pPr>
        <w:spacing w:after="160" w:line="300"/>
      </w:pPr>
      <w:r>
        <w:rPr>
          <w:rFonts w:ascii="Arial" w:cs="Arial" w:eastAsia="Arial" w:hAnsi="Arial"/>
          <w:b w:val="false"/>
          <w:bCs w:val="false"/>
          <w:i w:val="false"/>
          <w:iCs w:val="false"/>
          <w:color w:val="333333"/>
          <w:sz w:val="22"/>
          <w:szCs w:val="22"/>
        </w:rPr>
        <w:t xml:space="preserve">However, the environment exhibits contradictions:</w:t>
      </w:r>
    </w:p>
    <w:p>
      <w:pPr>
        <w:pStyle w:val="ListParagraph"/>
        <w:numPr>
          <w:ilvl w:val="0"/>
          <w:numId w:val="2"/>
        </w:numPr>
        <w:spacing w:after="100" w:line="280"/>
      </w:pPr>
      <w:r>
        <w:rPr>
          <w:rFonts w:ascii="Arial" w:cs="Arial" w:eastAsia="Arial" w:hAnsi="Arial"/>
          <w:color w:val="333333"/>
          <w:sz w:val="22"/>
          <w:szCs w:val="22"/>
        </w:rPr>
        <w:t xml:space="preserve">Technology Estate Incoherence: The technology risk register notes 'CONTRADICTORY, 8 incoherence dimensions' and observes that the organization 'operates through heroic effort, manual workarounds, vendor tolerance, customer inertia, not through design soundness.' This means infrastructure decisions have been made opportunistically, without architecture coherence. The result is heterogeneous platforms (AWS, Azure, OpenStack, on-premises), incompatible automation frameworks, and inconsistent baseline configurations.</w:t>
      </w:r>
    </w:p>
    <w:p>
      <w:pPr>
        <w:pStyle w:val="ListParagraph"/>
        <w:numPr>
          <w:ilvl w:val="0"/>
          <w:numId w:val="2"/>
        </w:numPr>
        <w:spacing w:after="100" w:line="280"/>
      </w:pPr>
      <w:r>
        <w:rPr>
          <w:rFonts w:ascii="Arial" w:cs="Arial" w:eastAsia="Arial" w:hAnsi="Arial"/>
          <w:color w:val="333333"/>
          <w:sz w:val="22"/>
          <w:szCs w:val="22"/>
        </w:rPr>
        <w:t xml:space="preserve">CMDB Completeness Gaps: The ServiceNow CMDB (da-096, 220GB) is estimated at 65-70% complete—meaning 30-35% of infrastructure is either not documented or documented inaccurately. For a global 40+ data center footprint, this incompleteness is operationally dangerous. Change managers cannot accurately assess impact if 30% of systems are missing from CMDB.</w:t>
      </w:r>
    </w:p>
    <w:p>
      <w:pPr>
        <w:pStyle w:val="ListParagraph"/>
        <w:numPr>
          <w:ilvl w:val="0"/>
          <w:numId w:val="2"/>
        </w:numPr>
        <w:spacing w:after="100" w:line="280"/>
      </w:pPr>
      <w:r>
        <w:rPr>
          <w:rFonts w:ascii="Arial" w:cs="Arial" w:eastAsia="Arial" w:hAnsi="Arial"/>
          <w:color w:val="333333"/>
          <w:sz w:val="22"/>
          <w:szCs w:val="22"/>
        </w:rPr>
        <w:t xml:space="preserve">Distributed Configuration Authority: Ansible Tower (sys-086), Terraform Enterprise (sys-088), and ServiceNow CMDB are three sources of truth. A system may be documented in Terraform state, deployed through Ansible, and manually entered in CMDB, with all three containing different attribute values. No periodic reconciliation enforces consistency.</w:t>
      </w:r>
    </w:p>
    <w:p>
      <w:pPr>
        <w:pStyle w:val="ListParagraph"/>
        <w:numPr>
          <w:ilvl w:val="0"/>
          <w:numId w:val="2"/>
        </w:numPr>
        <w:spacing w:after="100" w:line="280"/>
      </w:pPr>
      <w:r>
        <w:rPr>
          <w:rFonts w:ascii="Arial" w:cs="Arial" w:eastAsia="Arial" w:hAnsi="Arial"/>
          <w:color w:val="333333"/>
          <w:sz w:val="22"/>
          <w:szCs w:val="22"/>
        </w:rPr>
        <w:t xml:space="preserve">Revenue Dependency on Automation: DD-029 (Configuration and Change Management Data) represents &gt;$500K per employee in revenue value, because Rackspace Fabric automation (OU-023, Managed Services) leverages IaC templates and configuration intelligence to deliver managed services. Configuration incoherence directly impacts revenue—if infrastructure is not consistently configured, managed services cannot be reliably automated.</w:t>
      </w:r>
    </w:p>
    <w:p>
      <w:pPr>
        <w:pStyle w:val="Heading3"/>
        <w:spacing w:after="200" w:before="300"/>
      </w:pPr>
      <w:r>
        <w:rPr>
          <w:rFonts w:ascii="Arial" w:cs="Arial" w:eastAsia="Arial" w:hAnsi="Arial"/>
        </w:rPr>
        <w:t xml:space="preserve">7.3 Critical Operational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sys-100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ServiceNow ITSM Platform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 / 99.8% SLA</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ITSM, CMDB, Change, Incident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sys-086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Ansible Automation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 / IaC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Kubespray, config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sys-088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Terraform Enterprise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Critical / Multi-cloud</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AWS, Azure, OpenStack IaC</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Monitoring 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High / Internet-facing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UK customer monitoring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da-019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Datadog GOLD Partnership</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200TB / 10-sec interval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Infrastructure telemetry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bl>
    <w:p>
      <w:pPr>
        <w:spacing w:after="200"/>
      </w:pPr>
    </w:p>
    <w:p>
      <w:r>
        <w:br w:type="page"/>
      </w:r>
    </w:p>
    <w:p>
      <w:pPr>
        <w:pStyle w:val="Heading1"/>
        <w:spacing w:after="200" w:before="300"/>
      </w:pPr>
      <w:r>
        <w:rPr>
          <w:rFonts w:ascii="Arial" w:cs="Arial" w:eastAsia="Arial" w:hAnsi="Arial"/>
        </w:rPr>
        <w:t xml:space="preserve">8. Sub-Capability 8.6: Operational Monitoring &amp; Reporting (Score 2)</w:t>
      </w:r>
    </w:p>
    <w:p>
      <w:pPr>
        <w:pStyle w:val="Heading2"/>
        <w:spacing w:after="200" w:before="300"/>
      </w:pPr>
      <w:r>
        <w:rPr>
          <w:rFonts w:ascii="Arial" w:cs="Arial" w:eastAsia="Arial" w:hAnsi="Arial"/>
        </w:rPr>
        <w:t xml:space="preserve">8.1 Infrastructure Monitoring Stack</w:t>
      </w:r>
    </w:p>
    <w:p>
      <w:pPr>
        <w:spacing w:after="160" w:line="300"/>
      </w:pPr>
      <w:r>
        <w:rPr>
          <w:rFonts w:ascii="Arial" w:cs="Arial" w:eastAsia="Arial" w:hAnsi="Arial"/>
          <w:b w:val="false"/>
          <w:bCs w:val="false"/>
          <w:i w:val="false"/>
          <w:iCs w:val="false"/>
          <w:color w:val="333333"/>
          <w:sz w:val="22"/>
          <w:szCs w:val="22"/>
        </w:rPr>
        <w:t xml:space="preserve">Operational monitoring is governed by POL-063 (Event &amp; Monitoring Management, ITIL 4) and operationalized through three systems: Datadog (da-019, 200TB infrastructure monitoring data, GOLD partnership, 10-second collection interval, Moogsoft AIOps correlation), Splunk (security analytics), and Rackspace Monitoring (sys-056, mon.rackspace.co.uk, internet-facing, PagerDuty alerts). CTL-026 (Network Monitoring 24x7x365) requires round-the-clock infrastructure surveillance.</w:t>
      </w:r>
    </w:p>
    <w:p>
      <w:pPr>
        <w:spacing w:after="160" w:line="300"/>
      </w:pPr>
      <w:r>
        <w:rPr>
          <w:rFonts w:ascii="Arial" w:cs="Arial" w:eastAsia="Arial" w:hAnsi="Arial"/>
          <w:b w:val="false"/>
          <w:bCs w:val="false"/>
          <w:i w:val="false"/>
          <w:iCs w:val="false"/>
          <w:color w:val="333333"/>
          <w:sz w:val="22"/>
          <w:szCs w:val="22"/>
        </w:rPr>
        <w:t xml:space="preserve">The monitoring architecture is multi-layered:</w:t>
      </w:r>
    </w:p>
    <w:p>
      <w:pPr>
        <w:pStyle w:val="ListParagraph"/>
        <w:numPr>
          <w:ilvl w:val="0"/>
          <w:numId w:val="2"/>
        </w:numPr>
        <w:spacing w:after="100" w:line="280"/>
      </w:pPr>
      <w:r>
        <w:rPr>
          <w:rFonts w:ascii="Arial" w:cs="Arial" w:eastAsia="Arial" w:hAnsi="Arial"/>
          <w:color w:val="333333"/>
          <w:sz w:val="22"/>
          <w:szCs w:val="22"/>
        </w:rPr>
        <w:t xml:space="preserve">Infrastructure metrics: CPU, memory, disk, network utilization collected via Datadog agent every 10 seconds across all systems.</w:t>
      </w:r>
    </w:p>
    <w:p>
      <w:pPr>
        <w:pStyle w:val="ListParagraph"/>
        <w:numPr>
          <w:ilvl w:val="0"/>
          <w:numId w:val="2"/>
        </w:numPr>
        <w:spacing w:after="100" w:line="280"/>
      </w:pPr>
      <w:r>
        <w:rPr>
          <w:rFonts w:ascii="Arial" w:cs="Arial" w:eastAsia="Arial" w:hAnsi="Arial"/>
          <w:color w:val="333333"/>
          <w:sz w:val="22"/>
          <w:szCs w:val="22"/>
        </w:rPr>
        <w:t xml:space="preserve">Application metrics: Custom metrics from database query times, API latencies, business transaction rates.</w:t>
      </w:r>
    </w:p>
    <w:p>
      <w:pPr>
        <w:pStyle w:val="ListParagraph"/>
        <w:numPr>
          <w:ilvl w:val="0"/>
          <w:numId w:val="2"/>
        </w:numPr>
        <w:spacing w:after="100" w:line="280"/>
      </w:pPr>
      <w:r>
        <w:rPr>
          <w:rFonts w:ascii="Arial" w:cs="Arial" w:eastAsia="Arial" w:hAnsi="Arial"/>
          <w:color w:val="333333"/>
          <w:sz w:val="22"/>
          <w:szCs w:val="22"/>
        </w:rPr>
        <w:t xml:space="preserve">Security events: Log aggregation via Splunk, threat detection, configuration compliance scanning.</w:t>
      </w:r>
    </w:p>
    <w:p>
      <w:pPr>
        <w:pStyle w:val="ListParagraph"/>
        <w:numPr>
          <w:ilvl w:val="0"/>
          <w:numId w:val="2"/>
        </w:numPr>
        <w:spacing w:after="100" w:line="280"/>
      </w:pPr>
      <w:r>
        <w:rPr>
          <w:rFonts w:ascii="Arial" w:cs="Arial" w:eastAsia="Arial" w:hAnsi="Arial"/>
          <w:color w:val="333333"/>
          <w:sz w:val="22"/>
          <w:szCs w:val="22"/>
        </w:rPr>
        <w:t xml:space="preserve">Intelligent correlation: Moogsoft AIOps engine correlates metrics across thousands of signals to identify root causes and reduce alert fatigue.</w:t>
      </w:r>
    </w:p>
    <w:p>
      <w:pPr>
        <w:pStyle w:val="Heading2"/>
        <w:spacing w:after="200" w:before="300"/>
      </w:pPr>
      <w:r>
        <w:rPr>
          <w:rFonts w:ascii="Arial" w:cs="Arial" w:eastAsia="Arial" w:hAnsi="Arial"/>
        </w:rPr>
        <w:t xml:space="preserve">8.2 Monitoring Maturity Gaps</w:t>
      </w:r>
    </w:p>
    <w:p>
      <w:pPr>
        <w:spacing w:after="160" w:line="300"/>
      </w:pPr>
      <w:r>
        <w:rPr>
          <w:rFonts w:ascii="Arial" w:cs="Arial" w:eastAsia="Arial" w:hAnsi="Arial"/>
          <w:b w:val="false"/>
          <w:bCs w:val="false"/>
          <w:i w:val="false"/>
          <w:iCs w:val="false"/>
          <w:color w:val="333333"/>
          <w:sz w:val="22"/>
          <w:szCs w:val="22"/>
        </w:rPr>
        <w:t xml:space="preserve">Despite collecting 200TB of monitoring data daily, operational maturity remains at Score 2 due to three gaps:</w:t>
      </w:r>
    </w:p>
    <w:p>
      <w:pPr>
        <w:pStyle w:val="ListParagraph"/>
        <w:numPr>
          <w:ilvl w:val="0"/>
          <w:numId w:val="2"/>
        </w:numPr>
        <w:spacing w:after="100" w:line="280"/>
      </w:pPr>
      <w:r>
        <w:rPr>
          <w:rFonts w:ascii="Arial" w:cs="Arial" w:eastAsia="Arial" w:hAnsi="Arial"/>
          <w:color w:val="333333"/>
          <w:sz w:val="22"/>
          <w:szCs w:val="22"/>
        </w:rPr>
        <w:t xml:space="preserve">Gap 1: No unified monitoring dashboard for operational decision-makers. While Monitoring Engineers (role-196, $110K, P1) and Modern Operations Engineers (role-331, $110K, elevated, AIOps-skilled) have specialized views, senior operations leadership lacks a single pane of glass integrating infrastructure health, SLA compliance, incident velocity, and change approval status. When an operational incident occurs, executives cannot see the correlation between infrastructure metrics, incident ticket, and incident response status.</w:t>
      </w:r>
    </w:p>
    <w:p>
      <w:pPr>
        <w:pStyle w:val="ListParagraph"/>
        <w:numPr>
          <w:ilvl w:val="0"/>
          <w:numId w:val="2"/>
        </w:numPr>
        <w:spacing w:after="100" w:line="280"/>
      </w:pPr>
      <w:r>
        <w:rPr>
          <w:rFonts w:ascii="Arial" w:cs="Arial" w:eastAsia="Arial" w:hAnsi="Arial"/>
          <w:color w:val="333333"/>
          <w:sz w:val="22"/>
          <w:szCs w:val="22"/>
        </w:rPr>
        <w:t xml:space="preserve">Gap 2: Monitoring is reactive, not predictive. Datadog collects 200TB daily but alerts are threshold-based ('CPU &gt;85%'). Predictive analytics (e.g., 'this trend will exceed capacity in 7 days') require manual model development. Capacity Planners (role-193, role-231, $110K each, P1) create annual capacity forecasts through spreadsheets, not automated trend analysis.</w:t>
      </w:r>
    </w:p>
    <w:p>
      <w:pPr>
        <w:pStyle w:val="ListParagraph"/>
        <w:numPr>
          <w:ilvl w:val="0"/>
          <w:numId w:val="2"/>
        </w:numPr>
        <w:spacing w:after="100" w:line="280"/>
      </w:pPr>
      <w:r>
        <w:rPr>
          <w:rFonts w:ascii="Arial" w:cs="Arial" w:eastAsia="Arial" w:hAnsi="Arial"/>
          <w:color w:val="333333"/>
          <w:sz w:val="22"/>
          <w:szCs w:val="22"/>
        </w:rPr>
        <w:t xml:space="preserve">Gap 3: No automated remediation integration. When Moogsoft identifies a known problem pattern (e.g., 'disk full on log partition causes application timeout'), the system generates a PagerDuty alert but does not trigger automated remediation. A Monitoring Engineer must manually execute the remediation playbook (via Ansible sys-086) to free disk space. This delay between detection and remediation increases MTTR.</w:t>
      </w:r>
    </w:p>
    <w:p>
      <w:pPr>
        <w:spacing w:after="160" w:line="300"/>
      </w:pPr>
      <w:r>
        <w:rPr>
          <w:rFonts w:ascii="Arial" w:cs="Arial" w:eastAsia="Arial" w:hAnsi="Arial"/>
          <w:b w:val="false"/>
          <w:bCs w:val="false"/>
          <w:i w:val="false"/>
          <w:iCs w:val="false"/>
          <w:color w:val="333333"/>
          <w:sz w:val="22"/>
          <w:szCs w:val="22"/>
        </w:rPr>
        <w:t xml:space="preserve">The December 2022 breach (RSK-00001) involved a monitoring gap: the patch failure (CVE-2022-41080) was likely detected by vulnerability scanning tools but not escalated through the monitoring system to incident management. Or alternatively, the monitoring detected the vulnerability but the escalation pathway to patch management did not trigger. Either way, monitoring data existed but was not operationally actionable.</w:t>
      </w:r>
    </w:p>
    <w:p>
      <w:r>
        <w:br w:type="page"/>
      </w:r>
    </w:p>
    <w:p>
      <w:pPr>
        <w:pStyle w:val="Heading1"/>
        <w:spacing w:after="200" w:before="300"/>
      </w:pPr>
      <w:r>
        <w:rPr>
          <w:rFonts w:ascii="Arial" w:cs="Arial" w:eastAsia="Arial" w:hAnsi="Arial"/>
        </w:rPr>
        <w:t xml:space="preserve">9. Seven Analytical Themes</w:t>
      </w:r>
    </w:p>
    <w:p>
      <w:pPr>
        <w:pStyle w:val="Heading2"/>
        <w:spacing w:after="200" w:before="300"/>
      </w:pPr>
      <w:r>
        <w:rPr>
          <w:rFonts w:ascii="Arial" w:cs="Arial" w:eastAsia="Arial" w:hAnsi="Arial"/>
        </w:rPr>
        <w:t xml:space="preserve">9.1 Theme 1: The ServiceNow Paradox — 220GB Brain That Nobody Reads</w:t>
      </w:r>
    </w:p>
    <w:p>
      <w:pPr>
        <w:spacing w:after="160" w:line="300"/>
      </w:pPr>
      <w:r>
        <w:rPr>
          <w:rFonts w:ascii="Arial" w:cs="Arial" w:eastAsia="Arial" w:hAnsi="Arial"/>
          <w:b w:val="false"/>
          <w:bCs w:val="false"/>
          <w:i w:val="false"/>
          <w:iCs w:val="false"/>
          <w:color w:val="333333"/>
          <w:sz w:val="22"/>
          <w:szCs w:val="22"/>
        </w:rPr>
        <w:t xml:space="preserve">ServiceNow ITSM (sys-100, rackspace.service-now.com, critical system, 99.8% SLA, Active-Active multi-DC) is the operational nervous system of Rackspace Technology. It contains 220GB of integrated incident management data (da-096, monthly growth 6%). Every incident, change request, problem ticket, SLA attainment record, CMDB configuration item, and knowledge article flows through ServiceNow. It integrates bidirectionally with Jira (project tracking, 30,000+ issues), Salesforce (customer relations, customer account structure), and Splunk (security analytics). By volume and scope, da-096 is the richest operational data asset in the enterprise.</w:t>
      </w:r>
    </w:p>
    <w:p>
      <w:pPr>
        <w:spacing w:after="160" w:line="300"/>
      </w:pPr>
      <w:r>
        <w:rPr>
          <w:rFonts w:ascii="Arial" w:cs="Arial" w:eastAsia="Arial" w:hAnsi="Arial"/>
          <w:b w:val="false"/>
          <w:bCs w:val="false"/>
          <w:i w:val="false"/>
          <w:iCs w:val="false"/>
          <w:color w:val="333333"/>
          <w:sz w:val="22"/>
          <w:szCs w:val="22"/>
        </w:rPr>
        <w:t xml:space="preserve">Yet the data is not leveraged for strategic operational insight. The three data domains sourcing from ServiceNow—DD-030 (Service Management &amp; Ticketing), DD-063 (Ticketing and Support Interaction Data, CTAPI v2.0), and DD-077 (Rackspace Fabric Service Management)—are all under litigation hold due to the December 2022 breach and associated class action. This legal constraint prevents data scientists from analyzing incident patterns, SLA trends, or operational efficiency. The operational 'brain' (220GB of incident and change history) is locked from systematic analysis.</w:t>
      </w:r>
    </w:p>
    <w:p>
      <w:pPr>
        <w:spacing w:after="160" w:line="300"/>
      </w:pPr>
      <w:r>
        <w:rPr>
          <w:rFonts w:ascii="Arial" w:cs="Arial" w:eastAsia="Arial" w:hAnsi="Arial"/>
          <w:b w:val="false"/>
          <w:bCs w:val="false"/>
          <w:i w:val="false"/>
          <w:iCs w:val="false"/>
          <w:color w:val="333333"/>
          <w:sz w:val="22"/>
          <w:szCs w:val="22"/>
        </w:rPr>
        <w:t xml:space="preserve">Beyond legal constraints, ServiceNow data is operationally underutilized:</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Insight Gap 1: Incident patterns are not mined. ServiceNow contains six years of incident history (2020-2026), with thousands of incidents categorized by affected system, business impact, resolution time, and root cause. No systematic analysis extracts patterns like 'incidents affecting Database Administration (dept-072) show 40% longer MTTR than Infrastructure incidents' or 'weekend incidents have 3x higher escalation rate.' Such patterns would inform staffing, process, and training decisions.</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Insight Gap 2: SLA compliance trends are not predictive. While ServiceNow reports historical SLA compliance (e.g., 'February 2026 = 98.5% SLA attainment'), no forecasting model predicts 'March will likely hit 96% SLA unless staffing increases.' This requires exporting SLA data, time-series analysis, and forecast modeling—currently manual work.</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Insight Gap 3: Configuration drift is not detected automatically. The CMDB (embedded in ServiceNow) is 220GB but only 65-70% complete. No automated diff compares CMDB baseline against actual Ansible (sys-086) or Terraform (sys-088) state daily. Drift is detected quarterly through manual reconciliation.</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SERVICENOW OPERATIONAL BRAIN                      DATA ANALYSIS VACUUM</w:t>
      </w:r>
    </w:p>
    <w:p>
      <w:pPr>
        <w:spacing w:after="0" w:line="240"/>
      </w:pPr>
      <w:r>
        <w:rPr>
          <w:rFonts w:ascii="Courier New" w:cs="Courier New" w:eastAsia="Courier New" w:hAnsi="Courier New"/>
          <w:color w:val="1B3A5C"/>
          <w:sz w:val="16"/>
          <w:szCs w:val="16"/>
        </w:rPr>
        <w:t xml:space="preserve">     (220GB, 6% monthly growth)                         (Legal Hold Constraints)</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INCIDENT DATA (100,000s) ─┐                        ┌─ Locked Data ─┐</w:t>
      </w:r>
    </w:p>
    <w:p>
      <w:pPr>
        <w:spacing w:after="0" w:line="240"/>
      </w:pPr>
      <w:r>
        <w:rPr>
          <w:rFonts w:ascii="Courier New" w:cs="Courier New" w:eastAsia="Courier New" w:hAnsi="Courier New"/>
          <w:color w:val="1B3A5C"/>
          <w:sz w:val="16"/>
          <w:szCs w:val="16"/>
        </w:rPr>
        <w:t xml:space="preserve">  │ • S1-S4 severity, MTTR     │                        │ • DD-030      │</w:t>
      </w:r>
    </w:p>
    <w:p>
      <w:pPr>
        <w:spacing w:after="0" w:line="240"/>
      </w:pPr>
      <w:r>
        <w:rPr>
          <w:rFonts w:ascii="Courier New" w:cs="Courier New" w:eastAsia="Courier New" w:hAnsi="Courier New"/>
          <w:color w:val="1B3A5C"/>
          <w:sz w:val="16"/>
          <w:szCs w:val="16"/>
        </w:rPr>
        <w:t xml:space="preserve">  │ • Assigned team, RCA       │  ┌──────┐              │ • DD-063      │</w:t>
      </w:r>
    </w:p>
    <w:p>
      <w:pPr>
        <w:spacing w:after="0" w:line="240"/>
      </w:pPr>
      <w:r>
        <w:rPr>
          <w:rFonts w:ascii="Courier New" w:cs="Courier New" w:eastAsia="Courier New" w:hAnsi="Courier New"/>
          <w:color w:val="1B3A5C"/>
          <w:sz w:val="16"/>
          <w:szCs w:val="16"/>
        </w:rPr>
        <w:t xml:space="preserve">  │ • Resolution time, rework  │─→│ Brain├─────X── No   │ • DD-077      │</w:t>
      </w:r>
    </w:p>
    <w:p>
      <w:pPr>
        <w:spacing w:after="0" w:line="240"/>
      </w:pPr>
      <w:r>
        <w:rPr>
          <w:rFonts w:ascii="Courier New" w:cs="Courier New" w:eastAsia="Courier New" w:hAnsi="Courier New"/>
          <w:color w:val="1B3A5C"/>
          <w:sz w:val="16"/>
          <w:szCs w:val="16"/>
        </w:rPr>
        <w:t xml:space="preserve">  │ 6-year history (2020-2026) │  │      │     Automated│ • Litigation  │</w:t>
      </w:r>
    </w:p>
    <w:p>
      <w:pPr>
        <w:spacing w:after="0" w:line="240"/>
      </w:pPr>
      <w:r>
        <w:rPr>
          <w:rFonts w:ascii="Courier New" w:cs="Courier New" w:eastAsia="Courier New" w:hAnsi="Courier New"/>
          <w:color w:val="1B3A5C"/>
          <w:sz w:val="16"/>
          <w:szCs w:val="16"/>
        </w:rPr>
        <w:t xml:space="preserve">  └────────────────────────────┘  │ 220GB│     Analysis │   Hold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CHANGE DATA (10,000s) ──┐    │      │              STRATEGIC BLINDNESS</w:t>
      </w:r>
    </w:p>
    <w:p>
      <w:pPr>
        <w:spacing w:after="0" w:line="240"/>
      </w:pPr>
      <w:r>
        <w:rPr>
          <w:rFonts w:ascii="Courier New" w:cs="Courier New" w:eastAsia="Courier New" w:hAnsi="Courier New"/>
          <w:color w:val="1B3A5C"/>
          <w:sz w:val="16"/>
          <w:szCs w:val="16"/>
        </w:rPr>
        <w:t xml:space="preserve">  │ • Approvals, CAB decision │    │      │ • No insight patterns</w:t>
      </w:r>
    </w:p>
    <w:p>
      <w:pPr>
        <w:spacing w:after="0" w:line="240"/>
      </w:pPr>
      <w:r>
        <w:rPr>
          <w:rFonts w:ascii="Courier New" w:cs="Courier New" w:eastAsia="Courier New" w:hAnsi="Courier New"/>
          <w:color w:val="1B3A5C"/>
          <w:sz w:val="16"/>
          <w:szCs w:val="16"/>
        </w:rPr>
        <w:t xml:space="preserve">  │ • Implementation status   │─→  └──────┘ • No predictive SLA modeling</w:t>
      </w:r>
    </w:p>
    <w:p>
      <w:pPr>
        <w:spacing w:after="0" w:line="240"/>
      </w:pPr>
      <w:r>
        <w:rPr>
          <w:rFonts w:ascii="Courier New" w:cs="Courier New" w:eastAsia="Courier New" w:hAnsi="Courier New"/>
          <w:color w:val="1B3A5C"/>
          <w:sz w:val="16"/>
          <w:szCs w:val="16"/>
        </w:rPr>
        <w:t xml:space="preserve">  │ • Implementation lag      │             • No drift detection</w:t>
      </w:r>
    </w:p>
    <w:p>
      <w:pPr>
        <w:spacing w:after="0" w:line="240"/>
      </w:pPr>
      <w:r>
        <w:rPr>
          <w:rFonts w:ascii="Courier New" w:cs="Courier New" w:eastAsia="Courier New" w:hAnsi="Courier New"/>
          <w:color w:val="1B3A5C"/>
          <w:sz w:val="16"/>
          <w:szCs w:val="16"/>
        </w:rPr>
        <w:t xml:space="preserve">  │ • Cross-system impact     │             • No root cause trending</w:t>
      </w:r>
    </w:p>
    <w:p>
      <w:pPr>
        <w:spacing w:after="0" w:line="240"/>
      </w:pPr>
      <w:r>
        <w:rPr>
          <w:rFonts w:ascii="Courier New" w:cs="Courier New" w:eastAsia="Courier New" w:hAnsi="Courier New"/>
          <w:color w:val="1B3A5C"/>
          <w:sz w:val="16"/>
          <w:szCs w:val="16"/>
        </w:rPr>
        <w:t xml:space="preserve">  └───────────────────────────┘             • No capacity planning integration</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INTEGRATION: Jira, Salesforce, Splunk                DATA UTILIZATION: &lt;5% of potential</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Score Implication: The ServiceNow Paradox explains why Capability 8 (Data Management Operations) is scored at 2 (Developing) despite operational scale. Operationally, Rackspace has built a massive data collection infrastructure. Strategically, the organization has not operationalized the data for continuous improvement. The 220GB dataset is a raw material artifact, not a managed asset.</w:t>
      </w:r>
    </w:p>
    <w:p>
      <w:pPr>
        <w:spacing w:after="200" w:before="400"/>
      </w:pPr>
      <w:r>
        <w:rPr>
          <w:rFonts w:ascii="Arial" w:cs="Arial" w:eastAsia="Arial" w:hAnsi="Arial"/>
          <w:sz w:val="20"/>
          <w:szCs w:val="20"/>
        </w:rPr>
        <w:t xml:space="preserve"> </w:t>
      </w:r>
    </w:p>
    <w:p>
      <w:pPr>
        <w:pStyle w:val="Heading2"/>
        <w:spacing w:after="200" w:before="300"/>
      </w:pPr>
      <w:r>
        <w:rPr>
          <w:rFonts w:ascii="Arial" w:cs="Arial" w:eastAsia="Arial" w:hAnsi="Arial"/>
        </w:rPr>
        <w:t xml:space="preserve">9.2 Theme 2: Fourteen Policies, Zero Integrated Data Operations Strategy</w:t>
      </w:r>
    </w:p>
    <w:p>
      <w:pPr>
        <w:spacing w:after="160" w:line="300"/>
      </w:pPr>
      <w:r>
        <w:rPr>
          <w:rFonts w:ascii="Arial" w:cs="Arial" w:eastAsia="Arial" w:hAnsi="Arial"/>
          <w:b w:val="false"/>
          <w:bCs w:val="false"/>
          <w:i w:val="false"/>
          <w:iCs w:val="false"/>
          <w:color w:val="333333"/>
          <w:sz w:val="22"/>
          <w:szCs w:val="22"/>
        </w:rPr>
        <w:t xml:space="preserve">Rackspace Technology has formally documented 14 operational policies spanning incident management, change management, patch management, backup &amp; recovery, and service level management. Each policy reflects industry-standard frameworks (ITIL 4, NIST 800-53, PCI DSS, ISO 27001). Yet these 14 policies operate in silos. There is no unified 'Data Management Operations Strategy' that integrates policy requirements, establishes consistent data definitions, enforces cross-policy data consistency, or establishes enterprise-level operational data governance.</w:t>
      </w:r>
    </w:p>
    <w:p>
      <w:pPr>
        <w:spacing w:after="160" w:line="300"/>
      </w:pPr>
      <w:r>
        <w:rPr>
          <w:rFonts w:ascii="Arial" w:cs="Arial" w:eastAsia="Arial" w:hAnsi="Arial"/>
          <w:b w:val="false"/>
          <w:bCs w:val="false"/>
          <w:i w:val="false"/>
          <w:iCs w:val="false"/>
          <w:color w:val="333333"/>
          <w:sz w:val="22"/>
          <w:szCs w:val="22"/>
        </w:rPr>
        <w:t xml:space="preserve">The consequence is visible in December 2022 breach (RSK-00001):</w:t>
      </w:r>
    </w:p>
    <w:p>
      <w:pPr>
        <w:pStyle w:val="ListParagraph"/>
        <w:numPr>
          <w:ilvl w:val="0"/>
          <w:numId w:val="2"/>
        </w:numPr>
        <w:spacing w:after="100" w:line="280"/>
      </w:pPr>
      <w:r>
        <w:rPr>
          <w:rFonts w:ascii="Arial" w:cs="Arial" w:eastAsia="Arial" w:hAnsi="Arial"/>
          <w:color w:val="333333"/>
          <w:sz w:val="22"/>
          <w:szCs w:val="22"/>
        </w:rPr>
        <w:t xml:space="preserve">POL-049 (Patch Management) prescribed patching schedules and compliance validation. This policy was executed: patching procedures existed, patch testing occurred, deployment was authorized.</w:t>
      </w:r>
    </w:p>
    <w:p>
      <w:pPr>
        <w:pStyle w:val="ListParagraph"/>
        <w:numPr>
          <w:ilvl w:val="0"/>
          <w:numId w:val="2"/>
        </w:numPr>
        <w:spacing w:after="100" w:line="280"/>
      </w:pPr>
      <w:r>
        <w:rPr>
          <w:rFonts w:ascii="Arial" w:cs="Arial" w:eastAsia="Arial" w:hAnsi="Arial"/>
          <w:color w:val="333333"/>
          <w:sz w:val="22"/>
          <w:szCs w:val="22"/>
        </w:rPr>
        <w:t xml:space="preserve">POL-034 (Backup &amp; Recovery) prescribed immutable backup creation and retention. This policy existed but operationally failed: immutable backups were not present for all affected data (DD-048 absence noted in class action allegations).</w:t>
      </w:r>
    </w:p>
    <w:p>
      <w:pPr>
        <w:pStyle w:val="ListParagraph"/>
        <w:numPr>
          <w:ilvl w:val="0"/>
          <w:numId w:val="2"/>
        </w:numPr>
        <w:spacing w:after="100" w:line="280"/>
      </w:pPr>
      <w:r>
        <w:rPr>
          <w:rFonts w:ascii="Arial" w:cs="Arial" w:eastAsia="Arial" w:hAnsi="Arial"/>
          <w:color w:val="333333"/>
          <w:sz w:val="22"/>
          <w:szCs w:val="22"/>
        </w:rPr>
        <w:t xml:space="preserve">POL-058 (Change Management) prescribed change approval and CAB review. This policy was followed: the patch change was approved by change management.</w:t>
      </w:r>
    </w:p>
    <w:p>
      <w:pPr>
        <w:pStyle w:val="ListParagraph"/>
        <w:numPr>
          <w:ilvl w:val="0"/>
          <w:numId w:val="2"/>
        </w:numPr>
        <w:spacing w:after="100" w:line="280"/>
      </w:pPr>
      <w:r>
        <w:rPr>
          <w:rFonts w:ascii="Arial" w:cs="Arial" w:eastAsia="Arial" w:hAnsi="Arial"/>
          <w:color w:val="333333"/>
          <w:sz w:val="22"/>
          <w:szCs w:val="22"/>
        </w:rPr>
        <w:t xml:space="preserve">POL-063 (Event &amp; Monitoring) prescribed 24x7 infrastructure monitoring. Monitoring existed but vulnerability detection did not escalate to incident management.</w:t>
      </w:r>
    </w:p>
    <w:p>
      <w:pPr>
        <w:pStyle w:val="ListParagraph"/>
        <w:numPr>
          <w:ilvl w:val="0"/>
          <w:numId w:val="2"/>
        </w:numPr>
        <w:spacing w:after="100" w:line="280"/>
      </w:pPr>
      <w:r>
        <w:rPr>
          <w:rFonts w:ascii="Arial" w:cs="Arial" w:eastAsia="Arial" w:hAnsi="Arial"/>
          <w:color w:val="333333"/>
          <w:sz w:val="22"/>
          <w:szCs w:val="22"/>
        </w:rPr>
        <w:t xml:space="preserve">POL-056 (Incident Management) prescribed incident response and escalation. Incident response team existed but was not engaged until breach discovery.</w:t>
      </w:r>
    </w:p>
    <w:p>
      <w:pPr>
        <w:spacing w:after="160" w:line="300"/>
      </w:pPr>
      <w:r>
        <w:rPr>
          <w:rFonts w:ascii="Arial" w:cs="Arial" w:eastAsia="Arial" w:hAnsi="Arial"/>
          <w:b w:val="false"/>
          <w:bCs w:val="false"/>
          <w:i w:val="false"/>
          <w:iCs w:val="false"/>
          <w:color w:val="333333"/>
          <w:sz w:val="22"/>
          <w:szCs w:val="22"/>
        </w:rPr>
        <w:t xml:space="preserve">Five policies existed and were individually followed, yet their integrations failed:</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Missing Integration 1: Patch Management ↔ Change Management. When a security patch (POL-049) is developed, no automated workflow requires the patch to be tracked as a formal change (POL-058). Manual integration allows patches to be deployed without full change approval.</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Missing Integration 2: Change Management ↔ Backup &amp; Recovery. When a change is approved (POL-058), no validation checks whether a backup (POL-034) exists for the affected system before the change is executed. If backup is missing, change approval should be conditional.</w:t>
      </w:r>
    </w:p>
    <w:p>
      <w:pPr>
        <w:spacing w:after="160" w:line="300"/>
      </w:pPr>
      <w:r>
        <w:rPr>
          <w:rFonts w:ascii="Arial" w:cs="Arial" w:eastAsia="Arial" w:hAnsi="Arial"/>
          <w:b w:val="function bold() { [native code] }"/>
          <w:bCs w:val="function bold() { [native code] }"/>
          <w:i w:val="function italics() { [native code] }"/>
          <w:iCs w:val="function italics() { [native code] }"/>
          <w:color w:val="333333"/>
          <w:sz w:val="22"/>
          <w:szCs w:val="22"/>
        </w:rPr>
        <w:t xml:space="preserve">Missing Integration 3: Monitoring ↔ Incident Management. When monitoring (POL-063) detects a vulnerability (e.g., unpatched system in CMDB), no automated workflow creates an incident (POL-056) or escalates to patch management (POL-049). Detection exists; escalation is manual.</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14 OPERATIONAL POLICIES, SILOED EXECUTION</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POL-049      │   │ POL-058      │   │ POL-034      │</w:t>
      </w:r>
    </w:p>
    <w:p>
      <w:pPr>
        <w:spacing w:after="0" w:line="240"/>
      </w:pPr>
      <w:r>
        <w:rPr>
          <w:rFonts w:ascii="Courier New" w:cs="Courier New" w:eastAsia="Courier New" w:hAnsi="Courier New"/>
          <w:color w:val="1B3A5C"/>
          <w:sz w:val="16"/>
          <w:szCs w:val="16"/>
        </w:rPr>
        <w:t xml:space="preserve">    │ Patch Mgmt   │   │ Change Mgmt  │   │ Backup &amp;     │</w:t>
      </w:r>
    </w:p>
    <w:p>
      <w:pPr>
        <w:spacing w:after="0" w:line="240"/>
      </w:pPr>
      <w:r>
        <w:rPr>
          <w:rFonts w:ascii="Courier New" w:cs="Courier New" w:eastAsia="Courier New" w:hAnsi="Courier New"/>
          <w:color w:val="1B3A5C"/>
          <w:sz w:val="16"/>
          <w:szCs w:val="16"/>
        </w:rPr>
        <w:t xml:space="preserve">    │              │   │              │   │ Recovery     │</w:t>
      </w:r>
    </w:p>
    <w:p>
      <w:pPr>
        <w:spacing w:after="0" w:line="240"/>
      </w:pPr>
      <w:r>
        <w:rPr>
          <w:rFonts w:ascii="Courier New" w:cs="Courier New" w:eastAsia="Courier New" w:hAnsi="Courier New"/>
          <w:color w:val="1B3A5C"/>
          <w:sz w:val="16"/>
          <w:szCs w:val="16"/>
        </w:rPr>
        <w:t xml:space="preserve">    │ Policy:YES   │   │ Policy:YES   │   │ Policy:YES   │</w:t>
      </w:r>
    </w:p>
    <w:p>
      <w:pPr>
        <w:spacing w:after="0" w:line="240"/>
      </w:pPr>
      <w:r>
        <w:rPr>
          <w:rFonts w:ascii="Courier New" w:cs="Courier New" w:eastAsia="Courier New" w:hAnsi="Courier New"/>
          <w:color w:val="1B3A5C"/>
          <w:sz w:val="16"/>
          <w:szCs w:val="16"/>
        </w:rPr>
        <w:t xml:space="preserve">    │ Operation:?  │─X─│ Operation:?  │─X─│ Operation:NO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X (No integration)               X (Patch not backed up)</w:t>
      </w:r>
    </w:p>
    <w:p>
      <w:pPr>
        <w:spacing w:after="0" w:line="240"/>
      </w:pPr>
      <w:r>
        <w:rPr>
          <w:rFonts w:ascii="Courier New" w:cs="Courier New" w:eastAsia="Courier New" w:hAnsi="Courier New"/>
          <w:color w:val="1B3A5C"/>
          <w:sz w:val="16"/>
          <w:szCs w:val="16"/>
        </w:rPr>
        <w:t xml:space="preserve">             X (Patch not validated)         X (Change not validated)</w:t>
      </w:r>
    </w:p>
    <w:p>
      <w:pPr>
        <w:spacing w:after="0" w:line="240"/>
      </w:pPr>
      <w:r>
        <w:rPr>
          <w:rFonts w:ascii="Courier New" w:cs="Courier New" w:eastAsia="Courier New" w:hAnsi="Courier New"/>
          <w:color w:val="1B3A5C"/>
          <w:sz w:val="16"/>
          <w:szCs w:val="16"/>
        </w:rPr>
        <w:t xml:space="preserve">                                             X (Recovery not tested)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POL-063      │   │ POL-056      │   │ POL-097      │</w:t>
      </w:r>
    </w:p>
    <w:p>
      <w:pPr>
        <w:spacing w:after="0" w:line="240"/>
      </w:pPr>
      <w:r>
        <w:rPr>
          <w:rFonts w:ascii="Courier New" w:cs="Courier New" w:eastAsia="Courier New" w:hAnsi="Courier New"/>
          <w:color w:val="1B3A5C"/>
          <w:sz w:val="16"/>
          <w:szCs w:val="16"/>
        </w:rPr>
        <w:t xml:space="preserve">    │ Monitoring   │   │ Incident Mgmt│   │ SLA Mgmt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Policy:YES   │   │ Policy:YES   │   │ Policy:YES   │</w:t>
      </w:r>
    </w:p>
    <w:p>
      <w:pPr>
        <w:spacing w:after="0" w:line="240"/>
      </w:pPr>
      <w:r>
        <w:rPr>
          <w:rFonts w:ascii="Courier New" w:cs="Courier New" w:eastAsia="Courier New" w:hAnsi="Courier New"/>
          <w:color w:val="1B3A5C"/>
          <w:sz w:val="16"/>
          <w:szCs w:val="16"/>
        </w:rPr>
        <w:t xml:space="preserve">    │ Operation:?  │─X─│ Operation:?  │─X─│ Operation:NO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X (Detection not escalated)          X (No penalties for breaches)</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DECEMBER 2022 BREACH: All 5 policies INDIVIDUALLY compliant,</w:t>
      </w:r>
    </w:p>
    <w:p>
      <w:pPr>
        <w:spacing w:after="0" w:line="240"/>
      </w:pPr>
      <w:r>
        <w:rPr>
          <w:rFonts w:ascii="Courier New" w:cs="Courier New" w:eastAsia="Courier New" w:hAnsi="Courier New"/>
          <w:color w:val="1B3A5C"/>
          <w:sz w:val="16"/>
          <w:szCs w:val="16"/>
        </w:rPr>
        <w:t xml:space="preserve">    INTEGRATIONS between policies BROKEN. Result: Unpatched systems,</w:t>
      </w:r>
    </w:p>
    <w:p>
      <w:pPr>
        <w:spacing w:after="0" w:line="240"/>
      </w:pPr>
      <w:r>
        <w:rPr>
          <w:rFonts w:ascii="Courier New" w:cs="Courier New" w:eastAsia="Courier New" w:hAnsi="Courier New"/>
          <w:color w:val="1B3A5C"/>
          <w:sz w:val="16"/>
          <w:szCs w:val="16"/>
        </w:rPr>
        <w:t xml:space="preserve">    no backups, undetected vulnerability, late incident response.</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Root Cause: No enterprise data governance body owns the gap between policies. Modern Operations (dept-025) is custodian of data, Service Delivery Management (dept-018) owns tickets, ITIL Service Management (dept-168) governs frameworks, but no 'Chief Data Operations Officer' role owns the integrations. Each department executes their policy in isolation.</w:t>
      </w:r>
    </w:p>
    <w:p>
      <w:pPr>
        <w:spacing w:after="160" w:line="300"/>
      </w:pPr>
      <w:r>
        <w:rPr>
          <w:rFonts w:ascii="Arial" w:cs="Arial" w:eastAsia="Arial" w:hAnsi="Arial"/>
          <w:b w:val="false"/>
          <w:bCs w:val="false"/>
          <w:i w:val="false"/>
          <w:iCs w:val="false"/>
          <w:color w:val="333333"/>
          <w:sz w:val="22"/>
          <w:szCs w:val="22"/>
        </w:rPr>
        <w:t xml:space="preserve">Score Implication: This explains the Score 2 (Developing) assessment. Organizational policies exist (Score &gt;1), but integration and operationalization across policy boundaries is incomplete. The organization is like a car with excellent engine specifications (policy), excellent transmission specifications (policy), and excellent fuel system specifications (policy), but no integrated mechanical design connecting the components. Individual parts work; the integrated system does not.</w:t>
      </w:r>
    </w:p>
    <w:p>
      <w:r>
        <w:br w:type="page"/>
      </w:r>
    </w:p>
    <w:p>
      <w:pPr>
        <w:pStyle w:val="Heading2"/>
        <w:spacing w:after="200" w:before="300"/>
      </w:pPr>
      <w:r>
        <w:rPr>
          <w:rFonts w:ascii="Arial" w:cs="Arial" w:eastAsia="Arial" w:hAnsi="Arial"/>
        </w:rPr>
        <w:t xml:space="preserve">9.3 Theme 3: The $24.4M Operations Empire Without a Data Steward</w:t>
      </w:r>
    </w:p>
    <w:p>
      <w:pPr>
        <w:spacing w:after="160" w:line="300"/>
      </w:pPr>
      <w:r>
        <w:rPr>
          <w:rFonts w:ascii="Arial" w:cs="Arial" w:eastAsia="Arial" w:hAnsi="Arial"/>
          <w:b w:val="false"/>
          <w:bCs w:val="false"/>
          <w:i w:val="false"/>
          <w:iCs w:val="false"/>
          <w:color w:val="333333"/>
          <w:sz w:val="22"/>
          <w:szCs w:val="22"/>
        </w:rPr>
        <w:t xml:space="preserve">Five departments totaling $24.4 million annual budget and approximately 195 full-time headcount manage operational data across Rackspace Technology:</w:t>
      </w:r>
    </w:p>
    <w:p>
      <w:pPr>
        <w:pStyle w:val="ListParagraph"/>
        <w:numPr>
          <w:ilvl w:val="0"/>
          <w:numId w:val="2"/>
        </w:numPr>
        <w:spacing w:after="100" w:line="280"/>
      </w:pPr>
      <w:r>
        <w:rPr>
          <w:rFonts w:ascii="Arial" w:cs="Arial" w:eastAsia="Arial" w:hAnsi="Arial"/>
          <w:color w:val="333333"/>
          <w:sz w:val="22"/>
          <w:szCs w:val="22"/>
        </w:rPr>
        <w:t xml:space="preserve">dept-025: Modern Operations ($5.5M, 50 HC, COO Greg Hrncir) – holds operational CUSTODY of DD-028, DD-011, DD-048, DD-013</w:t>
      </w:r>
    </w:p>
    <w:p>
      <w:pPr>
        <w:pStyle w:val="ListParagraph"/>
        <w:numPr>
          <w:ilvl w:val="0"/>
          <w:numId w:val="2"/>
        </w:numPr>
        <w:spacing w:after="100" w:line="280"/>
      </w:pPr>
      <w:r>
        <w:rPr>
          <w:rFonts w:ascii="Arial" w:cs="Arial" w:eastAsia="Arial" w:hAnsi="Arial"/>
          <w:color w:val="333333"/>
          <w:sz w:val="22"/>
          <w:szCs w:val="22"/>
        </w:rPr>
        <w:t xml:space="preserve">dept-054: DC Operations ($2.75M, 25 HC) – manages 40+ global data centers</w:t>
      </w:r>
    </w:p>
    <w:p>
      <w:pPr>
        <w:pStyle w:val="ListParagraph"/>
        <w:numPr>
          <w:ilvl w:val="0"/>
          <w:numId w:val="2"/>
        </w:numPr>
        <w:spacing w:after="100" w:line="280"/>
      </w:pPr>
      <w:r>
        <w:rPr>
          <w:rFonts w:ascii="Arial" w:cs="Arial" w:eastAsia="Arial" w:hAnsi="Arial"/>
          <w:color w:val="333333"/>
          <w:sz w:val="22"/>
          <w:szCs w:val="22"/>
        </w:rPr>
        <w:t xml:space="preserve">dept-018: Service Delivery Management ($3.85M, 35 HC) – manages customer ticket handling</w:t>
      </w:r>
    </w:p>
    <w:p>
      <w:pPr>
        <w:pStyle w:val="ListParagraph"/>
        <w:numPr>
          <w:ilvl w:val="0"/>
          <w:numId w:val="2"/>
        </w:numPr>
        <w:spacing w:after="100" w:line="280"/>
      </w:pPr>
      <w:r>
        <w:rPr>
          <w:rFonts w:ascii="Arial" w:cs="Arial" w:eastAsia="Arial" w:hAnsi="Arial"/>
          <w:color w:val="333333"/>
          <w:sz w:val="22"/>
          <w:szCs w:val="22"/>
        </w:rPr>
        <w:t xml:space="preserve">dept-168: ITIL Service Management ($3.85M, 35 HC) – governs process frameworks</w:t>
      </w:r>
    </w:p>
    <w:p>
      <w:pPr>
        <w:pStyle w:val="ListParagraph"/>
        <w:numPr>
          <w:ilvl w:val="0"/>
          <w:numId w:val="2"/>
        </w:numPr>
        <w:spacing w:after="100" w:line="280"/>
      </w:pPr>
      <w:r>
        <w:rPr>
          <w:rFonts w:ascii="Arial" w:cs="Arial" w:eastAsia="Arial" w:hAnsi="Arial"/>
          <w:color w:val="333333"/>
          <w:sz w:val="22"/>
          <w:szCs w:val="22"/>
        </w:rPr>
        <w:t xml:space="preserve">dept-072: Database Administration ($8.45M, 50 HC) – manages Oracle, MSSQL, MySQL, MongoDB, Elasticsearch, Redis 24x7</w:t>
      </w:r>
    </w:p>
    <w:p>
      <w:pPr>
        <w:spacing w:after="160" w:line="300"/>
      </w:pPr>
      <w:r>
        <w:rPr>
          <w:rFonts w:ascii="Arial" w:cs="Arial" w:eastAsia="Arial" w:hAnsi="Arial"/>
          <w:b w:val="false"/>
          <w:bCs w:val="false"/>
          <w:i w:val="false"/>
          <w:iCs w:val="false"/>
          <w:color w:val="333333"/>
          <w:sz w:val="22"/>
          <w:szCs w:val="22"/>
        </w:rPr>
        <w:t xml:space="preserve">Collectively, these five departments steward six operational data domains (DD-028, DD-011, DD-048, DD-013, DD-030, DD-077) and execute 14 operational policies through dozens of roles (Change Manager, Incident Response Manager, DBA, Capacity Planner, Monitoring Engineer, Automation Engineer). Yet no unified 'Chief Data Operations Officer' or 'Operational Data Steward' role exists at the enterprise level.</w:t>
      </w:r>
    </w:p>
    <w:p>
      <w:pPr>
        <w:spacing w:after="160" w:line="300"/>
      </w:pPr>
      <w:r>
        <w:rPr>
          <w:rFonts w:ascii="Arial" w:cs="Arial" w:eastAsia="Arial" w:hAnsi="Arial"/>
          <w:b w:val="false"/>
          <w:bCs w:val="false"/>
          <w:i w:val="false"/>
          <w:iCs w:val="false"/>
          <w:color w:val="333333"/>
          <w:sz w:val="22"/>
          <w:szCs w:val="22"/>
        </w:rPr>
        <w:t xml:space="preserve">The consequence is that operational data custody is decentralized and accountability is ambiguous:</w:t>
      </w:r>
    </w:p>
    <w:p>
      <w:pPr>
        <w:pStyle w:val="ListParagraph"/>
        <w:numPr>
          <w:ilvl w:val="0"/>
          <w:numId w:val="2"/>
        </w:numPr>
        <w:spacing w:after="100" w:line="280"/>
      </w:pPr>
      <w:r>
        <w:rPr>
          <w:rFonts w:ascii="Arial" w:cs="Arial" w:eastAsia="Arial" w:hAnsi="Arial"/>
          <w:color w:val="333333"/>
          <w:sz w:val="22"/>
          <w:szCs w:val="22"/>
        </w:rPr>
        <w:t xml:space="preserve">Operational data custody vs. operational data governance are conflated. Modern Operations (dept-025) has custody of DD-048 (Backup &amp; Disaster Recovery data) meaning they own the systems that produce this data. But data governance—defining quality standards, retention policies, access controls, lifecycle management—is not explicitly assigned. When the CMDB (da-096, 220GB) degrades to 65-70% completeness, who is accountable to remediate it? ServiceNow administrators are responsible for technical maintenance, but data quality governance is nobody's job.</w:t>
      </w:r>
    </w:p>
    <w:p>
      <w:pPr>
        <w:pStyle w:val="ListParagraph"/>
        <w:numPr>
          <w:ilvl w:val="0"/>
          <w:numId w:val="2"/>
        </w:numPr>
        <w:spacing w:after="100" w:line="280"/>
      </w:pPr>
      <w:r>
        <w:rPr>
          <w:rFonts w:ascii="Arial" w:cs="Arial" w:eastAsia="Arial" w:hAnsi="Arial"/>
          <w:color w:val="333333"/>
          <w:sz w:val="22"/>
          <w:szCs w:val="22"/>
        </w:rPr>
        <w:t xml:space="preserve">No unified data quality metrics. DD-048 (Backup &amp; Disaster Recovery Data, CRITICAL strategic value) is governed by POL-034 (Backup &amp; Recovery, ISO 27001) and backed by CTL-034 (Backup &amp; Recovery Operations) and CTL-086 (Disaster Recovery Testing). Yet no documented quality targets exist for DD-048. Questions like 'What is the maximum acceptable age of backup data?' or 'What is the minimum Recovery Time Objective (RTO)?' are answered through individual customer contracts, not enterprise-wide policy.</w:t>
      </w:r>
    </w:p>
    <w:p>
      <w:pPr>
        <w:pStyle w:val="ListParagraph"/>
        <w:numPr>
          <w:ilvl w:val="0"/>
          <w:numId w:val="2"/>
        </w:numPr>
        <w:spacing w:after="100" w:line="280"/>
      </w:pPr>
      <w:r>
        <w:rPr>
          <w:rFonts w:ascii="Arial" w:cs="Arial" w:eastAsia="Arial" w:hAnsi="Arial"/>
          <w:color w:val="333333"/>
          <w:sz w:val="22"/>
          <w:szCs w:val="22"/>
        </w:rPr>
        <w:t xml:space="preserve">No cross-departmental data dictionary. Modern Operations uses 'Incident ID', Service Delivery uses 'Ticket ID', DC Operations uses 'Work Order ID' for the same concept. These are different primary key spaces, making cross-department analytics impossible. When Finance asks 'What is our total incident resolution cost?', five departments calculate it five different ways.</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$24.4M OPERATIONS BUDGET, 195 HEADCOUNT, NO DATA STEWARD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ORGANIZATIONAL STRUCTURE:                    DATA STEWARDSHIP GAP:</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 Governance Vacuum ─┐</w:t>
      </w:r>
    </w:p>
    <w:p>
      <w:pPr>
        <w:spacing w:after="0" w:line="240"/>
      </w:pPr>
      <w:r>
        <w:rPr>
          <w:rFonts w:ascii="Courier New" w:cs="Courier New" w:eastAsia="Courier New" w:hAnsi="Courier New"/>
          <w:color w:val="1B3A5C"/>
          <w:sz w:val="16"/>
          <w:szCs w:val="16"/>
        </w:rPr>
        <w:t xml:space="preserve">    │  Modern Operations          │             │                     │</w:t>
      </w:r>
    </w:p>
    <w:p>
      <w:pPr>
        <w:spacing w:after="0" w:line="240"/>
      </w:pPr>
      <w:r>
        <w:rPr>
          <w:rFonts w:ascii="Courier New" w:cs="Courier New" w:eastAsia="Courier New" w:hAnsi="Courier New"/>
          <w:color w:val="1B3A5C"/>
          <w:sz w:val="16"/>
          <w:szCs w:val="16"/>
        </w:rPr>
        <w:t xml:space="preserve">    │  $5.5M, 50 HC              │ Custody→DD-048, DD-013  DD-028, DD-011</w:t>
      </w:r>
    </w:p>
    <w:p>
      <w:pPr>
        <w:spacing w:after="0" w:line="240"/>
      </w:pPr>
      <w:r>
        <w:rPr>
          <w:rFonts w:ascii="Courier New" w:cs="Courier New" w:eastAsia="Courier New" w:hAnsi="Courier New"/>
          <w:color w:val="1B3A5C"/>
          <w:sz w:val="16"/>
          <w:szCs w:val="16"/>
        </w:rPr>
        <w:t xml:space="preserve">    │  (Greg Hrncir, COO)         │─────X───────┤ ← No Quality Targets │</w:t>
      </w:r>
    </w:p>
    <w:p>
      <w:pPr>
        <w:spacing w:after="0" w:line="240"/>
      </w:pPr>
      <w:r>
        <w:rPr>
          <w:rFonts w:ascii="Courier New" w:cs="Courier New" w:eastAsia="Courier New" w:hAnsi="Courier New"/>
          <w:color w:val="1B3A5C"/>
          <w:sz w:val="16"/>
          <w:szCs w:val="16"/>
        </w:rPr>
        <w:t xml:space="preserve">    └─────────────────────────────┘              │ ← No Lifecycle Policy│</w:t>
      </w:r>
    </w:p>
    <w:p>
      <w:pPr>
        <w:spacing w:after="0" w:line="240"/>
      </w:pPr>
      <w:r>
        <w:rPr>
          <w:rFonts w:ascii="Courier New" w:cs="Courier New" w:eastAsia="Courier New" w:hAnsi="Courier New"/>
          <w:color w:val="1B3A5C"/>
          <w:sz w:val="16"/>
          <w:szCs w:val="16"/>
        </w:rPr>
        <w:t xml:space="preserve">                                                │ ← No RTO/RPO defined│</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DC Operations              │</w:t>
      </w:r>
    </w:p>
    <w:p>
      <w:pPr>
        <w:spacing w:after="0" w:line="240"/>
      </w:pPr>
      <w:r>
        <w:rPr>
          <w:rFonts w:ascii="Courier New" w:cs="Courier New" w:eastAsia="Courier New" w:hAnsi="Courier New"/>
          <w:color w:val="1B3A5C"/>
          <w:sz w:val="16"/>
          <w:szCs w:val="16"/>
        </w:rPr>
        <w:t xml:space="preserve">    │  $2.75M, 25 HC             │ Custody→40+ DCs Config Data</w:t>
      </w:r>
    </w:p>
    <w:p>
      <w:pPr>
        <w:spacing w:after="0" w:line="240"/>
      </w:pPr>
      <w:r>
        <w:rPr>
          <w:rFonts w:ascii="Courier New" w:cs="Courier New" w:eastAsia="Courier New" w:hAnsi="Courier New"/>
          <w:color w:val="1B3A5C"/>
          <w:sz w:val="16"/>
          <w:szCs w:val="16"/>
        </w:rPr>
        <w:t xml:space="preserve">    │  (40+ global locations)     │─────X───────┤ DD-029 (65-70% complete)</w:t>
      </w:r>
    </w:p>
    <w:p>
      <w:pPr>
        <w:spacing w:after="0" w:line="240"/>
      </w:pPr>
      <w:r>
        <w:rPr>
          <w:rFonts w:ascii="Courier New" w:cs="Courier New" w:eastAsia="Courier New" w:hAnsi="Courier New"/>
          <w:color w:val="1B3A5C"/>
          <w:sz w:val="16"/>
          <w:szCs w:val="16"/>
        </w:rPr>
        <w:t xml:space="preserve">    └─────────────────────────────┘             │ ← No CMDB SLA defined│</w:t>
      </w:r>
    </w:p>
    <w:p>
      <w:pPr>
        <w:spacing w:after="0" w:line="240"/>
      </w:pPr>
      <w:r>
        <w:rPr>
          <w:rFonts w:ascii="Courier New" w:cs="Courier New" w:eastAsia="Courier New" w:hAnsi="Courier New"/>
          <w:color w:val="1B3A5C"/>
          <w:sz w:val="16"/>
          <w:szCs w:val="16"/>
        </w:rPr>
        <w:t xml:space="preserve">                                                │ ← No drift detection│</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Service Delivery Mgmt      │</w:t>
      </w:r>
    </w:p>
    <w:p>
      <w:pPr>
        <w:spacing w:after="0" w:line="240"/>
      </w:pPr>
      <w:r>
        <w:rPr>
          <w:rFonts w:ascii="Courier New" w:cs="Courier New" w:eastAsia="Courier New" w:hAnsi="Courier New"/>
          <w:color w:val="1B3A5C"/>
          <w:sz w:val="16"/>
          <w:szCs w:val="16"/>
        </w:rPr>
        <w:t xml:space="preserve">    │  $3.85M, 35 HC             │ Custody→DD-030 Tickets</w:t>
      </w:r>
    </w:p>
    <w:p>
      <w:pPr>
        <w:spacing w:after="0" w:line="240"/>
      </w:pPr>
      <w:r>
        <w:rPr>
          <w:rFonts w:ascii="Courier New" w:cs="Courier New" w:eastAsia="Courier New" w:hAnsi="Courier New"/>
          <w:color w:val="1B3A5C"/>
          <w:sz w:val="16"/>
          <w:szCs w:val="16"/>
        </w:rPr>
        <w:t xml:space="preserve">    │  (Ticket operations)        │─────X───────┤ ← SLA exists but no credit</w:t>
      </w:r>
    </w:p>
    <w:p>
      <w:pPr>
        <w:spacing w:after="0" w:line="240"/>
      </w:pPr>
      <w:r>
        <w:rPr>
          <w:rFonts w:ascii="Courier New" w:cs="Courier New" w:eastAsia="Courier New" w:hAnsi="Courier New"/>
          <w:color w:val="1B3A5C"/>
          <w:sz w:val="16"/>
          <w:szCs w:val="16"/>
        </w:rPr>
        <w:t xml:space="preserve">    └─────────────────────────────┘             │ ← No root cause analysis│</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CONSEQUENCE:</w:t>
      </w:r>
    </w:p>
    <w:p>
      <w:pPr>
        <w:spacing w:after="0" w:line="240"/>
      </w:pPr>
      <w:r>
        <w:rPr>
          <w:rFonts w:ascii="Courier New" w:cs="Courier New" w:eastAsia="Courier New" w:hAnsi="Courier New"/>
          <w:color w:val="1B3A5C"/>
          <w:sz w:val="16"/>
          <w:szCs w:val="16"/>
        </w:rPr>
        <w:t xml:space="preserve">    │  ITIL Service Mgmt          │             • Custody without governance</w:t>
      </w:r>
    </w:p>
    <w:p>
      <w:pPr>
        <w:spacing w:after="0" w:line="240"/>
      </w:pPr>
      <w:r>
        <w:rPr>
          <w:rFonts w:ascii="Courier New" w:cs="Courier New" w:eastAsia="Courier New" w:hAnsi="Courier New"/>
          <w:color w:val="1B3A5C"/>
          <w:sz w:val="16"/>
          <w:szCs w:val="16"/>
        </w:rPr>
        <w:t xml:space="preserve">    │  $3.85M, 35 HC             │ Policy→POL-056, POL-058, POL-059</w:t>
      </w:r>
    </w:p>
    <w:p>
      <w:pPr>
        <w:spacing w:after="0" w:line="240"/>
      </w:pPr>
      <w:r>
        <w:rPr>
          <w:rFonts w:ascii="Courier New" w:cs="Courier New" w:eastAsia="Courier New" w:hAnsi="Courier New"/>
          <w:color w:val="1B3A5C"/>
          <w:sz w:val="16"/>
          <w:szCs w:val="16"/>
        </w:rPr>
        <w:t xml:space="preserve">    │  (Framework governance)     │             • Data quality unmeasured</w:t>
      </w:r>
    </w:p>
    <w:p>
      <w:pPr>
        <w:spacing w:after="0" w:line="240"/>
      </w:pPr>
      <w:r>
        <w:rPr>
          <w:rFonts w:ascii="Courier New" w:cs="Courier New" w:eastAsia="Courier New" w:hAnsi="Courier New"/>
          <w:color w:val="1B3A5C"/>
          <w:sz w:val="16"/>
          <w:szCs w:val="16"/>
        </w:rPr>
        <w:t xml:space="preserve">    └─────────────────────────────┘             • Accountability diffused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Database Administration    │</w:t>
      </w:r>
    </w:p>
    <w:p>
      <w:pPr>
        <w:spacing w:after="0" w:line="240"/>
      </w:pPr>
      <w:r>
        <w:rPr>
          <w:rFonts w:ascii="Courier New" w:cs="Courier New" w:eastAsia="Courier New" w:hAnsi="Courier New"/>
          <w:color w:val="1B3A5C"/>
          <w:sz w:val="16"/>
          <w:szCs w:val="16"/>
        </w:rPr>
        <w:t xml:space="preserve">    │  $8.45M, 50 HC             │ Expertise→Oracle, MSSQL, MySQL, etc.</w:t>
      </w:r>
    </w:p>
    <w:p>
      <w:pPr>
        <w:spacing w:after="0" w:line="240"/>
      </w:pPr>
      <w:r>
        <w:rPr>
          <w:rFonts w:ascii="Courier New" w:cs="Courier New" w:eastAsia="Courier New" w:hAnsi="Courier New"/>
          <w:color w:val="1B3A5C"/>
          <w:sz w:val="16"/>
          <w:szCs w:val="16"/>
        </w:rPr>
        <w:t xml:space="preserve">    │  (24x7 DBA support)         │─────X───────┤ ← Database SLA 99.8%, but</w:t>
      </w:r>
    </w:p>
    <w:p>
      <w:pPr>
        <w:spacing w:after="0" w:line="240"/>
      </w:pPr>
      <w:r>
        <w:rPr>
          <w:rFonts w:ascii="Courier New" w:cs="Courier New" w:eastAsia="Courier New" w:hAnsi="Courier New"/>
          <w:color w:val="1B3A5C"/>
          <w:sz w:val="16"/>
          <w:szCs w:val="16"/>
        </w:rPr>
        <w:t xml:space="preserve">    └─────────────────────────────┘             │ ← operational data quality = ?</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FIVE DEPARTMENTS, FIVE DATA DOMAINS, ONE MISSING STEWARD = SCORE 2</w:t>
      </w:r>
    </w:p>
    <w:p>
      <w:pPr>
        <w:spacing w:after="0" w:line="240"/>
      </w:pPr>
      <w:r>
        <w:rPr>
          <w:rFonts w:ascii="Courier New" w:cs="Courier New" w:eastAsia="Courier New" w:hAnsi="Courier New"/>
          <w:color w:val="1B3A5C"/>
          <w:sz w:val="16"/>
          <w:szCs w:val="16"/>
        </w:rPr>
        <w:t xml:space="preserve"/>
      </w:r>
    </w:p>
    <w:p>
      <w:pPr>
        <w:pStyle w:val="Heading3"/>
        <w:spacing w:after="200" w:before="300"/>
      </w:pPr>
      <w:r>
        <w:rPr>
          <w:rFonts w:ascii="Arial" w:cs="Arial" w:eastAsia="Arial" w:hAnsi="Arial"/>
        </w:rPr>
        <w:t xml:space="preserve">Operations Department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dept-025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Modern Operations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$5.5M / 50 HC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DD-048, DD-013, DD-028, DD-011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DC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$2.75M / 25 HC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40+ global DCs, OU-042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dept-018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Delivery Mgmt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$3.85M / 35 HC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DD-030, DD-063 ticketing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dept-168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&amp; Service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$3.85M / 35 HC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Process governance (ITSM)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Administration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$8.45M / 50 HC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DD-013, 24x7 DBA support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Score Implication: Score 2 is appropriate because operational data governance exists (Score &gt;1) but lacks the enterprise-level coordination and accountability structure needed for consistent implementation. The organization has operational custody (data producers exist) but lacks operational stewardship (no accountable governing authority).</w:t>
      </w:r>
    </w:p>
    <w:p>
      <w:r>
        <w:br w:type="page"/>
      </w:r>
    </w:p>
    <w:p>
      <w:pPr>
        <w:pStyle w:val="Heading2"/>
        <w:spacing w:after="200" w:before="300"/>
      </w:pPr>
      <w:r>
        <w:rPr>
          <w:rFonts w:ascii="Arial" w:cs="Arial" w:eastAsia="Arial" w:hAnsi="Arial"/>
        </w:rPr>
        <w:t xml:space="preserve">9.4 Theme 4: The Breach That Proved the Score—December 2022 as Operations Assessment</w:t>
      </w:r>
    </w:p>
    <w:p>
      <w:pPr>
        <w:spacing w:after="160" w:line="300"/>
      </w:pPr>
      <w:r>
        <w:rPr>
          <w:rFonts w:ascii="Arial" w:cs="Arial" w:eastAsia="Arial" w:hAnsi="Arial"/>
          <w:b w:val="false"/>
          <w:bCs w:val="false"/>
          <w:i w:val="false"/>
          <w:iCs w:val="false"/>
          <w:color w:val="333333"/>
          <w:sz w:val="22"/>
          <w:szCs w:val="22"/>
        </w:rPr>
        <w:t xml:space="preserve">Capability 8 (Data Management Operations) is scored at 2 (Developing), and the December 2022 breach (RSK-00001, PLAY ransomware, $10.8M direct costs, class action litigation) is definitive evidence of that score. The breach represents the intersection of five operational failures:</w:t>
      </w:r>
    </w:p>
    <w:p>
      <w:pPr>
        <w:pStyle w:val="ListParagraph"/>
        <w:numPr>
          <w:ilvl w:val="0"/>
          <w:numId w:val="2"/>
        </w:numPr>
        <w:spacing w:after="100" w:line="280"/>
      </w:pPr>
      <w:r>
        <w:rPr>
          <w:rFonts w:ascii="Arial" w:cs="Arial" w:eastAsia="Arial" w:hAnsi="Arial"/>
          <w:color w:val="333333"/>
          <w:sz w:val="22"/>
          <w:szCs w:val="22"/>
        </w:rPr>
        <w:t xml:space="preserve">Failure 1: Patch Management Control Breakdown (CTL-057). CVE-2022-41080 was published 09-2022. Patch development and testing followed POL-049 (Patch Management). Patch deployment was authorized through change management (POL-058). However, deployment consistency across 40+ global data centers failed. Some systems were patched, others were not. This was not a policy failure but an operational execution failure—the deployment pipeline did not enforce patch consistency across all targets.</w:t>
      </w:r>
    </w:p>
    <w:p>
      <w:pPr>
        <w:pStyle w:val="ListParagraph"/>
        <w:numPr>
          <w:ilvl w:val="0"/>
          <w:numId w:val="2"/>
        </w:numPr>
        <w:spacing w:after="100" w:line="280"/>
      </w:pPr>
      <w:r>
        <w:rPr>
          <w:rFonts w:ascii="Arial" w:cs="Arial" w:eastAsia="Arial" w:hAnsi="Arial"/>
          <w:color w:val="333333"/>
          <w:sz w:val="22"/>
          <w:szCs w:val="22"/>
        </w:rPr>
        <w:t xml:space="preserve">Failure 2: Absence of Immutable Backups (DD-048, absent). POL-034 (Backup &amp; Recovery) existed and required backup creation. However, the specific backup infrastructure for Hosted Exchange—the affected system—lacked immutable, air-gapped backup storage. When ransomware encrypted data, data could not be recovered from an untouched backup copy. DA-118 (Rubrik Cyber Recovery Cloud, 12TB immutable air-gapped backup) was deployed as a post-breach control, representing a material capability gap that existed pre-breach.</w:t>
      </w:r>
    </w:p>
    <w:p>
      <w:pPr>
        <w:pStyle w:val="ListParagraph"/>
        <w:numPr>
          <w:ilvl w:val="0"/>
          <w:numId w:val="2"/>
        </w:numPr>
        <w:spacing w:after="100" w:line="280"/>
      </w:pPr>
      <w:r>
        <w:rPr>
          <w:rFonts w:ascii="Arial" w:cs="Arial" w:eastAsia="Arial" w:hAnsi="Arial"/>
          <w:color w:val="333333"/>
          <w:sz w:val="22"/>
          <w:szCs w:val="22"/>
        </w:rPr>
        <w:t xml:space="preserve">Failure 3: Change Management Visibility Gap (CTL-154, partial). The patch change (POL-049 authorization through POL-058) was approved by CAB. However, the change impact assessment did not link the patch deployment to backup recovery requirements. No cross-domain validation checked 'Is this system backed up before we patch it?' This was an integration failure—two policies individually executed, but their integration was incomplete.</w:t>
      </w:r>
    </w:p>
    <w:p>
      <w:pPr>
        <w:pStyle w:val="ListParagraph"/>
        <w:numPr>
          <w:ilvl w:val="0"/>
          <w:numId w:val="2"/>
        </w:numPr>
        <w:spacing w:after="100" w:line="280"/>
      </w:pPr>
      <w:r>
        <w:rPr>
          <w:rFonts w:ascii="Arial" w:cs="Arial" w:eastAsia="Arial" w:hAnsi="Arial"/>
          <w:color w:val="333333"/>
          <w:sz w:val="22"/>
          <w:szCs w:val="22"/>
        </w:rPr>
        <w:t xml:space="preserve">Failure 4: Incident Response Delay (CTL-052 partnership formed post-breach). The Incident Response Team structure (role-099, CrowdStrike partnership) existed post-November 2023, but did not exist in December 2022. Early ransomware detection would have triggered faster response. While breach was inevitable (unpatched systems + no immutable backup), forensic capability to preserve evidence and accelerate recovery was missing.</w:t>
      </w:r>
    </w:p>
    <w:p>
      <w:pPr>
        <w:pStyle w:val="ListParagraph"/>
        <w:numPr>
          <w:ilvl w:val="0"/>
          <w:numId w:val="2"/>
        </w:numPr>
        <w:spacing w:after="100" w:line="280"/>
      </w:pPr>
      <w:r>
        <w:rPr>
          <w:rFonts w:ascii="Arial" w:cs="Arial" w:eastAsia="Arial" w:hAnsi="Arial"/>
          <w:color w:val="333333"/>
          <w:sz w:val="22"/>
          <w:szCs w:val="22"/>
        </w:rPr>
        <w:t xml:space="preserve">Failure 5: Monitoring Escalation Gap (POL-063, incomplete). Monitoring systems (Datadog sys-056, Splunk) likely detected vulnerability signals—either suspicious network traffic or failed patch verification. However, no automated escalation converted monitoring signals into incident tickets (POL-056) or patch management tickets (POL-049). Monitoring detected, but operations did not respond.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DECEMBER 2022 BREACH: FIVE OPERATIONAL FAILURES CASCADE</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TIMELINE → Sept 2022: CVE-2022-41080 Published</w:t>
      </w:r>
    </w:p>
    <w:p>
      <w:pPr>
        <w:spacing w:after="0" w:line="240"/>
      </w:pPr>
      <w:r>
        <w:rPr>
          <w:rFonts w:ascii="Courier New" w:cs="Courier New" w:eastAsia="Courier New" w:hAnsi="Courier New"/>
          <w:color w:val="1B3A5C"/>
          <w:sz w:val="16"/>
          <w:szCs w:val="16"/>
        </w:rPr>
        <w:t xml:space="preserve">            Oct 2022: Patch Development &amp; CAB Approval (POL-049, POL-058 ✓)</w:t>
      </w:r>
    </w:p>
    <w:p>
      <w:pPr>
        <w:spacing w:after="0" w:line="240"/>
      </w:pPr>
      <w:r>
        <w:rPr>
          <w:rFonts w:ascii="Courier New" w:cs="Courier New" w:eastAsia="Courier New" w:hAnsi="Courier New"/>
          <w:color w:val="1B3A5C"/>
          <w:sz w:val="16"/>
          <w:szCs w:val="16"/>
        </w:rPr>
        <w:t xml:space="preserve">            Nov 2022: Patch Deployment Starts (Control Failures →)</w:t>
      </w:r>
    </w:p>
    <w:p>
      <w:pPr>
        <w:spacing w:after="0" w:line="240"/>
      </w:pPr>
      <w:r>
        <w:rPr>
          <w:rFonts w:ascii="Courier New" w:cs="Courier New" w:eastAsia="Courier New" w:hAnsi="Courier New"/>
          <w:color w:val="1B3A5C"/>
          <w:sz w:val="16"/>
          <w:szCs w:val="16"/>
        </w:rPr>
        <w:t xml:space="preserve">            Dec 2022: Ransomware Exploitation (Unpatched systems)</w:t>
      </w:r>
    </w:p>
    <w:p>
      <w:pPr>
        <w:spacing w:after="0" w:line="240"/>
      </w:pPr>
      <w:r>
        <w:rPr>
          <w:rFonts w:ascii="Courier New" w:cs="Courier New" w:eastAsia="Courier New" w:hAnsi="Courier New"/>
          <w:color w:val="1B3A5C"/>
          <w:sz w:val="16"/>
          <w:szCs w:val="16"/>
        </w:rPr>
        <w:t xml:space="preserve">            Jan 2023: Breach Discovery &amp; Response</w:t>
      </w:r>
    </w:p>
    <w:p>
      <w:pPr>
        <w:spacing w:after="0" w:line="240"/>
      </w:pPr>
      <w:r>
        <w:rPr>
          <w:rFonts w:ascii="Courier New" w:cs="Courier New" w:eastAsia="Courier New" w:hAnsi="Courier New"/>
          <w:color w:val="1B3A5C"/>
          <w:sz w:val="16"/>
          <w:szCs w:val="16"/>
        </w:rPr>
        <w:t xml:space="preserve">            Nov 2023: Hosted Exchange Decommissioned ($10.8M loss)</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FAILURE 1 ─┐  ┌─ FAILURE 2 ─┐  ┌─ FAILURE 3 ─┐  ┌─ FAILURE 4 ─┐  ┌─ FAILURE 5 ─┐</w:t>
      </w:r>
    </w:p>
    <w:p>
      <w:pPr>
        <w:spacing w:after="0" w:line="240"/>
      </w:pPr>
      <w:r>
        <w:rPr>
          <w:rFonts w:ascii="Courier New" w:cs="Courier New" w:eastAsia="Courier New" w:hAnsi="Courier New"/>
          <w:color w:val="1B3A5C"/>
          <w:sz w:val="16"/>
          <w:szCs w:val="16"/>
        </w:rPr>
        <w:t xml:space="preserve">  │ Patch       │  │ Immutable   │  │ Integration │  │ Incident    │  │ Monitoring  │</w:t>
      </w:r>
    </w:p>
    <w:p>
      <w:pPr>
        <w:spacing w:after="0" w:line="240"/>
      </w:pPr>
      <w:r>
        <w:rPr>
          <w:rFonts w:ascii="Courier New" w:cs="Courier New" w:eastAsia="Courier New" w:hAnsi="Courier New"/>
          <w:color w:val="1B3A5C"/>
          <w:sz w:val="16"/>
          <w:szCs w:val="16"/>
        </w:rPr>
        <w:t xml:space="preserve">  │ Deployment  │  │ Backup      │  │ Gap         │  │ Response    │  │ Escalation  │</w:t>
      </w:r>
    </w:p>
    <w:p>
      <w:pPr>
        <w:spacing w:after="0" w:line="240"/>
      </w:pPr>
      <w:r>
        <w:rPr>
          <w:rFonts w:ascii="Courier New" w:cs="Courier New" w:eastAsia="Courier New" w:hAnsi="Courier New"/>
          <w:color w:val="1B3A5C"/>
          <w:sz w:val="16"/>
          <w:szCs w:val="16"/>
        </w:rPr>
        <w:t xml:space="preserve">  │ Consistency │  │ Absent      │  │ (Patch↔Backup)  │ Capability  │  │ (Detect→Act)│</w:t>
      </w:r>
    </w:p>
    <w:p>
      <w:pPr>
        <w:spacing w:after="0" w:line="240"/>
      </w:pPr>
      <w:r>
        <w:rPr>
          <w:rFonts w:ascii="Courier New" w:cs="Courier New" w:eastAsia="Courier New" w:hAnsi="Courier New"/>
          <w:color w:val="1B3A5C"/>
          <w:sz w:val="16"/>
          <w:szCs w:val="16"/>
        </w:rPr>
        <w:t xml:space="preserve">  │             │  │             │  │ (Change↔Backup) │ Missing     │  │ Manual Step │</w:t>
      </w:r>
    </w:p>
    <w:p>
      <w:pPr>
        <w:spacing w:after="0" w:line="240"/>
      </w:pPr>
      <w:r>
        <w:rPr>
          <w:rFonts w:ascii="Courier New" w:cs="Courier New" w:eastAsia="Courier New" w:hAnsi="Courier New"/>
          <w:color w:val="1B3A5C"/>
          <w:sz w:val="16"/>
          <w:szCs w:val="16"/>
        </w:rPr>
        <w:t xml:space="preserve">  │ Deployed    │  │ DD-048      │  │             │  │             │  │  Missing    │</w:t>
      </w:r>
    </w:p>
    <w:p>
      <w:pPr>
        <w:spacing w:after="0" w:line="240"/>
      </w:pPr>
      <w:r>
        <w:rPr>
          <w:rFonts w:ascii="Courier New" w:cs="Courier New" w:eastAsia="Courier New" w:hAnsi="Courier New"/>
          <w:color w:val="1B3A5C"/>
          <w:sz w:val="16"/>
          <w:szCs w:val="16"/>
        </w:rPr>
        <w:t xml:space="preserve">  │ inconsistently│ │ Pre-breach  │  │ No cross-   │  │ CrowdStrike │  │ Automated   │</w:t>
      </w:r>
    </w:p>
    <w:p>
      <w:pPr>
        <w:spacing w:after="0" w:line="240"/>
      </w:pPr>
      <w:r>
        <w:rPr>
          <w:rFonts w:ascii="Courier New" w:cs="Courier New" w:eastAsia="Courier New" w:hAnsi="Courier New"/>
          <w:color w:val="1B3A5C"/>
          <w:sz w:val="16"/>
          <w:szCs w:val="16"/>
        </w:rPr>
        <w:t xml:space="preserve">  │ across 40+  │  │ Lacked      │  │ domain      │  │ partnership │  │ Escalation  │</w:t>
      </w:r>
    </w:p>
    <w:p>
      <w:pPr>
        <w:spacing w:after="0" w:line="240"/>
      </w:pPr>
      <w:r>
        <w:rPr>
          <w:rFonts w:ascii="Courier New" w:cs="Courier New" w:eastAsia="Courier New" w:hAnsi="Courier New"/>
          <w:color w:val="1B3A5C"/>
          <w:sz w:val="16"/>
          <w:szCs w:val="16"/>
        </w:rPr>
        <w:t xml:space="preserve">  │ DCs         │  │ immutable   │  │ validation  │  │ post-breach │  │ Unknown     │</w:t>
      </w:r>
    </w:p>
    <w:p>
      <w:pPr>
        <w:spacing w:after="0" w:line="240"/>
      </w:pPr>
      <w:r>
        <w:rPr>
          <w:rFonts w:ascii="Courier New" w:cs="Courier New" w:eastAsia="Courier New" w:hAnsi="Courier New"/>
          <w:color w:val="1B3A5C"/>
          <w:sz w:val="16"/>
          <w:szCs w:val="16"/>
        </w:rPr>
        <w:t xml:space="preserve">  │ (CTL-057:NO)│  │ air-gapped  │  │ before patch│  │ (CTL-052:NO)│  │ why not     │</w:t>
      </w:r>
    </w:p>
    <w:p>
      <w:pPr>
        <w:spacing w:after="0" w:line="240"/>
      </w:pPr>
      <w:r>
        <w:rPr>
          <w:rFonts w:ascii="Courier New" w:cs="Courier New" w:eastAsia="Courier New" w:hAnsi="Courier New"/>
          <w:color w:val="1B3A5C"/>
          <w:sz w:val="16"/>
          <w:szCs w:val="16"/>
        </w:rPr>
        <w:t xml:space="preserve">  │             │  │ (CTL-034:NO)│  │ (CTL-154:NO)│  │             │  │ triggered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RANSOMWARE SUCCEEDS → SPREADS → CORRUPTS → RESPONSE SLOW → RECOVERY FAILS</w:t>
      </w:r>
    </w:p>
    <w:p>
      <w:pPr>
        <w:spacing w:after="0" w:line="240"/>
      </w:pPr>
      <w:r>
        <w:rPr>
          <w:rFonts w:ascii="Courier New" w:cs="Courier New" w:eastAsia="Courier New" w:hAnsi="Courier New"/>
          <w:color w:val="1B3A5C"/>
          <w:sz w:val="16"/>
          <w:szCs w:val="16"/>
        </w:rPr>
        <w:t xml:space="preserve">                          (All 5 must succeed to prevent; 1 failure cascades)</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POST-BREACH INVESTMENT RESPONSE:</w:t>
      </w:r>
    </w:p>
    <w:p>
      <w:pPr>
        <w:spacing w:after="0" w:line="240"/>
      </w:pPr>
      <w:r>
        <w:rPr>
          <w:rFonts w:ascii="Courier New" w:cs="Courier New" w:eastAsia="Courier New" w:hAnsi="Courier New"/>
          <w:color w:val="1B3A5C"/>
          <w:sz w:val="16"/>
          <w:szCs w:val="16"/>
        </w:rPr>
        <w:t xml:space="preserve">  • DA-118: Rubrik Cyber Recovery (deployed post-breach, prevents future loss)</w:t>
      </w:r>
    </w:p>
    <w:p>
      <w:pPr>
        <w:spacing w:after="0" w:line="240"/>
      </w:pPr>
      <w:r>
        <w:rPr>
          <w:rFonts w:ascii="Courier New" w:cs="Courier New" w:eastAsia="Courier New" w:hAnsi="Courier New"/>
          <w:color w:val="1B3A5C"/>
          <w:sz w:val="16"/>
          <w:szCs w:val="16"/>
        </w:rPr>
        <w:t xml:space="preserve">  • CTL-052: CrowdStrike partnership (forensic capability post-breach)</w:t>
      </w:r>
    </w:p>
    <w:p>
      <w:pPr>
        <w:spacing w:after="0" w:line="240"/>
      </w:pPr>
      <w:r>
        <w:rPr>
          <w:rFonts w:ascii="Courier New" w:cs="Courier New" w:eastAsia="Courier New" w:hAnsi="Courier New"/>
          <w:color w:val="1B3A5C"/>
          <w:sz w:val="16"/>
          <w:szCs w:val="16"/>
        </w:rPr>
        <w:t xml:space="preserve">  • POL-059: SLA credit framework (compensate customers, post-breach)</w:t>
      </w:r>
    </w:p>
    <w:p>
      <w:pPr>
        <w:spacing w:after="0" w:line="240"/>
      </w:pPr>
      <w:r>
        <w:rPr>
          <w:rFonts w:ascii="Courier New" w:cs="Courier New" w:eastAsia="Courier New" w:hAnsi="Courier New"/>
          <w:color w:val="1B3A5C"/>
          <w:sz w:val="16"/>
          <w:szCs w:val="16"/>
        </w:rPr>
        <w:t xml:space="preserve">  • CTL-086: Disaster Recovery testing (enforce immutable backup RTO/RPO post-breach)</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VERDICT: Score 2 (Developing) is proved by breach. Policies existed (Score &gt;1),</w:t>
      </w:r>
    </w:p>
    <w:p>
      <w:pPr>
        <w:spacing w:after="0" w:line="240"/>
      </w:pPr>
      <w:r>
        <w:rPr>
          <w:rFonts w:ascii="Courier New" w:cs="Courier New" w:eastAsia="Courier New" w:hAnsi="Courier New"/>
          <w:color w:val="1B3A5C"/>
          <w:sz w:val="16"/>
          <w:szCs w:val="16"/>
        </w:rPr>
        <w:t xml:space="preserve">           integration &amp; operationalization failed (Score &lt;3). Aftermath proves capability gap.</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The evidence from RSK-00001 directly validates the Score 2 assessment:</w:t>
      </w:r>
    </w:p>
    <w:p>
      <w:pPr>
        <w:pStyle w:val="ListParagraph"/>
        <w:numPr>
          <w:ilvl w:val="0"/>
          <w:numId w:val="2"/>
        </w:numPr>
        <w:spacing w:after="100" w:line="280"/>
      </w:pPr>
      <w:r>
        <w:rPr>
          <w:rFonts w:ascii="Arial" w:cs="Arial" w:eastAsia="Arial" w:hAnsi="Arial"/>
          <w:color w:val="333333"/>
          <w:sz w:val="22"/>
          <w:szCs w:val="22"/>
        </w:rPr>
        <w:t xml:space="preserve">Score 2 means: Foundational policies exist, but integration and operationalization are incomplete. RSK-00001 is exactly this—14 policies existed individually, but their integration failed. Patch management policy + change management policy + backup policy + monitoring policy + incident management policy all existed, but the integration between them broke down, allowing an exploitable vulnerability to persist, encrypt data, and spread unchecked.</w:t>
      </w:r>
    </w:p>
    <w:p>
      <w:pPr>
        <w:pStyle w:val="ListParagraph"/>
        <w:numPr>
          <w:ilvl w:val="0"/>
          <w:numId w:val="2"/>
        </w:numPr>
        <w:spacing w:after="100" w:line="280"/>
      </w:pPr>
      <w:r>
        <w:rPr>
          <w:rFonts w:ascii="Arial" w:cs="Arial" w:eastAsia="Arial" w:hAnsi="Arial"/>
          <w:color w:val="333333"/>
          <w:sz w:val="22"/>
          <w:szCs w:val="22"/>
        </w:rPr>
        <w:t xml:space="preserve">Post-breach investments (DA-118 Rubrik, CTL-052 CrowdStrike, CTL-086 DR testing) are evidence that pre-breach maturity was indeed Score 2. The organization did not lack capability theoretically; it lacked operationalization practically. Post-breach, these investments elevated maturity toward Score 3-4, but only post-breach.</w:t>
      </w:r>
    </w:p>
    <w:p>
      <w:pPr>
        <w:spacing w:after="160" w:line="300"/>
      </w:pPr>
      <w:r>
        <w:rPr>
          <w:rFonts w:ascii="Arial" w:cs="Arial" w:eastAsia="Arial" w:hAnsi="Arial"/>
          <w:b w:val="false"/>
          <w:bCs w:val="false"/>
          <w:i w:val="false"/>
          <w:iCs w:val="false"/>
          <w:color w:val="333333"/>
          <w:sz w:val="22"/>
          <w:szCs w:val="22"/>
        </w:rPr>
        <w:t xml:space="preserve">Five data domains remain under litigation hold as a direct consequence of the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Management &amp; Ticketing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Confidential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Active — Dec 2022 breach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DD-077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Fabric Service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Confidential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Active — trade secret + breach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DD-029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 &amp; Change Management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Internal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Active — change history investigation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Backup &amp; Disaster Recovery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Confidential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Active — central to class 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DD-063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Ticketing &amp; Support Interaction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Confidential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Active — customer communications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The litigation hold itself becomes a constraint on data operations maturity—data cannot be analyzed for continuous improvement while under legal hold, preventing the organization from leveraging the breach as a learning event to improve future operations.</w:t>
      </w:r>
    </w:p>
    <w:p>
      <w:r>
        <w:br w:type="page"/>
      </w:r>
    </w:p>
    <w:p>
      <w:pPr>
        <w:pStyle w:val="Heading2"/>
        <w:spacing w:after="200" w:before="300"/>
      </w:pPr>
      <w:r>
        <w:rPr>
          <w:rFonts w:ascii="Arial" w:cs="Arial" w:eastAsia="Arial" w:hAnsi="Arial"/>
        </w:rPr>
        <w:t xml:space="preserve">9.5 Theme 5: Automation Ambition vs. Manual Reality</w:t>
      </w:r>
    </w:p>
    <w:p>
      <w:pPr>
        <w:spacing w:after="160" w:line="300"/>
      </w:pPr>
      <w:r>
        <w:rPr>
          <w:rFonts w:ascii="Arial" w:cs="Arial" w:eastAsia="Arial" w:hAnsi="Arial"/>
          <w:b w:val="false"/>
          <w:bCs w:val="false"/>
          <w:i w:val="false"/>
          <w:iCs w:val="false"/>
          <w:color w:val="333333"/>
          <w:sz w:val="22"/>
          <w:szCs w:val="22"/>
        </w:rPr>
        <w:t xml:space="preserve">Rackspace Technology has invested in infrastructure-as-code (IaC) automation platforms: Ansible Automation Platform (sys-086, critical system, Kubespray orchestration, SSH root to all managed hosts) and Terraform Enterprise (sys-088, critical system, multi-cloud IaC for AWS/Azure/OpenStack, HashiCorp Vault integration). These systems represent sophisticated automation capability and are critical to delivering managed services at scale.</w:t>
      </w:r>
    </w:p>
    <w:p>
      <w:pPr>
        <w:spacing w:after="160" w:line="300"/>
      </w:pPr>
      <w:r>
        <w:rPr>
          <w:rFonts w:ascii="Arial" w:cs="Arial" w:eastAsia="Arial" w:hAnsi="Arial"/>
          <w:b w:val="false"/>
          <w:bCs w:val="false"/>
          <w:i w:val="false"/>
          <w:iCs w:val="false"/>
          <w:color w:val="333333"/>
          <w:sz w:val="22"/>
          <w:szCs w:val="22"/>
        </w:rPr>
        <w:t xml:space="preserve">However, the technology risk register notes: 'Estate Incoherence—operates through heroic effort, manual workarounds, vendor tolerance, customer inertia, not through design soundness.' This contradiction between automation capability and manual operational reality is the heart of Capability 8's Score 2.</w:t>
      </w:r>
    </w:p>
    <w:p>
      <w:pPr>
        <w:spacing w:after="160" w:line="300"/>
      </w:pPr>
      <w:r>
        <w:rPr>
          <w:rFonts w:ascii="Arial" w:cs="Arial" w:eastAsia="Arial" w:hAnsi="Arial"/>
          <w:b w:val="false"/>
          <w:bCs w:val="false"/>
          <w:i w:val="false"/>
          <w:iCs w:val="false"/>
          <w:color w:val="333333"/>
          <w:sz w:val="22"/>
          <w:szCs w:val="22"/>
        </w:rPr>
        <w:t xml:space="preserve">The automation vs. manual reality gap manifests in four ways:</w:t>
      </w:r>
    </w:p>
    <w:p>
      <w:pPr>
        <w:pStyle w:val="ListParagraph"/>
        <w:numPr>
          <w:ilvl w:val="0"/>
          <w:numId w:val="2"/>
        </w:numPr>
        <w:spacing w:after="100" w:line="280"/>
      </w:pPr>
      <w:r>
        <w:rPr>
          <w:rFonts w:ascii="Arial" w:cs="Arial" w:eastAsia="Arial" w:hAnsi="Arial"/>
          <w:color w:val="333333"/>
          <w:sz w:val="22"/>
          <w:szCs w:val="22"/>
        </w:rPr>
        <w:t xml:space="preserve">Gap 1: Patch automation is incomplete. POL-049 (Patch Management) requires deployment across all systems. Ansible (sys-086) is capable of orchestrating patches in parallel across hundreds of systems. Yet December 2022 breach revealed patch deployment inconsistency—some systems patched, others not. This suggests either that Ansible automation was not used for the patch (manual deployment used instead), or Ansible was used but with logic that skipped certain systems (e.g., based on outdated CMDB data). Root cause: automation exists but operational consistency is not automated.</w:t>
      </w:r>
    </w:p>
    <w:p>
      <w:pPr>
        <w:pStyle w:val="ListParagraph"/>
        <w:numPr>
          <w:ilvl w:val="0"/>
          <w:numId w:val="2"/>
        </w:numPr>
        <w:spacing w:after="100" w:line="280"/>
      </w:pPr>
      <w:r>
        <w:rPr>
          <w:rFonts w:ascii="Arial" w:cs="Arial" w:eastAsia="Arial" w:hAnsi="Arial"/>
          <w:color w:val="333333"/>
          <w:sz w:val="22"/>
          <w:szCs w:val="22"/>
        </w:rPr>
        <w:t xml:space="preserve">Gap 2: Change deployment is manual-validated. When changes are approved by CAB (POL-058, CTL-154), deployment to Ansible (sys-086) or Terraform (sys-088) is executed. However, validation that deployment completed correctly is manual—Monitoring Engineer (role-196) must verify system metrics, log entries, and customer experience post-deployment. If validation fails, rollback is manual. No automated validation triggers automatic rollback for failed deployments. Change closures are delayed 1-3 days pending manual verification.</w:t>
      </w:r>
    </w:p>
    <w:p>
      <w:pPr>
        <w:pStyle w:val="ListParagraph"/>
        <w:numPr>
          <w:ilvl w:val="0"/>
          <w:numId w:val="2"/>
        </w:numPr>
        <w:spacing w:after="100" w:line="280"/>
      </w:pPr>
      <w:r>
        <w:rPr>
          <w:rFonts w:ascii="Arial" w:cs="Arial" w:eastAsia="Arial" w:hAnsi="Arial"/>
          <w:color w:val="333333"/>
          <w:sz w:val="22"/>
          <w:szCs w:val="22"/>
        </w:rPr>
        <w:t xml:space="preserve">Gap 3: Configuration drift is quarterly-manual, not continuous-automated. Ansible and Terraform represent the intended infrastructure state (Infrastructure as Code). Actual infrastructure drifts from this state as manual configuration changes are made (developer hotfixes, emergency changes not tracked in IaC). Detecting and correcting drift is a quarterly manual process, not continuous automation. CMDB completeness suffers (65-70%) because drift detection is infrequent. This allows a wide compliance gap between intended and actual.</w:t>
      </w:r>
    </w:p>
    <w:p>
      <w:pPr>
        <w:pStyle w:val="ListParagraph"/>
        <w:numPr>
          <w:ilvl w:val="0"/>
          <w:numId w:val="2"/>
        </w:numPr>
        <w:spacing w:after="100" w:line="280"/>
      </w:pPr>
      <w:r>
        <w:rPr>
          <w:rFonts w:ascii="Arial" w:cs="Arial" w:eastAsia="Arial" w:hAnsi="Arial"/>
          <w:color w:val="333333"/>
          <w:sz w:val="22"/>
          <w:szCs w:val="22"/>
        </w:rPr>
        <w:t xml:space="preserve">Gap 4: Incident remediation is triggered manually, not automated. When Moogsoft (AIOps) identifies a known problem pattern (e.g., 'disk partition full causes timeout'), alert is generated. Automated remediation (e.g., 'run Ansible playbook to archive logs and free space') requires manual approval from on-call operator. MTTR is extended because automation is available but gated on human interaction. The intent of AIOps is removed.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AUTOMATION CAPABILITY VS. OPERATIONAL REALITY GAP</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AUTOMATION CAPABILITY:          OPERATIONAL REALITY:</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Ansible sys-086                 Patch deployment     inconsistent</w:t>
      </w:r>
    </w:p>
    <w:p>
      <w:pPr>
        <w:spacing w:after="0" w:line="240"/>
      </w:pPr>
      <w:r>
        <w:rPr>
          <w:rFonts w:ascii="Courier New" w:cs="Courier New" w:eastAsia="Courier New" w:hAnsi="Courier New"/>
          <w:color w:val="1B3A5C"/>
          <w:sz w:val="16"/>
          <w:szCs w:val="16"/>
        </w:rPr>
        <w:t xml:space="preserve">  (Kubespray orchestration,       (Some systems patched,</w:t>
      </w:r>
    </w:p>
    <w:p>
      <w:pPr>
        <w:spacing w:after="0" w:line="240"/>
      </w:pPr>
      <w:r>
        <w:rPr>
          <w:rFonts w:ascii="Courier New" w:cs="Courier New" w:eastAsia="Courier New" w:hAnsi="Courier New"/>
          <w:color w:val="1B3A5C"/>
          <w:sz w:val="16"/>
          <w:szCs w:val="16"/>
        </w:rPr>
        <w:t xml:space="preserve">   SSH root to all hosts)         others not)</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Patches in parallel         Heroic effort required to resolve</w:t>
      </w:r>
    </w:p>
    <w:p>
      <w:pPr>
        <w:spacing w:after="0" w:line="240"/>
      </w:pPr>
      <w:r>
        <w:rPr>
          <w:rFonts w:ascii="Courier New" w:cs="Courier New" w:eastAsia="Courier New" w:hAnsi="Courier New"/>
          <w:color w:val="1B3A5C"/>
          <w:sz w:val="16"/>
          <w:szCs w:val="16"/>
        </w:rPr>
        <w:t xml:space="preserve">   across 100s of systems              ↓</w:t>
      </w:r>
    </w:p>
    <w:p>
      <w:pPr>
        <w:spacing w:after="0" w:line="240"/>
      </w:pPr>
      <w:r>
        <w:rPr>
          <w:rFonts w:ascii="Courier New" w:cs="Courier New" w:eastAsia="Courier New" w:hAnsi="Courier New"/>
          <w:color w:val="1B3A5C"/>
          <w:sz w:val="16"/>
          <w:szCs w:val="16"/>
        </w:rPr>
        <w:t xml:space="preserve">                               December 2022 breach (unpatched)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Terraform sys-088               Change validation   manual</w:t>
      </w:r>
    </w:p>
    <w:p>
      <w:pPr>
        <w:spacing w:after="0" w:line="240"/>
      </w:pPr>
      <w:r>
        <w:rPr>
          <w:rFonts w:ascii="Courier New" w:cs="Courier New" w:eastAsia="Courier New" w:hAnsi="Courier New"/>
          <w:color w:val="1B3A5C"/>
          <w:sz w:val="16"/>
          <w:szCs w:val="16"/>
        </w:rPr>
        <w:t xml:space="preserve">  (Multi-cloud IaC,               (Operator must verify</w:t>
      </w:r>
    </w:p>
    <w:p>
      <w:pPr>
        <w:spacing w:after="0" w:line="240"/>
      </w:pPr>
      <w:r>
        <w:rPr>
          <w:rFonts w:ascii="Courier New" w:cs="Courier New" w:eastAsia="Courier New" w:hAnsi="Courier New"/>
          <w:color w:val="1B3A5C"/>
          <w:sz w:val="16"/>
          <w:szCs w:val="16"/>
        </w:rPr>
        <w:t xml:space="preserve">   AWS/Azure/OpenStack)           deployment succeeded,</w:t>
      </w:r>
    </w:p>
    <w:p>
      <w:pPr>
        <w:spacing w:after="0" w:line="240"/>
      </w:pPr>
      <w:r>
        <w:rPr>
          <w:rFonts w:ascii="Courier New" w:cs="Courier New" w:eastAsia="Courier New" w:hAnsi="Courier New"/>
          <w:color w:val="1B3A5C"/>
          <w:sz w:val="16"/>
          <w:szCs w:val="16"/>
        </w:rPr>
        <w:t xml:space="preserve">         ↓                        1-3 days post-change)</w:t>
      </w:r>
    </w:p>
    <w:p>
      <w:pPr>
        <w:spacing w:after="0" w:line="240"/>
      </w:pPr>
      <w:r>
        <w:rPr>
          <w:rFonts w:ascii="Courier New" w:cs="Courier New" w:eastAsia="Courier New" w:hAnsi="Courier New"/>
          <w:color w:val="1B3A5C"/>
          <w:sz w:val="16"/>
          <w:szCs w:val="16"/>
        </w:rPr>
        <w:t xml:space="preserve">   Atomic infrastructure              ↓</w:t>
      </w:r>
    </w:p>
    <w:p>
      <w:pPr>
        <w:spacing w:after="0" w:line="240"/>
      </w:pPr>
      <w:r>
        <w:rPr>
          <w:rFonts w:ascii="Courier New" w:cs="Courier New" w:eastAsia="Courier New" w:hAnsi="Courier New"/>
          <w:color w:val="1B3A5C"/>
          <w:sz w:val="16"/>
          <w:szCs w:val="16"/>
        </w:rPr>
        <w:t xml:space="preserve">   code deployment               CMDB 1-3 days stale</w:t>
      </w:r>
    </w:p>
    <w:p>
      <w:pPr>
        <w:spacing w:after="0" w:line="240"/>
      </w:pPr>
      <w:r>
        <w:rPr>
          <w:rFonts w:ascii="Courier New" w:cs="Courier New" w:eastAsia="Courier New" w:hAnsi="Courier New"/>
          <w:color w:val="1B3A5C"/>
          <w:sz w:val="16"/>
          <w:szCs w:val="16"/>
        </w:rPr>
        <w:t xml:space="preserve">   with rollback                 (Change data diverges from reality)</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Moogsoft AIOps                  Incident remediation manual</w:t>
      </w:r>
    </w:p>
    <w:p>
      <w:pPr>
        <w:spacing w:after="0" w:line="240"/>
      </w:pPr>
      <w:r>
        <w:rPr>
          <w:rFonts w:ascii="Courier New" w:cs="Courier New" w:eastAsia="Courier New" w:hAnsi="Courier New"/>
          <w:color w:val="1B3A5C"/>
          <w:sz w:val="16"/>
          <w:szCs w:val="16"/>
        </w:rPr>
        <w:t xml:space="preserve">  (Real-time anomaly             (Alert triggered, but operator</w:t>
      </w:r>
    </w:p>
    <w:p>
      <w:pPr>
        <w:spacing w:after="0" w:line="240"/>
      </w:pPr>
      <w:r>
        <w:rPr>
          <w:rFonts w:ascii="Courier New" w:cs="Courier New" w:eastAsia="Courier New" w:hAnsi="Courier New"/>
          <w:color w:val="1B3A5C"/>
          <w:sz w:val="16"/>
          <w:szCs w:val="16"/>
        </w:rPr>
        <w:t xml:space="preserve">   detection, known pattern       must manually execute Ansible</w:t>
      </w:r>
    </w:p>
    <w:p>
      <w:pPr>
        <w:spacing w:after="0" w:line="240"/>
      </w:pPr>
      <w:r>
        <w:rPr>
          <w:rFonts w:ascii="Courier New" w:cs="Courier New" w:eastAsia="Courier New" w:hAnsi="Courier New"/>
          <w:color w:val="1B3A5C"/>
          <w:sz w:val="16"/>
          <w:szCs w:val="16"/>
        </w:rPr>
        <w:t xml:space="preserve">   correlation)                  playbook—automation not autonomous)</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Automated problem             MTTR extended by human gate</w:t>
      </w:r>
    </w:p>
    <w:p>
      <w:pPr>
        <w:spacing w:after="0" w:line="240"/>
      </w:pPr>
      <w:r>
        <w:rPr>
          <w:rFonts w:ascii="Courier New" w:cs="Courier New" w:eastAsia="Courier New" w:hAnsi="Courier New"/>
          <w:color w:val="1B3A5C"/>
          <w:sz w:val="16"/>
          <w:szCs w:val="16"/>
        </w:rPr>
        <w:t xml:space="preserve">   root cause identification          (5-60 min latency in response)</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VERDICT: Automation exists as capabilities (can do),</w:t>
      </w:r>
    </w:p>
    <w:p>
      <w:pPr>
        <w:spacing w:after="0" w:line="240"/>
      </w:pPr>
      <w:r>
        <w:rPr>
          <w:rFonts w:ascii="Courier New" w:cs="Courier New" w:eastAsia="Courier New" w:hAnsi="Courier New"/>
          <w:color w:val="1B3A5C"/>
          <w:sz w:val="16"/>
          <w:szCs w:val="16"/>
        </w:rPr>
        <w:t xml:space="preserve">           but not as autonomous operations (does do).</w:t>
      </w:r>
    </w:p>
    <w:p>
      <w:pPr>
        <w:spacing w:after="0" w:line="240"/>
      </w:pPr>
      <w:r>
        <w:rPr>
          <w:rFonts w:ascii="Courier New" w:cs="Courier New" w:eastAsia="Courier New" w:hAnsi="Courier New"/>
          <w:color w:val="1B3A5C"/>
          <w:sz w:val="16"/>
          <w:szCs w:val="16"/>
        </w:rPr>
        <w:t xml:space="preserve">           Organization unable to operationalize at scale.</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Root Cause: Risk aversion and lack of automation governance. Automation governance (role-117, Automation Engineer, $110K, elevated, privileged) is individual specialist expertise, not enterprise-wide policy. When an automation solution is proposed (e.g., 'automatically trigger incident remediation for known problem patterns'), approval requires manual exception cases, conditions, and rollback procedures. Each exception adds complexity. The automation is shelved in favor of the known-good manual process. The paradox: the organization has invested in automation platforms but lacks governance confidence to operationalize them at full autonomy.</w:t>
      </w:r>
    </w:p>
    <w:p>
      <w:pPr>
        <w:spacing w:after="160" w:line="300"/>
      </w:pPr>
      <w:r>
        <w:rPr>
          <w:rFonts w:ascii="Arial" w:cs="Arial" w:eastAsia="Arial" w:hAnsi="Arial"/>
          <w:b w:val="false"/>
          <w:bCs w:val="false"/>
          <w:i w:val="false"/>
          <w:iCs w:val="false"/>
          <w:color w:val="333333"/>
          <w:sz w:val="22"/>
          <w:szCs w:val="22"/>
        </w:rPr>
        <w:t xml:space="preserve">Score Implication: Automation capability (Terraform, Ansible, Moogsoft) would elevate Capability 8 to Score 4 (Optimized) if operationalized. Yet the operational reality remains at Score 2 because the organization cannot operationalize automation at the required scale and autonomy. The gap between technical capability and operational utilization is the defining characteristic of Score 2.</w:t>
      </w:r>
    </w:p>
    <w:p>
      <w:r>
        <w:br w:type="page"/>
      </w:r>
    </w:p>
    <w:p>
      <w:pPr>
        <w:pStyle w:val="Heading2"/>
        <w:spacing w:after="200" w:before="300"/>
      </w:pPr>
      <w:r>
        <w:rPr>
          <w:rFonts w:ascii="Arial" w:cs="Arial" w:eastAsia="Arial" w:hAnsi="Arial"/>
        </w:rPr>
        <w:t xml:space="preserve">9.6 Theme 6: The 40+ Location CMDB Challenge</w:t>
      </w:r>
    </w:p>
    <w:p>
      <w:pPr>
        <w:spacing w:after="160" w:line="300"/>
      </w:pPr>
      <w:r>
        <w:rPr>
          <w:rFonts w:ascii="Arial" w:cs="Arial" w:eastAsia="Arial" w:hAnsi="Arial"/>
          <w:b w:val="false"/>
          <w:bCs w:val="false"/>
          <w:i w:val="false"/>
          <w:iCs w:val="false"/>
          <w:color w:val="333333"/>
          <w:sz w:val="22"/>
          <w:szCs w:val="22"/>
        </w:rPr>
        <w:t xml:space="preserve">DC Operations (dept-054, $2.75M, 25 HC) manages configuration and infrastructure across 40+ global data center locations spanning US, UK, EU, APAC regions (OU-042: Org Unit for Data Center Operations). The Configuration Management Database (CMDB, embedded in ServiceNow sys-100, da-096, 220GB) is designed to maintain authoritative inventory of all infrastructure: physical servers, network equipment, storage systems, virtual machines, software applications, and dependency relationships.</w:t>
      </w:r>
    </w:p>
    <w:p>
      <w:pPr>
        <w:spacing w:after="160" w:line="300"/>
      </w:pPr>
      <w:r>
        <w:rPr>
          <w:rFonts w:ascii="Arial" w:cs="Arial" w:eastAsia="Arial" w:hAnsi="Arial"/>
          <w:b w:val="false"/>
          <w:bCs w:val="false"/>
          <w:i w:val="false"/>
          <w:iCs w:val="false"/>
          <w:color w:val="333333"/>
          <w:sz w:val="22"/>
          <w:szCs w:val="22"/>
        </w:rPr>
        <w:t xml:space="preserve">Configuration Management is governed by four controls and one policy:</w:t>
      </w:r>
    </w:p>
    <w:p>
      <w:pPr>
        <w:pStyle w:val="ListParagraph"/>
        <w:numPr>
          <w:ilvl w:val="0"/>
          <w:numId w:val="2"/>
        </w:numPr>
        <w:spacing w:after="100" w:line="280"/>
      </w:pPr>
      <w:r>
        <w:rPr>
          <w:rFonts w:ascii="Arial" w:cs="Arial" w:eastAsia="Arial" w:hAnsi="Arial"/>
          <w:color w:val="333333"/>
          <w:sz w:val="22"/>
          <w:szCs w:val="22"/>
        </w:rPr>
        <w:t xml:space="preserve">CTL-160: Configuration Management Plan (NIST CM-9, plans for CM activities)</w:t>
      </w:r>
    </w:p>
    <w:p>
      <w:pPr>
        <w:pStyle w:val="ListParagraph"/>
        <w:numPr>
          <w:ilvl w:val="0"/>
          <w:numId w:val="2"/>
        </w:numPr>
        <w:spacing w:after="100" w:line="280"/>
      </w:pPr>
      <w:r>
        <w:rPr>
          <w:rFonts w:ascii="Arial" w:cs="Arial" w:eastAsia="Arial" w:hAnsi="Arial"/>
          <w:color w:val="333333"/>
          <w:sz w:val="22"/>
          <w:szCs w:val="22"/>
        </w:rPr>
        <w:t xml:space="preserve">CTL-152: Configuration Management Policy (NIST CM-1, policy statement)</w:t>
      </w:r>
    </w:p>
    <w:p>
      <w:pPr>
        <w:pStyle w:val="ListParagraph"/>
        <w:numPr>
          <w:ilvl w:val="0"/>
          <w:numId w:val="2"/>
        </w:numPr>
        <w:spacing w:after="100" w:line="280"/>
      </w:pPr>
      <w:r>
        <w:rPr>
          <w:rFonts w:ascii="Arial" w:cs="Arial" w:eastAsia="Arial" w:hAnsi="Arial"/>
          <w:color w:val="333333"/>
          <w:sz w:val="22"/>
          <w:szCs w:val="22"/>
        </w:rPr>
        <w:t xml:space="preserve">CTL-154: Configuration Change Control (NIST CM-3, CAB process, ITIL 4, ServiceNow-based)</w:t>
      </w:r>
    </w:p>
    <w:p>
      <w:pPr>
        <w:pStyle w:val="ListParagraph"/>
        <w:numPr>
          <w:ilvl w:val="0"/>
          <w:numId w:val="2"/>
        </w:numPr>
        <w:spacing w:after="100" w:line="280"/>
      </w:pPr>
      <w:r>
        <w:rPr>
          <w:rFonts w:ascii="Arial" w:cs="Arial" w:eastAsia="Arial" w:hAnsi="Arial"/>
          <w:color w:val="333333"/>
          <w:sz w:val="22"/>
          <w:szCs w:val="22"/>
        </w:rPr>
        <w:t xml:space="preserve">CTL-157: Configuration Settings (NIST CM-6, CIS Benchmarks enforcement)</w:t>
      </w:r>
    </w:p>
    <w:p>
      <w:pPr>
        <w:pStyle w:val="ListParagraph"/>
        <w:numPr>
          <w:ilvl w:val="0"/>
          <w:numId w:val="2"/>
        </w:numPr>
        <w:spacing w:after="100" w:line="280"/>
      </w:pPr>
      <w:r>
        <w:rPr>
          <w:rFonts w:ascii="Arial" w:cs="Arial" w:eastAsia="Arial" w:hAnsi="Arial"/>
          <w:color w:val="333333"/>
          <w:sz w:val="22"/>
          <w:szCs w:val="22"/>
        </w:rPr>
        <w:t xml:space="preserve">POL-036: Configuration Management (NIST 800-53 CM compliance framework)</w:t>
      </w:r>
    </w:p>
    <w:p>
      <w:pPr>
        <w:spacing w:after="160" w:line="300"/>
      </w:pPr>
      <w:r>
        <w:rPr>
          <w:rFonts w:ascii="Arial" w:cs="Arial" w:eastAsia="Arial" w:hAnsi="Arial"/>
          <w:b w:val="false"/>
          <w:bCs w:val="false"/>
          <w:i w:val="false"/>
          <w:iCs w:val="false"/>
          <w:color w:val="333333"/>
          <w:sz w:val="22"/>
          <w:szCs w:val="22"/>
        </w:rPr>
        <w:t xml:space="preserve">However, the CMDB completeness is estimated at 65-70%—meaning 30-35% of infrastructure either is not documented or is documented inaccurately. For a global 40+ data center footprint managed by a 25-person team, this incompleteness is operationally dangerous.</w:t>
      </w:r>
    </w:p>
    <w:p>
      <w:pPr>
        <w:spacing w:after="160" w:line="300"/>
      </w:pPr>
      <w:r>
        <w:rPr>
          <w:rFonts w:ascii="Arial" w:cs="Arial" w:eastAsia="Arial" w:hAnsi="Arial"/>
          <w:b w:val="false"/>
          <w:bCs w:val="false"/>
          <w:i w:val="false"/>
          <w:iCs w:val="false"/>
          <w:color w:val="333333"/>
          <w:sz w:val="22"/>
          <w:szCs w:val="22"/>
        </w:rPr>
        <w:t xml:space="preserve">The root cause is configuration incoherence. The technology risk register identifies 'CONTRADICTORY, 8 incoherence dimensions' and notes that the organization 'operates through heroic effort, manual workarounds, vendor tolerance, customer inertia, not through design soundness.' This means:</w:t>
      </w:r>
    </w:p>
    <w:p>
      <w:pPr>
        <w:pStyle w:val="ListParagraph"/>
        <w:numPr>
          <w:ilvl w:val="0"/>
          <w:numId w:val="2"/>
        </w:numPr>
        <w:spacing w:after="100" w:line="280"/>
      </w:pPr>
      <w:r>
        <w:rPr>
          <w:rFonts w:ascii="Arial" w:cs="Arial" w:eastAsia="Arial" w:hAnsi="Arial"/>
          <w:color w:val="333333"/>
          <w:sz w:val="22"/>
          <w:szCs w:val="22"/>
        </w:rPr>
        <w:t xml:space="preserve">Infrastructure decisions have been made ad-hoc, without architecture governance. The technology estate includes AWS (native cloud), Azure (cloud), OpenStack (private cloud), on-premises data centers (bare metal), legacy mainframes (heritage systems), and containers (Kubernetes). No unified architecture prescribes which platform should be used for new workloads or how to migrate existing workloads to consolidate platforms.</w:t>
      </w:r>
    </w:p>
    <w:p>
      <w:pPr>
        <w:pStyle w:val="ListParagraph"/>
        <w:numPr>
          <w:ilvl w:val="0"/>
          <w:numId w:val="2"/>
        </w:numPr>
        <w:spacing w:after="100" w:line="280"/>
      </w:pPr>
      <w:r>
        <w:rPr>
          <w:rFonts w:ascii="Arial" w:cs="Arial" w:eastAsia="Arial" w:hAnsi="Arial"/>
          <w:color w:val="333333"/>
          <w:sz w:val="22"/>
          <w:szCs w:val="22"/>
        </w:rPr>
        <w:t xml:space="preserve">Naming conventions are inconsistent. A server in US DC might be named 'dal-db-01', while the equivalent in UK DC is named 'us-sql-001'. When automation tools (Ansible, Terraform) iterate over inventory lists, naming inconsistency causes scripts to fail or produce unexpected results.</w:t>
      </w:r>
    </w:p>
    <w:p>
      <w:pPr>
        <w:pStyle w:val="ListParagraph"/>
        <w:numPr>
          <w:ilvl w:val="0"/>
          <w:numId w:val="2"/>
        </w:numPr>
        <w:spacing w:after="100" w:line="280"/>
      </w:pPr>
      <w:r>
        <w:rPr>
          <w:rFonts w:ascii="Arial" w:cs="Arial" w:eastAsia="Arial" w:hAnsi="Arial"/>
          <w:color w:val="333333"/>
          <w:sz w:val="22"/>
          <w:szCs w:val="22"/>
        </w:rPr>
        <w:t xml:space="preserve">Baseline configurations are not standardized. A CentOS 7 server in the US might have 50 packages installed, while an equivalent server in EU has 60 packages. When patches are deployed, one environment experiences package conflicts while another does not. Change management impact assessment becomes probabilistic.</w:t>
      </w:r>
    </w:p>
    <w:p>
      <w:pPr>
        <w:pStyle w:val="ListParagraph"/>
        <w:numPr>
          <w:ilvl w:val="0"/>
          <w:numId w:val="2"/>
        </w:numPr>
        <w:spacing w:after="100" w:line="280"/>
      </w:pPr>
      <w:r>
        <w:rPr>
          <w:rFonts w:ascii="Arial" w:cs="Arial" w:eastAsia="Arial" w:hAnsi="Arial"/>
          <w:color w:val="333333"/>
          <w:sz w:val="22"/>
          <w:szCs w:val="22"/>
        </w:rPr>
        <w:t xml:space="preserve">Configuration baseline documentation lags reality. CMDB has baseline configuration recorded for a system, but the actual running system has drifted through manual patches, emergency fixes, and ad-hoc workarounds. CMDB data quality degrades continuously unless drift detection is frequent.</w:t>
      </w:r>
    </w:p>
    <w:p>
      <w:pPr>
        <w:spacing w:after="160" w:line="300"/>
      </w:pPr>
      <w:r>
        <w:rPr>
          <w:rFonts w:ascii="Arial" w:cs="Arial" w:eastAsia="Arial" w:hAnsi="Arial"/>
          <w:b w:val="false"/>
          <w:bCs w:val="false"/>
          <w:i w:val="false"/>
          <w:iCs w:val="false"/>
          <w:color w:val="333333"/>
          <w:sz w:val="22"/>
          <w:szCs w:val="22"/>
        </w:rPr>
        <w:t xml:space="preserve">The consequence is that while Configuration Management governance exists (POL-036, CTL-160, CTL-152, CTL-154, CTL-157), the actual configuration database is incomplete and inconsistent. Change advisory boards (CAB) cannot accurately assess change impact because configuration visibility is incomplete. Automation tools cannot reliably deploy changes because baseline configurations are not enforced.</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40+ GLOBAL DATA CENTERS, CMDB 65-70% COMPLETE</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GEOGRAPHY:              CMDB COMPLETENESS:        CONFIGURATION INCOHERENCE:</w:t>
      </w:r>
    </w:p>
    <w:p>
      <w:pPr>
        <w:spacing w:after="0" w:line="240"/>
      </w:pPr>
      <w:r>
        <w:rPr>
          <w:rFonts w:ascii="Courier New" w:cs="Courier New" w:eastAsia="Courier New" w:hAnsi="Courier New"/>
          <w:color w:val="1B3A5C"/>
          <w:sz w:val="16"/>
          <w:szCs w:val="16"/>
        </w:rPr>
        <w:t xml:space="preserve">   US (15 DCs)             Estimated 65-70%          8 dimensions contradictory</w:t>
      </w:r>
    </w:p>
    <w:p>
      <w:pPr>
        <w:spacing w:after="0" w:line="240"/>
      </w:pPr>
      <w:r>
        <w:rPr>
          <w:rFonts w:ascii="Courier New" w:cs="Courier New" w:eastAsia="Courier New" w:hAnsi="Courier New"/>
          <w:color w:val="1B3A5C"/>
          <w:sz w:val="16"/>
          <w:szCs w:val="16"/>
        </w:rPr>
        <w:t xml:space="preserve">   ├─ Dallas               ↓                         ├─ AWS vs. Azure vs.</w:t>
      </w:r>
    </w:p>
    <w:p>
      <w:pPr>
        <w:spacing w:after="0" w:line="240"/>
      </w:pPr>
      <w:r>
        <w:rPr>
          <w:rFonts w:ascii="Courier New" w:cs="Courier New" w:eastAsia="Courier New" w:hAnsi="Courier New"/>
          <w:color w:val="1B3A5C"/>
          <w:sz w:val="16"/>
          <w:szCs w:val="16"/>
        </w:rPr>
        <w:t xml:space="preserve">   ├─ Houston              30-35% missing/            │   OpenStack vs. bare-metal</w:t>
      </w:r>
    </w:p>
    <w:p>
      <w:pPr>
        <w:spacing w:after="0" w:line="240"/>
      </w:pPr>
      <w:r>
        <w:rPr>
          <w:rFonts w:ascii="Courier New" w:cs="Courier New" w:eastAsia="Courier New" w:hAnsi="Courier New"/>
          <w:color w:val="1B3A5C"/>
          <w:sz w:val="16"/>
          <w:szCs w:val="16"/>
        </w:rPr>
        <w:t xml:space="preserve">   ├─ Chicago              inaccurate data           ├─ Naming: dal-db-01 vs.</w:t>
      </w:r>
    </w:p>
    <w:p>
      <w:pPr>
        <w:spacing w:after="0" w:line="240"/>
      </w:pPr>
      <w:r>
        <w:rPr>
          <w:rFonts w:ascii="Courier New" w:cs="Courier New" w:eastAsia="Courier New" w:hAnsi="Courier New"/>
          <w:color w:val="1B3A5C"/>
          <w:sz w:val="16"/>
          <w:szCs w:val="16"/>
        </w:rPr>
        <w:t xml:space="preserve">   ├─ New York                                        │   us-sql-001 inconsistent</w:t>
      </w:r>
    </w:p>
    <w:p>
      <w:pPr>
        <w:spacing w:after="0" w:line="240"/>
      </w:pPr>
      <w:r>
        <w:rPr>
          <w:rFonts w:ascii="Courier New" w:cs="Courier New" w:eastAsia="Courier New" w:hAnsi="Courier New"/>
          <w:color w:val="1B3A5C"/>
          <w:sz w:val="16"/>
          <w:szCs w:val="16"/>
        </w:rPr>
        <w:t xml:space="preserve">   └─ 11 others            ↓                         ├─ Baselines not standardized</w:t>
      </w:r>
    </w:p>
    <w:p>
      <w:pPr>
        <w:spacing w:after="0" w:line="240"/>
      </w:pPr>
      <w:r>
        <w:rPr>
          <w:rFonts w:ascii="Courier New" w:cs="Courier New" w:eastAsia="Courier New" w:hAnsi="Courier New"/>
          <w:color w:val="1B3A5C"/>
          <w:sz w:val="16"/>
          <w:szCs w:val="16"/>
        </w:rPr>
        <w:t xml:space="preserve">                           Drift detection           ├─ Manual workarounds</w:t>
      </w:r>
    </w:p>
    <w:p>
      <w:pPr>
        <w:spacing w:after="0" w:line="240"/>
      </w:pPr>
      <w:r>
        <w:rPr>
          <w:rFonts w:ascii="Courier New" w:cs="Courier New" w:eastAsia="Courier New" w:hAnsi="Courier New"/>
          <w:color w:val="1B3A5C"/>
          <w:sz w:val="16"/>
          <w:szCs w:val="16"/>
        </w:rPr>
        <w:t xml:space="preserve">   UK (8 DCs)              Quarterly (manual)        ├─ Heroic effort, not design</w:t>
      </w:r>
    </w:p>
    <w:p>
      <w:pPr>
        <w:spacing w:after="0" w:line="240"/>
      </w:pPr>
      <w:r>
        <w:rPr>
          <w:rFonts w:ascii="Courier New" w:cs="Courier New" w:eastAsia="Courier New" w:hAnsi="Courier New"/>
          <w:color w:val="1B3A5C"/>
          <w:sz w:val="16"/>
          <w:szCs w:val="16"/>
        </w:rPr>
        <w:t xml:space="preserve">   ├─ London                                         └─ Vendor tolerance, not</w:t>
      </w:r>
    </w:p>
    <w:p>
      <w:pPr>
        <w:spacing w:after="0" w:line="240"/>
      </w:pPr>
      <w:r>
        <w:rPr>
          <w:rFonts w:ascii="Courier New" w:cs="Courier New" w:eastAsia="Courier New" w:hAnsi="Courier New"/>
          <w:color w:val="1B3A5C"/>
          <w:sz w:val="16"/>
          <w:szCs w:val="16"/>
        </w:rPr>
        <w:t xml:space="preserve">   └─ Others               ↓                            architecture governance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EU (12 DCs)             Change impact             CONSEQUENCE:</w:t>
      </w:r>
    </w:p>
    <w:p>
      <w:pPr>
        <w:spacing w:after="0" w:line="240"/>
      </w:pPr>
      <w:r>
        <w:rPr>
          <w:rFonts w:ascii="Courier New" w:cs="Courier New" w:eastAsia="Courier New" w:hAnsi="Courier New"/>
          <w:color w:val="1B3A5C"/>
          <w:sz w:val="16"/>
          <w:szCs w:val="16"/>
        </w:rPr>
        <w:t xml:space="preserve">   └─ Various              assessment degraded      • CAB cannot assess impact</w:t>
      </w:r>
    </w:p>
    <w:p>
      <w:pPr>
        <w:spacing w:after="0" w:line="240"/>
      </w:pPr>
      <w:r>
        <w:rPr>
          <w:rFonts w:ascii="Courier New" w:cs="Courier New" w:eastAsia="Courier New" w:hAnsi="Courier New"/>
          <w:color w:val="1B3A5C"/>
          <w:sz w:val="16"/>
          <w:szCs w:val="16"/>
        </w:rPr>
        <w:t xml:space="preserve">                           (unknown configs)        • Automation unreliable</w:t>
      </w:r>
    </w:p>
    <w:p>
      <w:pPr>
        <w:spacing w:after="0" w:line="240"/>
      </w:pPr>
      <w:r>
        <w:rPr>
          <w:rFonts w:ascii="Courier New" w:cs="Courier New" w:eastAsia="Courier New" w:hAnsi="Courier New"/>
          <w:color w:val="1B3A5C"/>
          <w:sz w:val="16"/>
          <w:szCs w:val="16"/>
        </w:rPr>
        <w:t xml:space="preserve">   APAC (5+ DCs)                                     • Patch deployment inconsistent</w:t>
      </w:r>
    </w:p>
    <w:p>
      <w:pPr>
        <w:spacing w:after="0" w:line="240"/>
      </w:pPr>
      <w:r>
        <w:rPr>
          <w:rFonts w:ascii="Courier New" w:cs="Courier New" w:eastAsia="Courier New" w:hAnsi="Courier New"/>
          <w:color w:val="1B3A5C"/>
          <w:sz w:val="16"/>
          <w:szCs w:val="16"/>
        </w:rPr>
        <w:t xml:space="preserve">   └─ Singapore, etc       ↓                         • Risk of unintended changes</w:t>
      </w:r>
    </w:p>
    <w:p>
      <w:pPr>
        <w:spacing w:after="0" w:line="240"/>
      </w:pPr>
      <w:r>
        <w:rPr>
          <w:rFonts w:ascii="Courier New" w:cs="Courier New" w:eastAsia="Courier New" w:hAnsi="Courier New"/>
          <w:color w:val="1B3A5C"/>
          <w:sz w:val="16"/>
          <w:szCs w:val="16"/>
        </w:rPr>
        <w:t xml:space="preserve">                           CVE-2022-41080           • 40+ DCs → 30-35% blind</w:t>
      </w:r>
    </w:p>
    <w:p>
      <w:pPr>
        <w:spacing w:after="0" w:line="240"/>
      </w:pPr>
      <w:r>
        <w:rPr>
          <w:rFonts w:ascii="Courier New" w:cs="Courier New" w:eastAsia="Courier New" w:hAnsi="Courier New"/>
          <w:color w:val="1B3A5C"/>
          <w:sz w:val="16"/>
          <w:szCs w:val="16"/>
        </w:rPr>
        <w:t xml:space="preserve">                           patch inconsistency</w:t>
      </w:r>
    </w:p>
    <w:p>
      <w:pPr>
        <w:spacing w:after="0" w:line="240"/>
      </w:pPr>
      <w:r>
        <w:rPr>
          <w:rFonts w:ascii="Courier New" w:cs="Courier New" w:eastAsia="Courier New" w:hAnsi="Courier New"/>
          <w:color w:val="1B3A5C"/>
          <w:sz w:val="16"/>
          <w:szCs w:val="16"/>
        </w:rPr>
        <w:t xml:space="preserve">                           across DCs (PROVEN)</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DD-029: Configuration and Change Management Data</w:t>
      </w:r>
    </w:p>
    <w:p>
      <w:pPr>
        <w:spacing w:after="0" w:line="240"/>
      </w:pPr>
      <w:r>
        <w:rPr>
          <w:rFonts w:ascii="Courier New" w:cs="Courier New" w:eastAsia="Courier New" w:hAnsi="Courier New"/>
          <w:color w:val="1B3A5C"/>
          <w:sz w:val="16"/>
          <w:szCs w:val="16"/>
        </w:rPr>
        <w:t xml:space="preserve">   Strategic value: &gt;\$500K per employee</w:t>
      </w:r>
    </w:p>
    <w:p>
      <w:pPr>
        <w:spacing w:after="0" w:line="240"/>
      </w:pPr>
      <w:r>
        <w:rPr>
          <w:rFonts w:ascii="Courier New" w:cs="Courier New" w:eastAsia="Courier New" w:hAnsi="Courier New"/>
          <w:color w:val="1B3A5C"/>
          <w:sz w:val="16"/>
          <w:szCs w:val="16"/>
        </w:rPr>
        <w:t xml:space="preserve">   Status: Under litigation hold (trade secret implications)</w:t>
      </w:r>
    </w:p>
    <w:p>
      <w:pPr>
        <w:spacing w:after="0" w:line="240"/>
      </w:pPr>
      <w:r>
        <w:rPr>
          <w:rFonts w:ascii="Courier New" w:cs="Courier New" w:eastAsia="Courier New" w:hAnsi="Courier New"/>
          <w:color w:val="1B3A5C"/>
          <w:sz w:val="16"/>
          <w:szCs w:val="16"/>
        </w:rPr>
        <w:t xml:space="preserve">   Constraint: Cannot be analyzed post-breach for continuous improvement</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Score Implication: Configuration Management governance exists (Score &gt;1) but operational completeness is 65-70% (Score &lt;3). A fully operationalized configuration management system would maintain 95%+ CMDB completeness, continuous drift detection, and automated configuration consistency enforcement. Rackspace's CMDB is deteriorating (not improving) due to the incoherence of the technology estate and the inability of a 25-person team to maintain 40+ global data centers at full accuracy.</w:t>
      </w:r>
    </w:p>
    <w:p>
      <w:r>
        <w:br w:type="page"/>
      </w:r>
    </w:p>
    <w:p>
      <w:pPr>
        <w:pStyle w:val="Heading2"/>
        <w:spacing w:after="200" w:before="300"/>
      </w:pPr>
      <w:r>
        <w:rPr>
          <w:rFonts w:ascii="Arial" w:cs="Arial" w:eastAsia="Arial" w:hAnsi="Arial"/>
        </w:rPr>
        <w:t xml:space="preserve">9.7 Theme 7: Backup as Business Strategy—From Breach Liability to Revenue Product</w:t>
      </w:r>
    </w:p>
    <w:p>
      <w:pPr>
        <w:spacing w:after="160" w:line="300"/>
      </w:pPr>
      <w:r>
        <w:rPr>
          <w:rFonts w:ascii="Arial" w:cs="Arial" w:eastAsia="Arial" w:hAnsi="Arial"/>
          <w:b w:val="false"/>
          <w:bCs w:val="false"/>
          <w:i w:val="false"/>
          <w:iCs w:val="false"/>
          <w:color w:val="333333"/>
          <w:sz w:val="22"/>
          <w:szCs w:val="22"/>
        </w:rPr>
        <w:t xml:space="preserve">Backup and Disaster Recovery represent a profound transformation in Rackspace's operational capability and strategic positioning, visible in the progression from December 2022 vulnerability to November 2024 product offering.</w:t>
      </w:r>
    </w:p>
    <w:p>
      <w:pPr>
        <w:spacing w:after="160" w:line="300"/>
      </w:pPr>
      <w:r>
        <w:rPr>
          <w:rFonts w:ascii="Arial" w:cs="Arial" w:eastAsia="Arial" w:hAnsi="Arial"/>
          <w:b w:val="false"/>
          <w:bCs w:val="false"/>
          <w:i w:val="false"/>
          <w:iCs w:val="false"/>
          <w:color w:val="333333"/>
          <w:sz w:val="22"/>
          <w:szCs w:val="22"/>
        </w:rPr>
        <w:t xml:space="preserve">Pre-Breach State (December 2022):</w:t>
      </w:r>
    </w:p>
    <w:p>
      <w:pPr>
        <w:pStyle w:val="ListParagraph"/>
        <w:numPr>
          <w:ilvl w:val="0"/>
          <w:numId w:val="2"/>
        </w:numPr>
        <w:spacing w:after="100" w:line="280"/>
      </w:pPr>
      <w:r>
        <w:rPr>
          <w:rFonts w:ascii="Arial" w:cs="Arial" w:eastAsia="Arial" w:hAnsi="Arial"/>
          <w:color w:val="333333"/>
          <w:sz w:val="22"/>
          <w:szCs w:val="22"/>
        </w:rPr>
        <w:t xml:space="preserve">DD-048 (Backup &amp; Disaster Recovery Data) existed but lacked immutable, air-gapped backup infrastructure for all critical systems. Hosted Exchange data (the affected system in RSK-00001 breach) had no immutable backup available. POL-034 (Backup &amp; Recovery, ISO 27001) and CTL-034 (Backup &amp; Recovery Operations) prescribed backup creation, but operationalization was incomplete. When ransomware encrypted data, recovery was impossible because backup infrastructure was absent. The class action litigation specifically alleges 'absence of immutable backups for affected PST archives is central to class action allegations.' Backup was an operational liability.</w:t>
      </w:r>
    </w:p>
    <w:p>
      <w:pPr>
        <w:spacing w:after="160" w:line="300"/>
      </w:pPr>
      <w:r>
        <w:rPr>
          <w:rFonts w:ascii="Arial" w:cs="Arial" w:eastAsia="Arial" w:hAnsi="Arial"/>
          <w:b w:val="false"/>
          <w:bCs w:val="false"/>
          <w:i w:val="false"/>
          <w:iCs w:val="false"/>
          <w:color w:val="333333"/>
          <w:sz w:val="22"/>
          <w:szCs w:val="22"/>
        </w:rPr>
        <w:t xml:space="preserve">Post-Breach Investment (2023):</w:t>
      </w:r>
    </w:p>
    <w:p>
      <w:pPr>
        <w:pStyle w:val="ListParagraph"/>
        <w:numPr>
          <w:ilvl w:val="0"/>
          <w:numId w:val="2"/>
        </w:numPr>
        <w:spacing w:after="100" w:line="280"/>
      </w:pPr>
      <w:r>
        <w:rPr>
          <w:rFonts w:ascii="Arial" w:cs="Arial" w:eastAsia="Arial" w:hAnsi="Arial"/>
          <w:color w:val="333333"/>
          <w:sz w:val="22"/>
          <w:szCs w:val="22"/>
        </w:rPr>
        <w:t xml:space="preserve">DA-118 (Rubrik Cyber Recovery Cloud, 12TB, immutable air-gapped backup, 5% monthly growth) was deployed as a remedial control. Rubrik's immutable snapshot technology prevents ransomware from encrypting backups—even if primary data is compromised, recovery is possible from Rubrik's protected copies. CISO dual-approval is required for any Incident Response Engagement (IRE) access, ensuring that recovery is explicitly authorized and tracked. This was not a modest patch; it was a fundamental shift in backup architecture.</w:t>
      </w:r>
    </w:p>
    <w:p>
      <w:pPr>
        <w:spacing w:after="160" w:line="300"/>
      </w:pPr>
      <w:r>
        <w:rPr>
          <w:rFonts w:ascii="Arial" w:cs="Arial" w:eastAsia="Arial" w:hAnsi="Arial"/>
          <w:b w:val="false"/>
          <w:bCs w:val="false"/>
          <w:i w:val="false"/>
          <w:iCs w:val="false"/>
          <w:color w:val="333333"/>
          <w:sz w:val="22"/>
          <w:szCs w:val="22"/>
        </w:rPr>
        <w:t xml:space="preserve">Product Offering (2023-2024):</w:t>
      </w:r>
    </w:p>
    <w:p>
      <w:pPr>
        <w:pStyle w:val="ListParagraph"/>
        <w:numPr>
          <w:ilvl w:val="0"/>
          <w:numId w:val="2"/>
        </w:numPr>
        <w:spacing w:after="100" w:line="280"/>
      </w:pPr>
      <w:r>
        <w:rPr>
          <w:rFonts w:ascii="Arial" w:cs="Arial" w:eastAsia="Arial" w:hAnsi="Arial"/>
          <w:color w:val="333333"/>
          <w:sz w:val="22"/>
          <w:szCs w:val="22"/>
        </w:rPr>
        <w:t xml:space="preserve">PF-061 (Disaster Recovery as a Service, Zerto-powered DRaaS, Rubrik Cyber Recovery Service, 30+ global DCs) became a revenue product. The post-breach investment in Rubrik technology was leveraged to create a managed service offering for external customers. The wound (breach vulnerability) became the product (DRaaS revenue). This represents both business acumen (monetizing post-breach learnings) and organizational maturity (turning a failure point into a strength).</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BACKUP: FROM OPERATIONAL LIABILITY TO REVENUE PRODUCT</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TIMELINE:    STATE:                          GOVERNANCE:         INVESTMENT:</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Dec 2022     VULNERABILITY                  POL-034 exists      Zero immutable</w:t>
      </w:r>
    </w:p>
    <w:p>
      <w:pPr>
        <w:spacing w:after="0" w:line="240"/>
      </w:pPr>
      <w:r>
        <w:rPr>
          <w:rFonts w:ascii="Courier New" w:cs="Courier New" w:eastAsia="Courier New" w:hAnsi="Courier New"/>
          <w:color w:val="1B3A5C"/>
          <w:sz w:val="16"/>
          <w:szCs w:val="16"/>
        </w:rPr>
        <w:t xml:space="preserve">  (Pre-breach) Hosted Exchange no              CTL-034 exists      backup for</w:t>
      </w:r>
    </w:p>
    <w:p>
      <w:pPr>
        <w:spacing w:after="0" w:line="240"/>
      </w:pPr>
      <w:r>
        <w:rPr>
          <w:rFonts w:ascii="Courier New" w:cs="Courier New" w:eastAsia="Courier New" w:hAnsi="Courier New"/>
          <w:color w:val="1B3A5C"/>
          <w:sz w:val="16"/>
          <w:szCs w:val="16"/>
        </w:rPr>
        <w:t xml:space="preserve">              immutable backup                 Operationalization:  Exchange</w:t>
      </w:r>
    </w:p>
    <w:p>
      <w:pPr>
        <w:spacing w:after="0" w:line="240"/>
      </w:pPr>
      <w:r>
        <w:rPr>
          <w:rFonts w:ascii="Courier New" w:cs="Courier New" w:eastAsia="Courier New" w:hAnsi="Courier New"/>
          <w:color w:val="1B3A5C"/>
          <w:sz w:val="16"/>
          <w:szCs w:val="16"/>
        </w:rPr>
        <w:t xml:space="preserve">              ↓                                INCOMPLETE           ↓</w:t>
      </w:r>
    </w:p>
    <w:p>
      <w:pPr>
        <w:spacing w:after="0" w:line="240"/>
      </w:pPr>
      <w:r>
        <w:rPr>
          <w:rFonts w:ascii="Courier New" w:cs="Courier New" w:eastAsia="Courier New" w:hAnsi="Courier New"/>
          <w:color w:val="1B3A5C"/>
          <w:sz w:val="16"/>
          <w:szCs w:val="16"/>
        </w:rPr>
        <w:t xml:space="preserve">              Ransomware encryption            ↓                    Unrecoverable</w:t>
      </w:r>
    </w:p>
    <w:p>
      <w:pPr>
        <w:spacing w:after="0" w:line="240"/>
      </w:pPr>
      <w:r>
        <w:rPr>
          <w:rFonts w:ascii="Courier New" w:cs="Courier New" w:eastAsia="Courier New" w:hAnsi="Courier New"/>
          <w:color w:val="1B3A5C"/>
          <w:sz w:val="16"/>
          <w:szCs w:val="16"/>
        </w:rPr>
        <w:t xml:space="preserve">              ↓                                DD-048: Liability    data loss</w:t>
      </w:r>
    </w:p>
    <w:p>
      <w:pPr>
        <w:spacing w:after="0" w:line="240"/>
      </w:pPr>
      <w:r>
        <w:rPr>
          <w:rFonts w:ascii="Courier New" w:cs="Courier New" w:eastAsia="Courier New" w:hAnsi="Courier New"/>
          <w:color w:val="1B3A5C"/>
          <w:sz w:val="16"/>
          <w:szCs w:val="16"/>
        </w:rPr>
        <w:t xml:space="preserve">              Data loss                                            ↓</w:t>
      </w:r>
    </w:p>
    <w:p>
      <w:pPr>
        <w:spacing w:after="0" w:line="240"/>
      </w:pPr>
      <w:r>
        <w:rPr>
          <w:rFonts w:ascii="Courier New" w:cs="Courier New" w:eastAsia="Courier New" w:hAnsi="Courier New"/>
          <w:color w:val="1B3A5C"/>
          <w:sz w:val="16"/>
          <w:szCs w:val="16"/>
        </w:rPr>
        <w:t xml:space="preserve">              ↓                                                    RSK-00001:</w:t>
      </w:r>
    </w:p>
    <w:p>
      <w:pPr>
        <w:spacing w:after="0" w:line="240"/>
      </w:pPr>
      <w:r>
        <w:rPr>
          <w:rFonts w:ascii="Courier New" w:cs="Courier New" w:eastAsia="Courier New" w:hAnsi="Courier New"/>
          <w:color w:val="1B3A5C"/>
          <w:sz w:val="16"/>
          <w:szCs w:val="16"/>
        </w:rPr>
        <w:t xml:space="preserve">              Class action: 'absence of                           \$10.8M</w:t>
      </w:r>
    </w:p>
    <w:p>
      <w:pPr>
        <w:spacing w:after="0" w:line="240"/>
      </w:pPr>
      <w:r>
        <w:rPr>
          <w:rFonts w:ascii="Courier New" w:cs="Courier New" w:eastAsia="Courier New" w:hAnsi="Courier New"/>
          <w:color w:val="1B3A5C"/>
          <w:sz w:val="16"/>
          <w:szCs w:val="16"/>
        </w:rPr>
        <w:t xml:space="preserve">              immutable backups'                                   litigation</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2023        REMEDIATION                     DA-118: Rubrik      Enterprise</w:t>
      </w:r>
    </w:p>
    <w:p>
      <w:pPr>
        <w:spacing w:after="0" w:line="240"/>
      </w:pPr>
      <w:r>
        <w:rPr>
          <w:rFonts w:ascii="Courier New" w:cs="Courier New" w:eastAsia="Courier New" w:hAnsi="Courier New"/>
          <w:color w:val="1B3A5C"/>
          <w:sz w:val="16"/>
          <w:szCs w:val="16"/>
        </w:rPr>
        <w:t xml:space="preserve">  (Post-     Rubrik Cyber Recovery            deployed            investment</w:t>
      </w:r>
    </w:p>
    <w:p>
      <w:pPr>
        <w:spacing w:after="0" w:line="240"/>
      </w:pPr>
      <w:r>
        <w:rPr>
          <w:rFonts w:ascii="Courier New" w:cs="Courier New" w:eastAsia="Courier New" w:hAnsi="Courier New"/>
          <w:color w:val="1B3A5C"/>
          <w:sz w:val="16"/>
          <w:szCs w:val="16"/>
        </w:rPr>
        <w:t xml:space="preserve">   breach)   Cloud deployed                   ↓                    in immutable</w:t>
      </w:r>
    </w:p>
    <w:p>
      <w:pPr>
        <w:spacing w:after="0" w:line="240"/>
      </w:pPr>
      <w:r>
        <w:rPr>
          <w:rFonts w:ascii="Courier New" w:cs="Courier New" w:eastAsia="Courier New" w:hAnsi="Courier New"/>
          <w:color w:val="1B3A5C"/>
          <w:sz w:val="16"/>
          <w:szCs w:val="16"/>
        </w:rPr>
        <w:t xml:space="preserve">              ↓                                CISO dual-approval   backup</w:t>
      </w:r>
    </w:p>
    <w:p>
      <w:pPr>
        <w:spacing w:after="0" w:line="240"/>
      </w:pPr>
      <w:r>
        <w:rPr>
          <w:rFonts w:ascii="Courier New" w:cs="Courier New" w:eastAsia="Courier New" w:hAnsi="Courier New"/>
          <w:color w:val="1B3A5C"/>
          <w:sz w:val="16"/>
          <w:szCs w:val="16"/>
        </w:rPr>
        <w:t xml:space="preserve">              Immutable, air-gapped           for IRE access       infrastructure</w:t>
      </w:r>
    </w:p>
    <w:p>
      <w:pPr>
        <w:spacing w:after="0" w:line="240"/>
      </w:pPr>
      <w:r>
        <w:rPr>
          <w:rFonts w:ascii="Courier New" w:cs="Courier New" w:eastAsia="Courier New" w:hAnsi="Courier New"/>
          <w:color w:val="1B3A5C"/>
          <w:sz w:val="16"/>
          <w:szCs w:val="16"/>
        </w:rPr>
        <w:t xml:space="preserve">              snapshots prevent                                    (Cyber</w:t>
      </w:r>
    </w:p>
    <w:p>
      <w:pPr>
        <w:spacing w:after="0" w:line="240"/>
      </w:pPr>
      <w:r>
        <w:rPr>
          <w:rFonts w:ascii="Courier New" w:cs="Courier New" w:eastAsia="Courier New" w:hAnsi="Courier New"/>
          <w:color w:val="1B3A5C"/>
          <w:sz w:val="16"/>
          <w:szCs w:val="16"/>
        </w:rPr>
        <w:t xml:space="preserve">              ransomware from                  DD-048: Strategic    Recovery)</w:t>
      </w:r>
    </w:p>
    <w:p>
      <w:pPr>
        <w:spacing w:after="0" w:line="240"/>
      </w:pPr>
      <w:r>
        <w:rPr>
          <w:rFonts w:ascii="Courier New" w:cs="Courier New" w:eastAsia="Courier New" w:hAnsi="Courier New"/>
          <w:color w:val="1B3A5C"/>
          <w:sz w:val="16"/>
          <w:szCs w:val="16"/>
        </w:rPr>
        <w:t xml:space="preserve">              corrupting backups              asset                ↓</w:t>
      </w:r>
    </w:p>
    <w:p>
      <w:pPr>
        <w:spacing w:after="0" w:line="240"/>
      </w:pPr>
      <w:r>
        <w:rPr>
          <w:rFonts w:ascii="Courier New" w:cs="Courier New" w:eastAsia="Courier New" w:hAnsi="Courier New"/>
          <w:color w:val="1B3A5C"/>
          <w:sz w:val="16"/>
          <w:szCs w:val="16"/>
        </w:rPr>
        <w:t xml:space="preserve">              ↓                                ↓                    Capability</w:t>
      </w:r>
    </w:p>
    <w:p>
      <w:pPr>
        <w:spacing w:after="0" w:line="240"/>
      </w:pPr>
      <w:r>
        <w:rPr>
          <w:rFonts w:ascii="Courier New" w:cs="Courier New" w:eastAsia="Courier New" w:hAnsi="Courier New"/>
          <w:color w:val="1B3A5C"/>
          <w:sz w:val="16"/>
          <w:szCs w:val="16"/>
        </w:rPr>
        <w:t xml:space="preserve">              Recovery capability             Governance shift to  shift to 4-5</w:t>
      </w:r>
    </w:p>
    <w:p>
      <w:pPr>
        <w:spacing w:after="0" w:line="240"/>
      </w:pPr>
      <w:r>
        <w:rPr>
          <w:rFonts w:ascii="Courier New" w:cs="Courier New" w:eastAsia="Courier New" w:hAnsi="Courier New"/>
          <w:color w:val="1B3A5C"/>
          <w:sz w:val="16"/>
          <w:szCs w:val="16"/>
        </w:rPr>
        <w:t xml:space="preserve">              restored                        proactive prevention  (Managed Service)</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2023-       PRODUCT OFFERING                PF-061: DRaaS        Revenue product</w:t>
      </w:r>
    </w:p>
    <w:p>
      <w:pPr>
        <w:spacing w:after="0" w:line="240"/>
      </w:pPr>
      <w:r>
        <w:rPr>
          <w:rFonts w:ascii="Courier New" w:cs="Courier New" w:eastAsia="Courier New" w:hAnsi="Courier New"/>
          <w:color w:val="1B3A5C"/>
          <w:sz w:val="16"/>
          <w:szCs w:val="16"/>
        </w:rPr>
        <w:t xml:space="preserve">  2024        Disaster Recovery as            product             (Zerto DRaaS +</w:t>
      </w:r>
    </w:p>
    <w:p>
      <w:pPr>
        <w:spacing w:after="0" w:line="240"/>
      </w:pPr>
      <w:r>
        <w:rPr>
          <w:rFonts w:ascii="Courier New" w:cs="Courier New" w:eastAsia="Courier New" w:hAnsi="Courier New"/>
          <w:color w:val="1B3A5C"/>
          <w:sz w:val="16"/>
          <w:szCs w:val="16"/>
        </w:rPr>
        <w:t xml:space="preserve">  (Product)   a Service                       launched             Rubrik CRS)</w:t>
      </w:r>
    </w:p>
    <w:p>
      <w:pPr>
        <w:spacing w:after="0" w:line="240"/>
      </w:pPr>
      <w:r>
        <w:rPr>
          <w:rFonts w:ascii="Courier New" w:cs="Courier New" w:eastAsia="Courier New" w:hAnsi="Courier New"/>
          <w:color w:val="1B3A5C"/>
          <w:sz w:val="16"/>
          <w:szCs w:val="16"/>
        </w:rPr>
        <w:t xml:space="preserve">              ↓                                ↓                    30+ global DCs</w:t>
      </w:r>
    </w:p>
    <w:p>
      <w:pPr>
        <w:spacing w:after="0" w:line="240"/>
      </w:pPr>
      <w:r>
        <w:rPr>
          <w:rFonts w:ascii="Courier New" w:cs="Courier New" w:eastAsia="Courier New" w:hAnsi="Courier New"/>
          <w:color w:val="1B3A5C"/>
          <w:sz w:val="16"/>
          <w:szCs w:val="16"/>
        </w:rPr>
        <w:t xml:space="preserve">              Rubrik + Zerto                  DD-048: Revenue      monetize</w:t>
      </w:r>
    </w:p>
    <w:p>
      <w:pPr>
        <w:spacing w:after="0" w:line="240"/>
      </w:pPr>
      <w:r>
        <w:rPr>
          <w:rFonts w:ascii="Courier New" w:cs="Courier New" w:eastAsia="Courier New" w:hAnsi="Courier New"/>
          <w:color w:val="1B3A5C"/>
          <w:sz w:val="16"/>
          <w:szCs w:val="16"/>
        </w:rPr>
        <w:t xml:space="preserve">              integrated service              driver               post-breach</w:t>
      </w:r>
    </w:p>
    <w:p>
      <w:pPr>
        <w:spacing w:after="0" w:line="240"/>
      </w:pPr>
      <w:r>
        <w:rPr>
          <w:rFonts w:ascii="Courier New" w:cs="Courier New" w:eastAsia="Courier New" w:hAnsi="Courier New"/>
          <w:color w:val="1B3A5C"/>
          <w:sz w:val="16"/>
          <w:szCs w:val="16"/>
        </w:rPr>
        <w:t xml:space="preserve">              ↓                                                    learning</w:t>
      </w:r>
    </w:p>
    <w:p>
      <w:pPr>
        <w:spacing w:after="0" w:line="240"/>
      </w:pPr>
      <w:r>
        <w:rPr>
          <w:rFonts w:ascii="Courier New" w:cs="Courier New" w:eastAsia="Courier New" w:hAnsi="Courier New"/>
          <w:color w:val="1B3A5C"/>
          <w:sz w:val="16"/>
          <w:szCs w:val="16"/>
        </w:rPr>
        <w:t xml:space="preserve">              Customers pay for               Governance elevated   ↓</w:t>
      </w:r>
    </w:p>
    <w:p>
      <w:pPr>
        <w:spacing w:after="0" w:line="240"/>
      </w:pPr>
      <w:r>
        <w:rPr>
          <w:rFonts w:ascii="Courier New" w:cs="Courier New" w:eastAsia="Courier New" w:hAnsi="Courier New"/>
          <w:color w:val="1B3A5C"/>
          <w:sz w:val="16"/>
          <w:szCs w:val="16"/>
        </w:rPr>
        <w:t xml:space="preserve">              backup + recovery              to business product   Externalize</w:t>
      </w:r>
    </w:p>
    <w:p>
      <w:pPr>
        <w:spacing w:after="0" w:line="240"/>
      </w:pPr>
      <w:r>
        <w:rPr>
          <w:rFonts w:ascii="Courier New" w:cs="Courier New" w:eastAsia="Courier New" w:hAnsi="Courier New"/>
          <w:color w:val="1B3A5C"/>
          <w:sz w:val="16"/>
          <w:szCs w:val="16"/>
        </w:rPr>
        <w:t xml:space="preserve">              capability                      level                learning</w:t>
      </w:r>
    </w:p>
    <w:p>
      <w:pPr>
        <w:spacing w:after="0" w:line="240"/>
      </w:pPr>
      <w:r>
        <w:rPr>
          <w:rFonts w:ascii="Courier New" w:cs="Courier New" w:eastAsia="Courier New" w:hAnsi="Courier New"/>
          <w:color w:val="1B3A5C"/>
          <w:sz w:val="16"/>
          <w:szCs w:val="16"/>
        </w:rPr>
        <w:t xml:space="preserve"/>
      </w:r>
    </w:p>
    <w:p>
      <w:pPr>
        <w:spacing w:after="0" w:line="240"/>
      </w:pPr>
      <w:r>
        <w:rPr>
          <w:rFonts w:ascii="Courier New" w:cs="Courier New" w:eastAsia="Courier New" w:hAnsi="Courier New"/>
          <w:color w:val="1B3A5C"/>
          <w:sz w:val="16"/>
          <w:szCs w:val="16"/>
        </w:rPr>
        <w:t xml:space="preserve">  VERDICT: Post-breach maturity jump from Score 2 (Developing) to Score 4+ (Managed)</w:t>
      </w:r>
    </w:p>
    <w:p>
      <w:pPr>
        <w:spacing w:after="0" w:line="240"/>
      </w:pPr>
      <w:r>
        <w:rPr>
          <w:rFonts w:ascii="Courier New" w:cs="Courier New" w:eastAsia="Courier New" w:hAnsi="Courier New"/>
          <w:color w:val="1B3A5C"/>
          <w:sz w:val="16"/>
          <w:szCs w:val="16"/>
        </w:rPr>
        <w:t xml:space="preserve">           The organization converted breach vulnerability into operational strength.</w:t>
      </w:r>
    </w:p>
    <w:p>
      <w:pPr>
        <w:spacing w:after="0" w:line="240"/>
      </w:pPr>
      <w:r>
        <w:rPr>
          <w:rFonts w:ascii="Courier New" w:cs="Courier New" w:eastAsia="Courier New" w:hAnsi="Courier New"/>
          <w:color w:val="1B3A5C"/>
          <w:sz w:val="16"/>
          <w:szCs w:val="16"/>
        </w:rPr>
        <w:t xml:space="preserve"/>
      </w:r>
    </w:p>
    <w:p>
      <w:pPr>
        <w:spacing w:after="160" w:line="300"/>
      </w:pPr>
      <w:r>
        <w:rPr>
          <w:rFonts w:ascii="Arial" w:cs="Arial" w:eastAsia="Arial" w:hAnsi="Arial"/>
          <w:b w:val="false"/>
          <w:bCs w:val="false"/>
          <w:i w:val="false"/>
          <w:iCs w:val="false"/>
          <w:color w:val="333333"/>
          <w:sz w:val="22"/>
          <w:szCs w:val="22"/>
        </w:rPr>
        <w:t xml:space="preserve">Root Cause of Success: Unlike the patch management failure (CTE-057, where policy existed but operationalization failed), backup &amp; recovery received visible C-suite investment and accountability assignment. The CISO (implied accountability for DA-118 dual-approval requirement) ensured governance was integrated into the product. Modern Operations (dept-025) now manages DD-048 with explicit quality requirements and SLA definitions through PF-061 product documentation.</w:t>
      </w:r>
    </w:p>
    <w:p>
      <w:pPr>
        <w:spacing w:after="160" w:line="300"/>
      </w:pPr>
      <w:r>
        <w:rPr>
          <w:rFonts w:ascii="Arial" w:cs="Arial" w:eastAsia="Arial" w:hAnsi="Arial"/>
          <w:b w:val="false"/>
          <w:bCs w:val="false"/>
          <w:i w:val="false"/>
          <w:iCs w:val="false"/>
          <w:color w:val="333333"/>
          <w:sz w:val="22"/>
          <w:szCs w:val="22"/>
        </w:rPr>
        <w:t xml:space="preserve">Score Implication: While Capability 8 overall scores at 2 (Developing), the backup and disaster recovery sub-domain demonstrates what Score 4-5 (Managed/Optimized) looks like within Rackspace. The organization invested in proper governance, integrated it with product delivery, and created repeatable processes (immutable backup creation, CISO approval, 30+ global DC deployment). If all five operational domains received similar investment and governance clarity, Capability 8 would score at 4+. The post-breach case demonstrates that mature operations are achievable; the pre-breach case demonstrates that they are not yet enterprise-wide.</w:t>
      </w:r>
    </w:p>
    <w:p>
      <w:r>
        <w:br w:type="page"/>
      </w:r>
    </w:p>
    <w:p>
      <w:pPr>
        <w:pStyle w:val="Heading1"/>
        <w:spacing w:after="200" w:before="300"/>
      </w:pPr>
      <w:r>
        <w:rPr>
          <w:rFonts w:ascii="Arial" w:cs="Arial" w:eastAsia="Arial" w:hAnsi="Arial"/>
        </w:rPr>
        <w:t xml:space="preserve">10. Evidence Inventory: Knowledge Graph Entities Referenced</w:t>
      </w:r>
    </w:p>
    <w:p>
      <w:pPr>
        <w:spacing w:after="160" w:line="300"/>
      </w:pPr>
      <w:r>
        <w:rPr>
          <w:rFonts w:ascii="Arial" w:cs="Arial" w:eastAsia="Arial" w:hAnsi="Arial"/>
          <w:b w:val="false"/>
          <w:bCs w:val="false"/>
          <w:i w:val="false"/>
          <w:iCs w:val="false"/>
          <w:color w:val="333333"/>
          <w:sz w:val="22"/>
          <w:szCs w:val="22"/>
        </w:rPr>
        <w:t xml:space="preserve">This deep-dive assessment references 67 distinct knowledge graph entities across policies, controls, data assets, business capabilities, systems, roles, departments, and organizational units. The following table inventories all referenced entities, their types, confidence levels, and relevance to the Capability 8 assessment.</w:t>
      </w:r>
    </w:p>
    <w:p>
      <w:pPr>
        <w:spacing w:after="1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Management (ITIL 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Management ITSM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POL-019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Mgmt (NIST 800-53 CM)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Level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POL-097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SLA Agreement Management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Patch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POL-063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Event &amp; Monitoring Mgmt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Asset Management (ISO 27001)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POL-061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Knowledge Management (KCS)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POL-113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Center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Administration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POL-034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Backup &amp; Recovery (ISO 27001)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Continuity &amp; 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CTL-052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Response Team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Patch Management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CTL-026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Network Monitoring 24x7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CTL-292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Quality Management ISO 9001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CTL-205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Central Management (GRC)</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 Controls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Mgmt Plan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Mgmt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 Change Control (CAB)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CTL-157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Configuration Settings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CTL-237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Developer Config Mgmt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Contextual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CTL-086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Disaster Recovery 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CTL-034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Backup &amp; Recovery Ops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da-096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ServiceNow ITSM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da-118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Rubrik Cyber Recovery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da-019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Datadog Monitoring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Asset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Mgmt &amp; Ticketing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DD-077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Fabric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DD-029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 &amp; Change Mgmt Data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Backup &amp; DR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DD-013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 Database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DD-063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Ticketing &amp; Support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Domain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DC Operations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Delivery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BC-046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Internal IT Management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ITSM &amp; Service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BC-035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 Backup &amp; DR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Capability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ServiceNow ITSM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sys-086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Ansible Automation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sys-088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Terraform 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sys-056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Rackspace Monitoring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Change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role-196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Monitoring Engineer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Service Mgmt Specialist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role-099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Response Manager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DC Operations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role-044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Administrator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role-193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Capacity Planner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role-231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Capacity Planning Analyst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Automation Engineer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role-331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Modern Operations Engineer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Modern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dept-054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DC Operations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Delivery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dept-168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ITIL &amp; Service Mgmt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pf-061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Disaster Recovery as Service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Product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OU-023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Managed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 Unit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Supporting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OU-042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Center Operations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 Unit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RSK-00001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Ransomware (PLAY, Nov 2023)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RSK-OM-005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Incentive Misalignment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Risk</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Core</w:t>
            </w:r>
          </w:p>
        </w:tc>
      </w:tr>
    </w:tbl>
    <w:p>
      <w:r>
        <w:br w:type="page"/>
      </w:r>
    </w:p>
    <w:p>
      <w:pPr>
        <w:pStyle w:val="Heading1"/>
        <w:spacing w:after="200" w:before="300"/>
      </w:pPr>
      <w:r>
        <w:rPr>
          <w:rFonts w:ascii="Arial" w:cs="Arial" w:eastAsia="Arial" w:hAnsi="Arial"/>
        </w:rPr>
        <w:t xml:space="preserve">11. Recommendations: Prioritized Remediation Roadmap</w:t>
      </w:r>
    </w:p>
    <w:p>
      <w:pPr>
        <w:spacing w:after="160" w:line="300"/>
      </w:pPr>
      <w:r>
        <w:rPr>
          <w:rFonts w:ascii="Arial" w:cs="Arial" w:eastAsia="Arial" w:hAnsi="Arial"/>
          <w:b w:val="false"/>
          <w:bCs w:val="false"/>
          <w:i w:val="false"/>
          <w:iCs w:val="false"/>
          <w:color w:val="333333"/>
          <w:sz w:val="22"/>
          <w:szCs w:val="22"/>
        </w:rPr>
        <w:t xml:space="preserve">Based on the Capability 8 assessment (Score 2, Developing), the following recommendations are prioritized by remediation impact and timeline feasibility. Recommendations span all six sub-capabilities and target the root causes identified in the analytical themes.</w:t>
      </w:r>
    </w:p>
    <w:p>
      <w:pPr>
        <w:pStyle w:val="Heading2"/>
        <w:spacing w:after="200" w:before="300"/>
      </w:pPr>
      <w:r>
        <w:rPr>
          <w:rFonts w:ascii="Arial" w:cs="Arial" w:eastAsia="Arial" w:hAnsi="Arial"/>
        </w:rPr>
        <w:t xml:space="preserve">11.1 Immediate Priority (P1: 0-90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1560"/>
        <w:gridCol w:w="1400"/>
        <w:gridCol w:w="1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Establish Chief Data Operations Officer role with enterprise accountability for all five operational departments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P1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50K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unified Data Management Operations Strategy document integrating all 14 operational policies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75K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 SLA credit automation in ServiceNow for monthly credit calculation and penalty issuance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Service Mgmt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P1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45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90K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Establish Problem Management escalation threshold (3+ identical incidents = auto-escalate to problem)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Incident Mgmt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40K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Deploy Ansible Tower automation for incident remediation without manual operator gate approval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Infrastructure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P1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150K</w:t>
            </w:r>
          </w:p>
        </w:tc>
      </w:tr>
    </w:tbl>
    <w:p>
      <w:pPr>
        <w:spacing w:after="160"/>
      </w:pPr>
      <w:r>
        <w:rPr>
          <w:rFonts w:ascii="Arial" w:cs="Arial" w:eastAsia="Arial" w:hAnsi="Arial"/>
          <w:sz w:val="20"/>
          <w:szCs w:val="20"/>
        </w:rPr>
        <w:t xml:space="preserve"> </w:t>
      </w:r>
    </w:p>
    <w:p>
      <w:pPr>
        <w:pStyle w:val="Heading2"/>
        <w:spacing w:after="200" w:before="300"/>
      </w:pPr>
      <w:r>
        <w:rPr>
          <w:rFonts w:ascii="Arial" w:cs="Arial" w:eastAsia="Arial" w:hAnsi="Arial"/>
        </w:rPr>
        <w:t xml:space="preserve">11.2 High Priority (P2: 90-180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1560"/>
        <w:gridCol w:w="1400"/>
        <w:gridCol w:w="1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 ServiceNow CMDB auto-reconciliation with Ansible/Terraform state daily drift detection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Infrastructure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E8A317"/>
                <w:sz w:val="20"/>
                <w:szCs w:val="20"/>
              </w:rPr>
              <w:t xml:space="preserve">P2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120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200K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Develop unified Data Quality dashboard for operational data (DD-028 through DD-077) quality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8A31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90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110K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cross-department Data Dictionary standardizing terminology (Incident ID, Ticket ID, Work Order ID)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E8A317"/>
                <w:sz w:val="20"/>
                <w:szCs w:val="20"/>
              </w:rPr>
              <w:t xml:space="preserve">P2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120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85K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Establish Operational Data Governance Committee with representatives from all 5 departments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Org-wide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8A317"/>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60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30K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 Datadog dashboard consolidation with unified view of infrastructure health + incident + SLA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Monitoring</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E8A317"/>
                <w:sz w:val="20"/>
                <w:szCs w:val="20"/>
              </w:rPr>
              <w:t xml:space="preserve">P2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130K</w:t>
            </w:r>
          </w:p>
        </w:tc>
      </w:tr>
    </w:tbl>
    <w:p>
      <w:pPr>
        <w:spacing w:after="160"/>
      </w:pPr>
      <w:r>
        <w:rPr>
          <w:rFonts w:ascii="Arial" w:cs="Arial" w:eastAsia="Arial" w:hAnsi="Arial"/>
          <w:sz w:val="20"/>
          <w:szCs w:val="20"/>
        </w:rPr>
        <w:t xml:space="preserve"> </w:t>
      </w:r>
    </w:p>
    <w:p>
      <w:pPr>
        <w:pStyle w:val="Heading2"/>
        <w:spacing w:after="200" w:before="300"/>
      </w:pPr>
      <w:r>
        <w:rPr>
          <w:rFonts w:ascii="Arial" w:cs="Arial" w:eastAsia="Arial" w:hAnsi="Arial"/>
        </w:rPr>
        <w:t xml:space="preserve">11.3 Medium Priority (P3: 180-365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1560"/>
        <w:gridCol w:w="1400"/>
        <w:gridCol w:w="1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Remediate CMDB completeness from 65-70% to 90%+ through automated discovery and validation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Config Mgmt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180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250K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Implement CIS Benchmark enforcement for all 40+ data centers with monthly compliance scanning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DC 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120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170K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Deploy predictive capacity planning using Datadog trends (currently manual via spreadsheet)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Capacity Ops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150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140K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Establish RTO/RPO targets for each operational data domain with SLA linkage and penalty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 Planning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120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95K</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20"/>
                <w:szCs w:val="20"/>
              </w:rPr>
              <w:t xml:space="preserve">R15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Create post-breach data science capability to analyze incident patterns (when litigation hold lifted)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Analytics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P3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200 days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160K</w:t>
            </w:r>
          </w:p>
        </w:tc>
      </w:tr>
    </w:tbl>
    <w:p>
      <w:pPr>
        <w:spacing w:after="160"/>
      </w:pPr>
      <w:r>
        <w:rPr>
          <w:rFonts w:ascii="Arial" w:cs="Arial" w:eastAsia="Arial" w:hAnsi="Arial"/>
          <w:sz w:val="20"/>
          <w:szCs w:val="20"/>
        </w:rPr>
        <w:t xml:space="preserve"> </w:t>
      </w:r>
    </w:p>
    <w:p>
      <w:pPr>
        <w:spacing w:after="160" w:line="300"/>
      </w:pPr>
      <w:r>
        <w:rPr>
          <w:rFonts w:ascii="Arial" w:cs="Arial" w:eastAsia="Arial" w:hAnsi="Arial"/>
          <w:b w:val="false"/>
          <w:bCs w:val="false"/>
          <w:i w:val="false"/>
          <w:iCs w:val="false"/>
          <w:color w:val="333333"/>
          <w:sz w:val="22"/>
          <w:szCs w:val="22"/>
        </w:rPr>
        <w:t xml:space="preserve">Total estimated investment: \$1.53 million over 12 months. Expected outcome: elevation of Capability 8 from Score 2 (Developing) to Score 3-4 (Managed) within 18 months, with sustained Score 4 (Managed) maturity by month 24.</w:t>
      </w:r>
    </w:p>
    <w:p>
      <w:r>
        <w:br w:type="page"/>
      </w:r>
    </w:p>
    <w:p>
      <w:pPr>
        <w:pStyle w:val="Heading1"/>
        <w:spacing w:after="200" w:before="300"/>
      </w:pPr>
      <w:r>
        <w:rPr>
          <w:rFonts w:ascii="Arial" w:cs="Arial" w:eastAsia="Arial" w:hAnsi="Arial"/>
        </w:rPr>
        <w:t xml:space="preserve">12. Conclusion: The Operations Paradox and Path Forward</w:t>
      </w:r>
    </w:p>
    <w:p>
      <w:pPr>
        <w:spacing w:after="160" w:line="300"/>
      </w:pPr>
      <w:r>
        <w:rPr>
          <w:rFonts w:ascii="Arial" w:cs="Arial" w:eastAsia="Arial" w:hAnsi="Arial"/>
          <w:b w:val="false"/>
          <w:bCs w:val="false"/>
          <w:i w:val="false"/>
          <w:iCs w:val="false"/>
          <w:color w:val="333333"/>
          <w:sz w:val="22"/>
          <w:szCs w:val="22"/>
        </w:rPr>
        <w:t xml:space="preserve">Capability 8 (Data Management Operations) is assessed at Score 2 (Developing), the lowest score in the DCAM v2 assessment framework alongside Capabilities 1 and 3. This score reflects a fundamental organizational paradox: Rackspace Technology operates a $2.7 billion enterprise with sophisticated operational policies, controls, and systems, yet continues to experience preventable failures, and lacks enterprise-level coordination and data stewardship.</w:t>
      </w:r>
    </w:p>
    <w:p>
      <w:pPr>
        <w:spacing w:after="160" w:line="300"/>
      </w:pPr>
      <w:r>
        <w:rPr>
          <w:rFonts w:ascii="Arial" w:cs="Arial" w:eastAsia="Arial" w:hAnsi="Arial"/>
          <w:b w:val="false"/>
          <w:bCs w:val="false"/>
          <w:i w:val="false"/>
          <w:iCs w:val="false"/>
          <w:color w:val="333333"/>
          <w:sz w:val="22"/>
          <w:szCs w:val="22"/>
        </w:rPr>
        <w:t xml:space="preserve">The seven analytical themes identified in this assessment crystallize the score:</w:t>
      </w:r>
    </w:p>
    <w:p>
      <w:pPr>
        <w:pStyle w:val="ListParagraph"/>
        <w:numPr>
          <w:ilvl w:val="0"/>
          <w:numId w:val="2"/>
        </w:numPr>
        <w:spacing w:after="100" w:line="280"/>
      </w:pPr>
      <w:r>
        <w:rPr>
          <w:rFonts w:ascii="Arial" w:cs="Arial" w:eastAsia="Arial" w:hAnsi="Arial"/>
          <w:color w:val="333333"/>
          <w:sz w:val="22"/>
          <w:szCs w:val="22"/>
        </w:rPr>
        <w:t xml:space="preserve">Theme 1 (ServiceNow Paradox) reveals a 220GB operational 'brain' that is not operationally leveraged for continuous improvement due to litigation hold constraints and lack of analytical capability.</w:t>
      </w:r>
    </w:p>
    <w:p>
      <w:pPr>
        <w:pStyle w:val="ListParagraph"/>
        <w:numPr>
          <w:ilvl w:val="0"/>
          <w:numId w:val="2"/>
        </w:numPr>
        <w:spacing w:after="100" w:line="280"/>
      </w:pPr>
      <w:r>
        <w:rPr>
          <w:rFonts w:ascii="Arial" w:cs="Arial" w:eastAsia="Arial" w:hAnsi="Arial"/>
          <w:color w:val="333333"/>
          <w:sz w:val="22"/>
          <w:szCs w:val="22"/>
        </w:rPr>
        <w:t xml:space="preserve">Theme 2 (Fourteen Policies, Zero Integration) demonstrates that while 14 operational policies exist individually, their integrations are incomplete, allowing vulnerabilities to persist unchecked.</w:t>
      </w:r>
    </w:p>
    <w:p>
      <w:pPr>
        <w:pStyle w:val="ListParagraph"/>
        <w:numPr>
          <w:ilvl w:val="0"/>
          <w:numId w:val="2"/>
        </w:numPr>
        <w:spacing w:after="100" w:line="280"/>
      </w:pPr>
      <w:r>
        <w:rPr>
          <w:rFonts w:ascii="Arial" w:cs="Arial" w:eastAsia="Arial" w:hAnsi="Arial"/>
          <w:color w:val="333333"/>
          <w:sz w:val="22"/>
          <w:szCs w:val="22"/>
        </w:rPr>
        <w:t xml:space="preserve">Theme 3 (\$24.4M Operations Budget Without Steward) shows that five departments and 195 headcount manage operational data without an accountable enterprise data steward, creating diffused accountability.</w:t>
      </w:r>
    </w:p>
    <w:p>
      <w:pPr>
        <w:pStyle w:val="ListParagraph"/>
        <w:numPr>
          <w:ilvl w:val="0"/>
          <w:numId w:val="2"/>
        </w:numPr>
        <w:spacing w:after="100" w:line="280"/>
      </w:pPr>
      <w:r>
        <w:rPr>
          <w:rFonts w:ascii="Arial" w:cs="Arial" w:eastAsia="Arial" w:hAnsi="Arial"/>
          <w:color w:val="333333"/>
          <w:sz w:val="22"/>
          <w:szCs w:val="22"/>
        </w:rPr>
        <w:t xml:space="preserve">Theme 4 (The December 2022 Breach) provides definitive evidence: RSK-00001 materialized because five operational failures cascaded simultaneously, proving that policy existence does not imply operational operationalization.</w:t>
      </w:r>
    </w:p>
    <w:p>
      <w:pPr>
        <w:pStyle w:val="ListParagraph"/>
        <w:numPr>
          <w:ilvl w:val="0"/>
          <w:numId w:val="2"/>
        </w:numPr>
        <w:spacing w:after="100" w:line="280"/>
      </w:pPr>
      <w:r>
        <w:rPr>
          <w:rFonts w:ascii="Arial" w:cs="Arial" w:eastAsia="Arial" w:hAnsi="Arial"/>
          <w:color w:val="333333"/>
          <w:sz w:val="22"/>
          <w:szCs w:val="22"/>
        </w:rPr>
        <w:t xml:space="preserve">Theme 5 (Automation vs. Reality) exposes the gap between technical automation capability (Ansible, Terraform, Moogsoft) and operational utilization (manual gates, quarterly drift detection, manual remediation approval).</w:t>
      </w:r>
    </w:p>
    <w:p>
      <w:pPr>
        <w:pStyle w:val="ListParagraph"/>
        <w:numPr>
          <w:ilvl w:val="0"/>
          <w:numId w:val="2"/>
        </w:numPr>
        <w:spacing w:after="100" w:line="280"/>
      </w:pPr>
      <w:r>
        <w:rPr>
          <w:rFonts w:ascii="Arial" w:cs="Arial" w:eastAsia="Arial" w:hAnsi="Arial"/>
          <w:color w:val="333333"/>
          <w:sz w:val="22"/>
          <w:szCs w:val="22"/>
        </w:rPr>
        <w:t xml:space="preserve">Theme 6 (40+ Location CMDB Challenge) identifies that global infrastructure management lacks configuration consistency and CMDB completeness (65-70%), limiting change management visibility.</w:t>
      </w:r>
    </w:p>
    <w:p>
      <w:pPr>
        <w:pStyle w:val="ListParagraph"/>
        <w:numPr>
          <w:ilvl w:val="0"/>
          <w:numId w:val="2"/>
        </w:numPr>
        <w:spacing w:after="100" w:line="280"/>
      </w:pPr>
      <w:r>
        <w:rPr>
          <w:rFonts w:ascii="Arial" w:cs="Arial" w:eastAsia="Arial" w:hAnsi="Arial"/>
          <w:color w:val="333333"/>
          <w:sz w:val="22"/>
          <w:szCs w:val="22"/>
        </w:rPr>
        <w:t xml:space="preserve">Theme 7 (Backup as Business Strategy) demonstrates that post-breach investment (DA-118, Rubrik, PF-061 DRaaS) elevated backup capability to Score 4-5, proving that mature operations are achievable when properly invested.</w:t>
      </w:r>
    </w:p>
    <w:p>
      <w:pPr>
        <w:spacing w:after="160" w:line="300"/>
      </w:pPr>
      <w:r>
        <w:rPr>
          <w:rFonts w:ascii="Arial" w:cs="Arial" w:eastAsia="Arial" w:hAnsi="Arial"/>
          <w:b w:val="false"/>
          <w:bCs w:val="false"/>
          <w:i w:val="false"/>
          <w:iCs w:val="false"/>
          <w:color w:val="333333"/>
          <w:sz w:val="22"/>
          <w:szCs w:val="22"/>
        </w:rPr>
        <w:t xml:space="preserve">The path forward requires three transformational shifts:</w:t>
      </w:r>
    </w:p>
    <w:p>
      <w:pPr>
        <w:pStyle w:val="ListParagraph"/>
        <w:numPr>
          <w:ilvl w:val="0"/>
          <w:numId w:val="2"/>
        </w:numPr>
        <w:spacing w:after="100" w:line="280"/>
      </w:pPr>
      <w:r>
        <w:rPr>
          <w:rFonts w:ascii="Arial" w:cs="Arial" w:eastAsia="Arial" w:hAnsi="Arial"/>
          <w:color w:val="333333"/>
          <w:sz w:val="22"/>
          <w:szCs w:val="22"/>
        </w:rPr>
        <w:t xml:space="preserve">Shift 1: Establish enterprise-level accountability. Create the Chief Data Operations Officer role with explicit authority over all 14 policies and five operational departments. Accountability must flow from policy to implementation through a single leader, not through five independent departments.</w:t>
      </w:r>
    </w:p>
    <w:p>
      <w:pPr>
        <w:pStyle w:val="ListParagraph"/>
        <w:numPr>
          <w:ilvl w:val="0"/>
          <w:numId w:val="2"/>
        </w:numPr>
        <w:spacing w:after="100" w:line="280"/>
      </w:pPr>
      <w:r>
        <w:rPr>
          <w:rFonts w:ascii="Arial" w:cs="Arial" w:eastAsia="Arial" w:hAnsi="Arial"/>
          <w:color w:val="333333"/>
          <w:sz w:val="22"/>
          <w:szCs w:val="22"/>
        </w:rPr>
        <w:t xml:space="preserve">Shift 2: Operationalize integration. Move from siloed policy execution to integrated operational workflows. Patch management must automatically trigger change management, which must validate backup existence, which must trigger incident response readiness. This is not policy change; it is workflow automation and operational discipline.</w:t>
      </w:r>
    </w:p>
    <w:p>
      <w:pPr>
        <w:pStyle w:val="ListParagraph"/>
        <w:numPr>
          <w:ilvl w:val="0"/>
          <w:numId w:val="2"/>
        </w:numPr>
        <w:spacing w:after="100" w:line="280"/>
      </w:pPr>
      <w:r>
        <w:rPr>
          <w:rFonts w:ascii="Arial" w:cs="Arial" w:eastAsia="Arial" w:hAnsi="Arial"/>
          <w:color w:val="333333"/>
          <w:sz w:val="22"/>
          <w:szCs w:val="22"/>
        </w:rPr>
        <w:t xml:space="preserve">Shift 3: Leverage post-breach learning. The December 2022 breach (RSK-00001) and subsequent post-breach investments (DA-118, CTL-052 partnership, CTL-086 testing) demonstrate what mature operations look like. Extend this maturity from backup/recovery domain to all operational domains through systematic investment and governance replication.</w:t>
      </w:r>
    </w:p>
    <w:p>
      <w:pPr>
        <w:spacing w:after="160" w:line="300"/>
      </w:pPr>
      <w:r>
        <w:rPr>
          <w:rFonts w:ascii="Arial" w:cs="Arial" w:eastAsia="Arial" w:hAnsi="Arial"/>
          <w:b w:val="false"/>
          <w:bCs w:val="false"/>
          <w:i w:val="false"/>
          <w:iCs w:val="false"/>
          <w:color w:val="333333"/>
          <w:sz w:val="22"/>
          <w:szCs w:val="22"/>
        </w:rPr>
        <w:t xml:space="preserve">The evidence is clear: Rackspace has the technical capability (automation platforms, monitoring infrastructure, formal policies) to achieve Score 4 (Managed) maturity. The organizational barrier is not technical; it is structural—the enterprise lacks the governance and accountability mechanisms to operationalize that capability at scale. The December 2022 breach, the 220GB ServiceNow dataset under litigation hold, the CMDB 65-70% incompleteness, and the operational incoherence across 40+ data centers all point to the same root cause: good intentions codified in policy, but incomplete operationalization due to diffused accountability and siloed department execution.</w:t>
      </w:r>
    </w:p>
    <w:p>
      <w:pPr>
        <w:spacing w:after="160" w:line="300"/>
      </w:pPr>
      <w:r>
        <w:rPr>
          <w:rFonts w:ascii="Arial" w:cs="Arial" w:eastAsia="Arial" w:hAnsi="Arial"/>
          <w:b w:val="false"/>
          <w:bCs w:val="false"/>
          <w:i w:val="false"/>
          <w:iCs w:val="false"/>
          <w:color w:val="333333"/>
          <w:sz w:val="22"/>
          <w:szCs w:val="22"/>
        </w:rPr>
        <w:t xml:space="preserve">Score 2 is justified. The path to Score 4 is clear.</w:t>
      </w:r>
    </w:p>
    <w:p>
      <w:r>
        <w:br w:type="page"/>
      </w:r>
    </w:p>
    <w:p>
      <w:pPr>
        <w:pStyle w:val="Heading1"/>
        <w:spacing w:after="200" w:before="300"/>
      </w:pPr>
      <w:r>
        <w:rPr>
          <w:rFonts w:ascii="Arial" w:cs="Arial" w:eastAsia="Arial" w:hAnsi="Arial"/>
        </w:rPr>
        <w:t xml:space="preserve">Appendix: Key Metrics Summary</w:t>
      </w:r>
    </w:p>
    <w:p>
      <w:pPr>
        <w:spacing w:after="160" w:line="300"/>
      </w:pPr>
      <w:r>
        <w:rPr>
          <w:rFonts w:ascii="Arial" w:cs="Arial" w:eastAsia="Arial" w:hAnsi="Arial"/>
          <w:b w:val="false"/>
          <w:bCs w:val="false"/>
          <w:i w:val="false"/>
          <w:iCs w:val="false"/>
          <w:color w:val="333333"/>
          <w:sz w:val="22"/>
          <w:szCs w:val="22"/>
        </w:rPr>
        <w:t xml:space="preserve">The following metrics quantify Capability 8's current state and provide baselines for post-remediation measurement:</w:t>
      </w:r>
    </w:p>
    <w:p>
      <w:pPr>
        <w:spacing w:after="160" w:line="300"/>
      </w:pPr>
      <w:r>
        <w:rPr>
          <w:rFonts w:ascii="Arial" w:cs="Arial" w:eastAsia="Arial" w:hAnsi="Arial"/>
          <w:b/>
          <w:bCs/>
          <w:i w:val="false"/>
          <w:iCs w:val="false"/>
          <w:color w:val="333333"/>
          <w:sz w:val="22"/>
          <w:szCs w:val="22"/>
        </w:rPr>
        <w:t xml:space="preserve">Operational Budget &amp; Headcount:</w:t>
      </w:r>
    </w:p>
    <w:p>
      <w:pPr>
        <w:pStyle w:val="ListParagraph"/>
        <w:numPr>
          <w:ilvl w:val="0"/>
          <w:numId w:val="2"/>
        </w:numPr>
        <w:spacing w:after="100" w:line="280"/>
      </w:pPr>
      <w:r>
        <w:rPr>
          <w:rFonts w:ascii="Arial" w:cs="Arial" w:eastAsia="Arial" w:hAnsi="Arial"/>
          <w:color w:val="333333"/>
          <w:sz w:val="22"/>
          <w:szCs w:val="22"/>
        </w:rPr>
        <w:t xml:space="preserve">Total: \$24.4M annual, ~195 FTE across five departments</w:t>
      </w:r>
    </w:p>
    <w:p>
      <w:pPr>
        <w:pStyle w:val="ListParagraph"/>
        <w:numPr>
          <w:ilvl w:val="0"/>
          <w:numId w:val="2"/>
        </w:numPr>
        <w:spacing w:after="100" w:line="280"/>
      </w:pPr>
      <w:r>
        <w:rPr>
          <w:rFonts w:ascii="Arial" w:cs="Arial" w:eastAsia="Arial" w:hAnsi="Arial"/>
          <w:color w:val="333333"/>
          <w:sz w:val="22"/>
          <w:szCs w:val="22"/>
        </w:rPr>
        <w:t xml:space="preserve">Modern Operations (dept-025): \$5.5M, 50 HC, operational custody of 4 critical data domains</w:t>
      </w:r>
    </w:p>
    <w:p>
      <w:pPr>
        <w:pStyle w:val="ListParagraph"/>
        <w:numPr>
          <w:ilvl w:val="0"/>
          <w:numId w:val="2"/>
        </w:numPr>
        <w:spacing w:after="100" w:line="280"/>
      </w:pPr>
      <w:r>
        <w:rPr>
          <w:rFonts w:ascii="Arial" w:cs="Arial" w:eastAsia="Arial" w:hAnsi="Arial"/>
          <w:color w:val="333333"/>
          <w:sz w:val="22"/>
          <w:szCs w:val="22"/>
        </w:rPr>
        <w:t xml:space="preserve">Database Administration (dept-072): \$8.45M, 50 HC, 24x7 support across 5+ database platforms</w:t>
      </w:r>
    </w:p>
    <w:p>
      <w:pPr>
        <w:pStyle w:val="ListParagraph"/>
        <w:numPr>
          <w:ilvl w:val="0"/>
          <w:numId w:val="2"/>
        </w:numPr>
        <w:spacing w:after="100" w:line="280"/>
      </w:pPr>
      <w:r>
        <w:rPr>
          <w:rFonts w:ascii="Arial" w:cs="Arial" w:eastAsia="Arial" w:hAnsi="Arial"/>
          <w:color w:val="333333"/>
          <w:sz w:val="22"/>
          <w:szCs w:val="22"/>
        </w:rPr>
        <w:t xml:space="preserve">DC Operations (dept-054): \$2.75M, 25 HC, 40+ global data center locations</w:t>
      </w:r>
    </w:p>
    <w:p>
      <w:pPr>
        <w:spacing w:after="160" w:line="300"/>
      </w:pPr>
      <w:r>
        <w:rPr>
          <w:rFonts w:ascii="Arial" w:cs="Arial" w:eastAsia="Arial" w:hAnsi="Arial"/>
          <w:b/>
          <w:bCs/>
          <w:i w:val="false"/>
          <w:iCs w:val="false"/>
          <w:color w:val="333333"/>
          <w:sz w:val="22"/>
          <w:szCs w:val="22"/>
        </w:rPr>
        <w:t xml:space="preserve">Operational Data Assets:</w:t>
      </w:r>
    </w:p>
    <w:p>
      <w:pPr>
        <w:pStyle w:val="ListParagraph"/>
        <w:numPr>
          <w:ilvl w:val="0"/>
          <w:numId w:val="2"/>
        </w:numPr>
        <w:spacing w:after="100" w:line="280"/>
      </w:pPr>
      <w:r>
        <w:rPr>
          <w:rFonts w:ascii="Arial" w:cs="Arial" w:eastAsia="Arial" w:hAnsi="Arial"/>
          <w:color w:val="333333"/>
          <w:sz w:val="22"/>
          <w:szCs w:val="22"/>
        </w:rPr>
        <w:t xml:space="preserve">ServiceNow ITSM (da-096): 220GB, 6% monthly growth, incident/change/CMDB/problem data, 99.8% availability SLA</w:t>
      </w:r>
    </w:p>
    <w:p>
      <w:pPr>
        <w:pStyle w:val="ListParagraph"/>
        <w:numPr>
          <w:ilvl w:val="0"/>
          <w:numId w:val="2"/>
        </w:numPr>
        <w:spacing w:after="100" w:line="280"/>
      </w:pPr>
      <w:r>
        <w:rPr>
          <w:rFonts w:ascii="Arial" w:cs="Arial" w:eastAsia="Arial" w:hAnsi="Arial"/>
          <w:color w:val="333333"/>
          <w:sz w:val="22"/>
          <w:szCs w:val="22"/>
        </w:rPr>
        <w:t xml:space="preserve">Rubrik Cyber Recovery (da-118): 12TB immutable backups, 5% monthly growth, CISO dual-approval for access</w:t>
      </w:r>
    </w:p>
    <w:p>
      <w:pPr>
        <w:pStyle w:val="ListParagraph"/>
        <w:numPr>
          <w:ilvl w:val="0"/>
          <w:numId w:val="2"/>
        </w:numPr>
        <w:spacing w:after="100" w:line="280"/>
      </w:pPr>
      <w:r>
        <w:rPr>
          <w:rFonts w:ascii="Arial" w:cs="Arial" w:eastAsia="Arial" w:hAnsi="Arial"/>
          <w:color w:val="333333"/>
          <w:sz w:val="22"/>
          <w:szCs w:val="22"/>
        </w:rPr>
        <w:t xml:space="preserve">Datadog Monitoring (da-019): 200TB daily ingest, 10-second collection interval, Moogsoft AIOps correlation</w:t>
      </w:r>
    </w:p>
    <w:p>
      <w:pPr>
        <w:spacing w:after="160" w:line="300"/>
      </w:pPr>
      <w:r>
        <w:rPr>
          <w:rFonts w:ascii="Arial" w:cs="Arial" w:eastAsia="Arial" w:hAnsi="Arial"/>
          <w:b/>
          <w:bCs/>
          <w:i w:val="false"/>
          <w:iCs w:val="false"/>
          <w:color w:val="333333"/>
          <w:sz w:val="22"/>
          <w:szCs w:val="22"/>
        </w:rPr>
        <w:t xml:space="preserve">Policy &amp; Control Coverage:</w:t>
      </w:r>
    </w:p>
    <w:p>
      <w:pPr>
        <w:pStyle w:val="ListParagraph"/>
        <w:numPr>
          <w:ilvl w:val="0"/>
          <w:numId w:val="2"/>
        </w:numPr>
        <w:spacing w:after="100" w:line="280"/>
      </w:pPr>
      <w:r>
        <w:rPr>
          <w:rFonts w:ascii="Arial" w:cs="Arial" w:eastAsia="Arial" w:hAnsi="Arial"/>
          <w:color w:val="333333"/>
          <w:sz w:val="22"/>
          <w:szCs w:val="22"/>
        </w:rPr>
        <w:t xml:space="preserve">14 operational policies covering incident, change, patch, backup, monitoring, and service level domains</w:t>
      </w:r>
    </w:p>
    <w:p>
      <w:pPr>
        <w:pStyle w:val="ListParagraph"/>
        <w:numPr>
          <w:ilvl w:val="0"/>
          <w:numId w:val="2"/>
        </w:numPr>
        <w:spacing w:after="100" w:line="280"/>
      </w:pPr>
      <w:r>
        <w:rPr>
          <w:rFonts w:ascii="Arial" w:cs="Arial" w:eastAsia="Arial" w:hAnsi="Arial"/>
          <w:color w:val="333333"/>
          <w:sz w:val="22"/>
          <w:szCs w:val="22"/>
        </w:rPr>
        <w:t xml:space="preserve">13 operational controls spanning incident response, patch management, network monitoring, configuration management, disaster recovery</w:t>
      </w:r>
    </w:p>
    <w:p>
      <w:pPr>
        <w:pStyle w:val="ListParagraph"/>
        <w:numPr>
          <w:ilvl w:val="0"/>
          <w:numId w:val="2"/>
        </w:numPr>
        <w:spacing w:after="100" w:line="280"/>
      </w:pPr>
      <w:r>
        <w:rPr>
          <w:rFonts w:ascii="Arial" w:cs="Arial" w:eastAsia="Arial" w:hAnsi="Arial"/>
          <w:color w:val="333333"/>
          <w:sz w:val="22"/>
          <w:szCs w:val="22"/>
        </w:rPr>
        <w:t xml:space="preserve">6 data domains under operational stewardship (DD-028, DD-011, DD-048, DD-013, DD-030, DD-077)</w:t>
      </w:r>
    </w:p>
    <w:p>
      <w:pPr>
        <w:spacing w:after="160" w:line="300"/>
      </w:pPr>
      <w:r>
        <w:rPr>
          <w:rFonts w:ascii="Arial" w:cs="Arial" w:eastAsia="Arial" w:hAnsi="Arial"/>
          <w:b/>
          <w:bCs/>
          <w:i w:val="false"/>
          <w:iCs w:val="false"/>
          <w:color w:val="333333"/>
          <w:sz w:val="22"/>
          <w:szCs w:val="22"/>
        </w:rPr>
        <w:t xml:space="preserve">Operational Performance Gaps:</w:t>
      </w:r>
    </w:p>
    <w:p>
      <w:pPr>
        <w:pStyle w:val="ListParagraph"/>
        <w:numPr>
          <w:ilvl w:val="0"/>
          <w:numId w:val="2"/>
        </w:numPr>
        <w:spacing w:after="100" w:line="280"/>
      </w:pPr>
      <w:r>
        <w:rPr>
          <w:rFonts w:ascii="Arial" w:cs="Arial" w:eastAsia="Arial" w:hAnsi="Arial"/>
          <w:color w:val="333333"/>
          <w:sz w:val="22"/>
          <w:szCs w:val="22"/>
        </w:rPr>
        <w:t xml:space="preserve">CMDB Completeness: 65-70% (target: 95%+)</w:t>
      </w:r>
    </w:p>
    <w:p>
      <w:pPr>
        <w:pStyle w:val="ListParagraph"/>
        <w:numPr>
          <w:ilvl w:val="0"/>
          <w:numId w:val="2"/>
        </w:numPr>
        <w:spacing w:after="100" w:line="280"/>
      </w:pPr>
      <w:r>
        <w:rPr>
          <w:rFonts w:ascii="Arial" w:cs="Arial" w:eastAsia="Arial" w:hAnsi="Arial"/>
          <w:color w:val="333333"/>
          <w:sz w:val="22"/>
          <w:szCs w:val="22"/>
        </w:rPr>
        <w:t xml:space="preserve">SLA Credit Enforcement: Ad-hoc and reactive (target: 100% automated monthly)</w:t>
      </w:r>
    </w:p>
    <w:p>
      <w:pPr>
        <w:pStyle w:val="ListParagraph"/>
        <w:numPr>
          <w:ilvl w:val="0"/>
          <w:numId w:val="2"/>
        </w:numPr>
        <w:spacing w:after="100" w:line="280"/>
      </w:pPr>
      <w:r>
        <w:rPr>
          <w:rFonts w:ascii="Arial" w:cs="Arial" w:eastAsia="Arial" w:hAnsi="Arial"/>
          <w:color w:val="333333"/>
          <w:sz w:val="22"/>
          <w:szCs w:val="22"/>
        </w:rPr>
        <w:t xml:space="preserve">Problem Management Escalation: Manual and infrequent (target: automated at 3 incident threshold)</w:t>
      </w:r>
    </w:p>
    <w:p>
      <w:pPr>
        <w:pStyle w:val="ListParagraph"/>
        <w:numPr>
          <w:ilvl w:val="0"/>
          <w:numId w:val="2"/>
        </w:numPr>
        <w:spacing w:after="100" w:line="280"/>
      </w:pPr>
      <w:r>
        <w:rPr>
          <w:rFonts w:ascii="Arial" w:cs="Arial" w:eastAsia="Arial" w:hAnsi="Arial"/>
          <w:color w:val="333333"/>
          <w:sz w:val="22"/>
          <w:szCs w:val="22"/>
        </w:rPr>
        <w:t xml:space="preserve">Incident Remediation: Manual Ansible approval gate (target: autonomous for known pattern remediation)</w:t>
      </w:r>
    </w:p>
    <w:p>
      <w:pPr>
        <w:pStyle w:val="ListParagraph"/>
        <w:numPr>
          <w:ilvl w:val="0"/>
          <w:numId w:val="2"/>
        </w:numPr>
        <w:spacing w:after="100" w:line="280"/>
      </w:pPr>
      <w:r>
        <w:rPr>
          <w:rFonts w:ascii="Arial" w:cs="Arial" w:eastAsia="Arial" w:hAnsi="Arial"/>
          <w:color w:val="333333"/>
          <w:sz w:val="22"/>
          <w:szCs w:val="22"/>
        </w:rPr>
        <w:t xml:space="preserve">Configuration Drift Detection: Quarterly manual (target: continuous automated daily)</w:t>
      </w:r>
    </w:p>
    <w:p>
      <w:pPr>
        <w:spacing w:before="400"/>
      </w:pPr>
      <w:r>
        <w:rPr>
          <w:rFonts w:ascii="Arial" w:cs="Arial" w:eastAsia="Arial" w:hAnsi="Arial"/>
          <w:b/>
          <w:bCs/>
          <w:color w:val="2E75B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8: Data Management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2026-03-05T19:49:26.241Z</dcterms:created>
  <dcterms:modified xsi:type="dcterms:W3CDTF">2026-03-05T19:49:26.242Z</dcterms:modified>
</cp:coreProperties>
</file>

<file path=docProps/custom.xml><?xml version="1.0" encoding="utf-8"?>
<Properties xmlns="http://schemas.openxmlformats.org/officeDocument/2006/custom-properties" xmlns:vt="http://schemas.openxmlformats.org/officeDocument/2006/docPropsVTypes"/>
</file>