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48"/>
          <w:szCs w:val="48"/>
        </w:rPr>
        <w:t xml:space="preserve">FINANCIAL ENRICHMENT REPORT</w:t>
      </w:r>
    </w:p>
    <w:p>
      <w:pPr>
        <w:spacing w:before="200"/>
        <w:jc w:val="center"/>
      </w:pPr>
      <w:r>
        <w:rPr>
          <w:rFonts w:ascii="Arial" w:cs="Arial" w:eastAsia="Arial" w:hAnsi="Arial"/>
          <w:color w:val="2E5984"/>
          <w:sz w:val="28"/>
          <w:szCs w:val="28"/>
        </w:rPr>
        <w:t xml:space="preserve">Rackspace Technology Enterprise Knowledge Graph</w:t>
      </w:r>
    </w:p>
    <w:p>
      <w:pPr>
        <w:spacing w:before="600"/>
        <w:jc w:val="center"/>
      </w:pPr>
      <w:r>
        <w:rPr>
          <w:rFonts w:ascii="Arial" w:cs="Arial" w:eastAsia="Arial" w:hAnsi="Arial"/>
          <w:color w:val="666666"/>
          <w:sz w:val="24"/>
          <w:szCs w:val="24"/>
        </w:rPr>
        <w:t xml:space="preserve">March 5, 2026</w:t>
      </w:r>
    </w:p>
    <w:p>
      <w:pPr>
        <w:spacing w:before="200"/>
        <w:jc w:val="center"/>
      </w:pPr>
      <w:r>
        <w:rPr>
          <w:rFonts w:ascii="Arial" w:cs="Arial" w:eastAsia="Arial" w:hAnsi="Arial"/>
          <w:color w:val="666666"/>
          <w:sz w:val="22"/>
          <w:szCs w:val="22"/>
        </w:rPr>
        <w:t xml:space="preserve">Prepared for Thomas Jones | The Hipster CISO</w:t>
      </w:r>
    </w:p>
    <w:p>
      <w:pPr>
        <w:spacing w:before="200"/>
        <w:jc w:val="center"/>
      </w:pPr>
      <w:r>
        <w:rPr>
          <w:rFonts w:ascii="Arial" w:cs="Arial" w:eastAsia="Arial" w:hAnsi="Arial"/>
          <w:color w:val="666666"/>
          <w:sz w:val="22"/>
          <w:szCs w:val="22"/>
        </w:rPr>
        <w:t xml:space="preserve">CMU CDAIO Executive Certificate Program</w:t>
      </w:r>
    </w:p>
    <w:p>
      <w:pPr>
        <w:spacing w:before="8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This report documents the comprehensive financial enrichment of the Rackspace Technology enterprise knowledge graph, encompassing 3,060 entities across 26 types and 7,614 relationships across 40 types. The enrichment was performed using a six-wave parallel execution methodology anchored to Rackspace Technology’s FY2024 10-K SEC filing and supplementary public financial disclosures.</w:t>
      </w:r>
    </w:p>
    <w:p>
      <w:pPr>
        <w:spacing w:after="120"/>
      </w:pPr>
      <w:r>
        <w:rPr>
          <w:rFonts w:ascii="Arial" w:cs="Arial" w:eastAsia="Arial" w:hAnsi="Arial"/>
          <w:sz w:val="22"/>
          <w:szCs w:val="22"/>
        </w:rPr>
        <w:t xml:space="preserve">The enrichment process added validated financial attributes—including estimated costs, revenue attributions, risk exposures, and dependency valuations—to 688 entities across all major entity categories. Each estimate includes confidence ratings, estimation methodology documentation, and provenance tagging for full auditability.</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Entities in Graph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3,060</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Entities Financially Enriched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688</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Entity Types Covered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 of 26</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Relationships Documented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29 high-value dependency chains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Revenue Mapped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$2,737M (FY2024)</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Cost Structure Mapped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$2,912M (CoR + OpEx)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Risk Exposure (ALE)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$3,115M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Vendor Spend Mapped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$2,022M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Facility Costs Mapped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$360.7M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 Method</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 waves, 20+ parallel subagents</w:t>
            </w:r>
          </w:p>
        </w:tc>
      </w:tr>
    </w:tbl>
    <w:p>
      <w:r>
        <w:br w:type="page"/>
      </w:r>
    </w:p>
    <w:p>
      <w:pPr>
        <w:pStyle w:val="Heading1"/>
        <w:spacing w:after="200" w:before="360"/>
      </w:pPr>
      <w:r>
        <w:rPr>
          <w:rFonts w:ascii="Arial" w:cs="Arial" w:eastAsia="Arial" w:hAnsi="Arial"/>
          <w:b/>
          <w:bCs/>
          <w:color w:val="1B3A5C"/>
          <w:sz w:val="32"/>
          <w:szCs w:val="32"/>
        </w:rPr>
        <w:t xml:space="preserve">2. Estimation Methodology</w:t>
      </w:r>
    </w:p>
    <w:p>
      <w:pPr>
        <w:spacing w:after="120"/>
      </w:pPr>
      <w:r>
        <w:rPr>
          <w:rFonts w:ascii="Arial" w:cs="Arial" w:eastAsia="Arial" w:hAnsi="Arial"/>
          <w:sz w:val="22"/>
          <w:szCs w:val="22"/>
        </w:rPr>
        <w:t xml:space="preserve">All financial estimates follow a four-tier confidence framework designed to provide transparency about data provenance and estimation reliability. This framework ensures that consumers of the enriched data understand exactly how each figure was derived and can apply appropriate judgment.</w:t>
      </w:r>
    </w:p>
    <w:p>
      <w:pPr>
        <w:pStyle w:val="Heading2"/>
        <w:spacing w:after="160" w:before="280"/>
      </w:pPr>
      <w:r>
        <w:rPr>
          <w:rFonts w:ascii="Arial" w:cs="Arial" w:eastAsia="Arial" w:hAnsi="Arial"/>
          <w:b/>
          <w:bCs/>
          <w:color w:val="2E5984"/>
          <w:sz w:val="26"/>
          <w:szCs w:val="26"/>
        </w:rPr>
        <w:t xml:space="preserve">2.1 Confidence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1</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(0.9+)</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SEC-reported figures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debt, CapEx, headcount</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Tier 2</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Medium-High (0.7-0.9)</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SEC-derived calculations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 allocations, cost ratios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3</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(0.5-0.7)</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 benchmarks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TCO, vendor spend, compliance costs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Tier 4</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Low-Medium (0.3-0.5)</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Inference-based</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 ALE, dependency impact/hour</w:t>
            </w:r>
          </w:p>
        </w:tc>
      </w:tr>
    </w:tbl>
    <w:p>
      <w:pPr>
        <w:pStyle w:val="Heading2"/>
        <w:spacing w:after="160" w:before="280"/>
      </w:pPr>
      <w:r>
        <w:rPr>
          <w:rFonts w:ascii="Arial" w:cs="Arial" w:eastAsia="Arial" w:hAnsi="Arial"/>
          <w:b/>
          <w:bCs/>
          <w:color w:val="2E5984"/>
          <w:sz w:val="26"/>
          <w:szCs w:val="26"/>
        </w:rPr>
        <w:t xml:space="preserve">2.2 Allocation Methodology</w:t>
      </w:r>
    </w:p>
    <w:p>
      <w:pPr>
        <w:spacing w:after="120"/>
      </w:pPr>
      <w:r>
        <w:rPr>
          <w:rFonts w:ascii="Arial" w:cs="Arial" w:eastAsia="Arial" w:hAnsi="Arial"/>
          <w:sz w:val="22"/>
          <w:szCs w:val="22"/>
        </w:rPr>
        <w:t xml:space="preserve">Revenue allocation uses the disclosed Public Cloud (61.5%) and Private Cloud (38.5%) segment split as the primary partitioning axis. Within segments, revenue is distributed to products and customers using proportional weighting based on product lifecycle stage, customer contract scope, and market segment positioning.</w:t>
      </w:r>
    </w:p>
    <w:p>
      <w:pPr>
        <w:spacing w:after="120"/>
      </w:pPr>
      <w:r>
        <w:rPr>
          <w:rFonts w:ascii="Arial" w:cs="Arial" w:eastAsia="Arial" w:hAnsi="Arial"/>
          <w:sz w:val="22"/>
          <w:szCs w:val="22"/>
        </w:rPr>
        <w:t xml:space="preserve">Cost allocation follows an activity-based costing proxy model. Personnel costs are distributed using headcount ratios. Infrastructure costs use facility size and connectivity degree as proxies. Technology costs are allocated based on system criticality tiers and dependency counts within the knowledge graph itself—leveraging the graph structure as an allocation signal.</w:t>
      </w:r>
    </w:p>
    <w:p>
      <w:pPr>
        <w:pStyle w:val="Heading2"/>
        <w:spacing w:after="160" w:before="280"/>
      </w:pPr>
      <w:r>
        <w:rPr>
          <w:rFonts w:ascii="Arial" w:cs="Arial" w:eastAsia="Arial" w:hAnsi="Arial"/>
          <w:b/>
          <w:bCs/>
          <w:color w:val="2E5984"/>
          <w:sz w:val="26"/>
          <w:szCs w:val="26"/>
        </w:rPr>
        <w:t xml:space="preserve">2.3 Key Assumptions</w:t>
      </w:r>
    </w:p>
    <w:p>
      <w:pPr>
        <w:spacing w:after="120"/>
      </w:pPr>
      <w:r>
        <w:rPr>
          <w:rFonts w:ascii="Arial" w:cs="Arial" w:eastAsia="Arial" w:hAnsi="Arial"/>
          <w:sz w:val="22"/>
          <w:szCs w:val="22"/>
        </w:rPr>
        <w:t xml:space="preserve">1. Vendor spend constitutes 60-70% of cost of revenue ($1,300-1,500M), consistent with managed services industry benchmarks where third-party platform costs dominate the cost structure.</w:t>
      </w:r>
    </w:p>
    <w:p>
      <w:pPr>
        <w:spacing w:after="120"/>
      </w:pPr>
      <w:r>
        <w:rPr>
          <w:rFonts w:ascii="Arial" w:cs="Arial" w:eastAsia="Arial" w:hAnsi="Arial"/>
          <w:sz w:val="22"/>
          <w:szCs w:val="22"/>
        </w:rPr>
        <w:t xml:space="preserve">2. Fully loaded employee cost of $571K includes base compensation, benefits, equity, facilities allocation, and technology overhead, derived from total operating cost base divided by headcount.</w:t>
      </w:r>
    </w:p>
    <w:p>
      <w:pPr>
        <w:spacing w:after="120"/>
      </w:pPr>
      <w:r>
        <w:rPr>
          <w:rFonts w:ascii="Arial" w:cs="Arial" w:eastAsia="Arial" w:hAnsi="Arial"/>
          <w:sz w:val="22"/>
          <w:szCs w:val="22"/>
        </w:rPr>
        <w:t xml:space="preserve">3. Data center facility costs represent 25-35% of cost of revenue, consistent with Uptime Institute benchmarks for multi-tenant data center operators at Rackspace’s scale.</w:t>
      </w:r>
    </w:p>
    <w:p>
      <w:pPr>
        <w:spacing w:after="120"/>
      </w:pPr>
      <w:r>
        <w:rPr>
          <w:rFonts w:ascii="Arial" w:cs="Arial" w:eastAsia="Arial" w:hAnsi="Arial"/>
          <w:sz w:val="22"/>
          <w:szCs w:val="22"/>
        </w:rPr>
        <w:t xml:space="preserve">4. Risk ALE calculations use probability estimates informed by Rackspace’s disclosed risk factors in the 10-K Item 1A, calibrated against industry incident frequency data from Ponemon Institute and Verizon DBIR.</w:t>
      </w:r>
    </w:p>
    <w:p>
      <w:r>
        <w:br w:type="page"/>
      </w:r>
    </w:p>
    <w:p>
      <w:pPr>
        <w:pStyle w:val="Heading1"/>
        <w:spacing w:after="200" w:before="360"/>
      </w:pPr>
      <w:r>
        <w:rPr>
          <w:rFonts w:ascii="Arial" w:cs="Arial" w:eastAsia="Arial" w:hAnsi="Arial"/>
          <w:b/>
          <w:bCs/>
          <w:color w:val="1B3A5C"/>
          <w:sz w:val="32"/>
          <w:szCs w:val="32"/>
        </w:rPr>
        <w:t xml:space="preserve">3. Enrichment Results by Wave</w:t>
      </w:r>
    </w:p>
    <w:p>
      <w:pPr>
        <w:pStyle w:val="Heading2"/>
        <w:spacing w:after="160" w:before="280"/>
      </w:pPr>
      <w:r>
        <w:rPr>
          <w:rFonts w:ascii="Arial" w:cs="Arial" w:eastAsia="Arial" w:hAnsi="Arial"/>
          <w:b/>
          <w:bCs/>
          <w:color w:val="2E5984"/>
          <w:sz w:val="26"/>
          <w:szCs w:val="26"/>
        </w:rPr>
        <w:t xml:space="preserve">3.1 Wave 1: High-Value Entities (220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Type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Financial Metric</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Total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TCO</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$130.6M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Vendors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Annual Spend</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$2,022.3M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Value</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$2,645M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Products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Revenue Attribution</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$2,737M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Sites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Facility Costs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$360.7M</w:t>
            </w:r>
          </w:p>
        </w:tc>
      </w:tr>
    </w:tbl>
    <w:p>
      <w:pPr>
        <w:spacing w:after="120"/>
      </w:pPr>
      <w:r>
        <w:rPr>
          <w:rFonts w:ascii="Arial" w:cs="Arial" w:eastAsia="Arial" w:hAnsi="Arial"/>
          <w:sz w:val="22"/>
          <w:szCs w:val="22"/>
        </w:rPr>
        <w:t xml:space="preserve">Wave 1 captured the financial backbone of the enterprise: the systems that deliver services, the vendors that supply infrastructure, the contracts that govern commercial relationships, the products that generate revenue, and the sites that house operations.</w:t>
      </w:r>
    </w:p>
    <w:p>
      <w:pPr>
        <w:pStyle w:val="Heading2"/>
        <w:spacing w:after="160" w:before="280"/>
      </w:pPr>
      <w:r>
        <w:rPr>
          <w:rFonts w:ascii="Arial" w:cs="Arial" w:eastAsia="Arial" w:hAnsi="Arial"/>
          <w:b/>
          <w:bCs/>
          <w:color w:val="2E5984"/>
          <w:sz w:val="26"/>
          <w:szCs w:val="26"/>
        </w:rPr>
        <w:t xml:space="preserve">3.2 Wave 2: Organizational Entities (154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Type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Financial Metric</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Total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Departments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Budget Allocation</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$353.9M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Organizational Units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Budget Allocation</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$2,737M (consolidated)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Loaded Annual Cost</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$43.8M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Persons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24</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Executive Compensation</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$26.8M</w:t>
            </w:r>
          </w:p>
        </w:tc>
      </w:tr>
    </w:tbl>
    <w:p>
      <w:pPr>
        <w:spacing w:after="120"/>
      </w:pPr>
      <w:r>
        <w:rPr>
          <w:rFonts w:ascii="Arial" w:cs="Arial" w:eastAsia="Arial" w:hAnsi="Arial"/>
          <w:sz w:val="22"/>
          <w:szCs w:val="22"/>
        </w:rPr>
        <w:t xml:space="preserve">Wave 2 mapped the human capital cost structure, from C-suite compensation disclosed in SEC proxy filings through departmental budget allocations derived from industry benchmarks for managed cloud services companies.</w:t>
      </w:r>
    </w:p>
    <w:p>
      <w:pPr>
        <w:pStyle w:val="Heading2"/>
        <w:spacing w:after="160" w:before="280"/>
      </w:pPr>
      <w:r>
        <w:rPr>
          <w:rFonts w:ascii="Arial" w:cs="Arial" w:eastAsia="Arial" w:hAnsi="Arial"/>
          <w:b/>
          <w:bCs/>
          <w:color w:val="2E5984"/>
          <w:sz w:val="26"/>
          <w:szCs w:val="26"/>
        </w:rPr>
        <w:t xml:space="preserve">3.3 Wave 3: Governance and Risk Entities (200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Type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Financial Metric</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Total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Operating Cost</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Annual Loss Expectancy</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$3,115M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Regulations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Compliance Cost</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$72.4M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Policies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Lifecycle Cost</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$3.9M</w:t>
            </w:r>
          </w:p>
        </w:tc>
      </w:tr>
    </w:tbl>
    <w:p>
      <w:pPr>
        <w:spacing w:after="120"/>
      </w:pPr>
      <w:r>
        <w:rPr>
          <w:rFonts w:ascii="Arial" w:cs="Arial" w:eastAsia="Arial" w:hAnsi="Arial"/>
          <w:sz w:val="22"/>
          <w:szCs w:val="22"/>
        </w:rPr>
        <w:t xml:space="preserve">Wave 3 revealed the most strategically significant finding: aggregate risk ALE of $3.1 billion exceeds annual revenue, driven primarily by financial leverage risks, reputational damage from the PLAY ransomware incident, and interest rate exposure on $3.16 billion in long-term debt. Current mitigation spend of $424M covers only 14% of ALE.</w:t>
      </w:r>
    </w:p>
    <w:p>
      <w:pPr>
        <w:pStyle w:val="Heading2"/>
        <w:spacing w:after="160" w:before="280"/>
      </w:pPr>
      <w:r>
        <w:rPr>
          <w:rFonts w:ascii="Arial" w:cs="Arial" w:eastAsia="Arial" w:hAnsi="Arial"/>
          <w:b/>
          <w:bCs/>
          <w:color w:val="2E5984"/>
          <w:sz w:val="26"/>
          <w:szCs w:val="26"/>
        </w:rPr>
        <w:t xml:space="preserve">3.4 Wave 4: Market and Capability Entities (96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Type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Financial Metric</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Total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Capabilities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Investment</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$630M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Customers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Estimated ARR</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$969M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Segments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TAM Mapped</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$970B</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Incidents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Financial Impact</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$238.5M</w:t>
            </w:r>
          </w:p>
        </w:tc>
      </w:tr>
    </w:tbl>
    <w:p>
      <w:pPr>
        <w:pStyle w:val="Heading2"/>
        <w:spacing w:after="160" w:before="280"/>
      </w:pPr>
      <w:r>
        <w:rPr>
          <w:rFonts w:ascii="Arial" w:cs="Arial" w:eastAsia="Arial" w:hAnsi="Arial"/>
          <w:b/>
          <w:bCs/>
          <w:color w:val="2E5984"/>
          <w:sz w:val="26"/>
          <w:szCs w:val="26"/>
        </w:rPr>
        <w:t xml:space="preserve">3.5 Wave 5: Infrastructure Entities (91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Type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Financial Metric</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Total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Cost</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$127.8M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Assets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Storage Cost</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$5.5M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Cost</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Domains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Governance Cost</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$28M</w:t>
            </w:r>
          </w:p>
        </w:tc>
      </w:tr>
    </w:tbl>
    <w:p>
      <w:pPr>
        <w:pStyle w:val="Heading2"/>
        <w:spacing w:after="160" w:before="280"/>
      </w:pPr>
      <w:r>
        <w:rPr>
          <w:rFonts w:ascii="Arial" w:cs="Arial" w:eastAsia="Arial" w:hAnsi="Arial"/>
          <w:b/>
          <w:bCs/>
          <w:color w:val="2E5984"/>
          <w:sz w:val="26"/>
          <w:szCs w:val="26"/>
        </w:rPr>
        <w:t xml:space="preserve">3.6 Wave 6: Relationships and Remaining Types (113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Type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Financial Metric</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Total 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Dependency Chains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Impact/Hour</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$26.3M/hour</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Jurisdictions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Compliance Burden</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$219-327M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Geographies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Allocation</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$2,737M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Locations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Facility Operating Cost</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$78.8M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Portfolios</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Attribution</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$2,737M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Initiatives</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Investment</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$150M</w:t>
            </w:r>
          </w:p>
        </w:tc>
      </w:tr>
    </w:tbl>
    <w:p>
      <w:r>
        <w:br w:type="page"/>
      </w:r>
    </w:p>
    <w:p>
      <w:pPr>
        <w:pStyle w:val="Heading1"/>
        <w:spacing w:after="200" w:before="360"/>
      </w:pPr>
      <w:r>
        <w:rPr>
          <w:rFonts w:ascii="Arial" w:cs="Arial" w:eastAsia="Arial" w:hAnsi="Arial"/>
          <w:b/>
          <w:bCs/>
          <w:color w:val="1B3A5C"/>
          <w:sz w:val="32"/>
          <w:szCs w:val="32"/>
        </w:rPr>
        <w:t xml:space="preserve">4. Key Financial Findings</w:t>
      </w:r>
    </w:p>
    <w:p>
      <w:pPr>
        <w:pStyle w:val="Heading2"/>
        <w:spacing w:after="160" w:before="280"/>
      </w:pPr>
      <w:r>
        <w:rPr>
          <w:rFonts w:ascii="Arial" w:cs="Arial" w:eastAsia="Arial" w:hAnsi="Arial"/>
          <w:b/>
          <w:bCs/>
          <w:color w:val="2E5984"/>
          <w:sz w:val="26"/>
          <w:szCs w:val="26"/>
        </w:rPr>
        <w:t xml:space="preserve">4.1 Vendor Concentration Risk</w:t>
      </w:r>
    </w:p>
    <w:p>
      <w:pPr>
        <w:spacing w:after="120"/>
      </w:pPr>
      <w:r>
        <w:rPr>
          <w:rFonts w:ascii="Arial" w:cs="Arial" w:eastAsia="Arial" w:hAnsi="Arial"/>
          <w:sz w:val="22"/>
          <w:szCs w:val="22"/>
        </w:rPr>
        <w:t xml:space="preserve">The top three hyperscaler vendors (AWS, Azure, GCP) account for $900M in estimated annual spend—44.5% of total vendor expenditure. Adding VMware/Broadcom and Oracle brings the top five to $1,170M (57.9%). This concentration creates significant strategic dependency and pricing power asymmetry, particularly acute given Broadcom’s post-acquisition VMware licensing changes that imposed 200-300% price increases.</w:t>
      </w:r>
    </w:p>
    <w:p>
      <w:pPr>
        <w:pStyle w:val="Heading2"/>
        <w:spacing w:after="160" w:before="280"/>
      </w:pPr>
      <w:r>
        <w:rPr>
          <w:rFonts w:ascii="Arial" w:cs="Arial" w:eastAsia="Arial" w:hAnsi="Arial"/>
          <w:b/>
          <w:bCs/>
          <w:color w:val="2E5984"/>
          <w:sz w:val="26"/>
          <w:szCs w:val="26"/>
        </w:rPr>
        <w:t xml:space="preserve">4.2 Risk-to-Revenue Imbalance</w:t>
      </w:r>
    </w:p>
    <w:p>
      <w:pPr>
        <w:spacing w:after="120"/>
      </w:pPr>
      <w:r>
        <w:rPr>
          <w:rFonts w:ascii="Arial" w:cs="Arial" w:eastAsia="Arial" w:hAnsi="Arial"/>
          <w:sz w:val="22"/>
          <w:szCs w:val="22"/>
        </w:rPr>
        <w:t xml:space="preserve">Aggregate Annual Loss Expectancy of $3.1 billion represents 114% of FY2024 revenue. The three largest risk categories—financial leverage ($612M ALE), reputational damage ($206M), and interest rate/debt acceleration ($350M combined)—are structural rather than operational, meaning they cannot be mitigated through traditional security controls alone. Current risk mitigation investment covers only 14% of aggregate ALE.</w:t>
      </w:r>
    </w:p>
    <w:p>
      <w:pPr>
        <w:pStyle w:val="Heading2"/>
        <w:spacing w:after="160" w:before="280"/>
      </w:pPr>
      <w:r>
        <w:rPr>
          <w:rFonts w:ascii="Arial" w:cs="Arial" w:eastAsia="Arial" w:hAnsi="Arial"/>
          <w:b/>
          <w:bCs/>
          <w:color w:val="2E5984"/>
          <w:sz w:val="26"/>
          <w:szCs w:val="26"/>
        </w:rPr>
        <w:t xml:space="preserve">4.3 Infrastructure Cost Concentration</w:t>
      </w:r>
    </w:p>
    <w:p>
      <w:pPr>
        <w:spacing w:after="120"/>
      </w:pPr>
      <w:r>
        <w:rPr>
          <w:rFonts w:ascii="Arial" w:cs="Arial" w:eastAsia="Arial" w:hAnsi="Arial"/>
          <w:sz w:val="22"/>
          <w:szCs w:val="22"/>
        </w:rPr>
        <w:t xml:space="preserve">Five major US data centers (DFW3, IAD1, IAD2, IAD3, ORD1) collectively represent $90M in facility costs—25% of the total $360.7M infrastructure spend. The global backbone (AS12200) alone costs an estimated $30M annually. This geographic concentration creates both efficiency advantages through economies of scale and resilience concerns from single-region dependency.</w:t>
      </w:r>
    </w:p>
    <w:p>
      <w:pPr>
        <w:pStyle w:val="Heading2"/>
        <w:spacing w:after="160" w:before="280"/>
      </w:pPr>
      <w:r>
        <w:rPr>
          <w:rFonts w:ascii="Arial" w:cs="Arial" w:eastAsia="Arial" w:hAnsi="Arial"/>
          <w:b/>
          <w:bCs/>
          <w:color w:val="2E5984"/>
          <w:sz w:val="26"/>
          <w:szCs w:val="26"/>
        </w:rPr>
        <w:t xml:space="preserve">4.4 Dependency Chain Valuations</w:t>
      </w:r>
    </w:p>
    <w:p>
      <w:pPr>
        <w:spacing w:after="120"/>
      </w:pPr>
      <w:r>
        <w:rPr>
          <w:rFonts w:ascii="Arial" w:cs="Arial" w:eastAsia="Arial" w:hAnsi="Arial"/>
          <w:sz w:val="22"/>
          <w:szCs w:val="22"/>
        </w:rPr>
        <w:t xml:space="preserve">The Cloud Identity Service (sys-005) represents the single highest-value point of failure in the enterprise, with a mapped dependency impact of $2M per hour if the credential store fails. The Customer Portal (sys-001) and Rackspace Fabric platform (prd-001) each support $26.3M per hour in aggregate downstream dependency value across their connected entities.</w:t>
      </w:r>
    </w:p>
    <w:p>
      <w:pPr>
        <w:pStyle w:val="Heading2"/>
        <w:spacing w:after="160" w:before="280"/>
      </w:pPr>
      <w:r>
        <w:rPr>
          <w:rFonts w:ascii="Arial" w:cs="Arial" w:eastAsia="Arial" w:hAnsi="Arial"/>
          <w:b/>
          <w:bCs/>
          <w:color w:val="2E5984"/>
          <w:sz w:val="26"/>
          <w:szCs w:val="26"/>
        </w:rPr>
        <w:t xml:space="preserve">4.5 Compliance Cost Landscape</w:t>
      </w:r>
    </w:p>
    <w:p>
      <w:pPr>
        <w:spacing w:after="120"/>
      </w:pPr>
      <w:r>
        <w:rPr>
          <w:rFonts w:ascii="Arial" w:cs="Arial" w:eastAsia="Arial" w:hAnsi="Arial"/>
          <w:sz w:val="22"/>
          <w:szCs w:val="22"/>
        </w:rPr>
        <w:t xml:space="preserve">Total estimated compliance cost across 50 regulations is $72.4M annually, with maximum penalty exposure of $263.1M. The UK GDPR/DPA 2018 represents the single largest penalty exposure at $109M (4% of global revenue). FISMA and NIST SP 800-53 are the most expensive frameworks to maintain at $3.5M each annually, driven by the breadth of controls required for FedRAMP authorization.</w:t>
      </w:r>
    </w:p>
    <w:p>
      <w:r>
        <w:br w:type="page"/>
      </w:r>
    </w:p>
    <w:p>
      <w:pPr>
        <w:pStyle w:val="Heading1"/>
        <w:spacing w:after="200" w:before="360"/>
      </w:pPr>
      <w:r>
        <w:rPr>
          <w:rFonts w:ascii="Arial" w:cs="Arial" w:eastAsia="Arial" w:hAnsi="Arial"/>
          <w:b/>
          <w:bCs/>
          <w:color w:val="1B3A5C"/>
          <w:sz w:val="32"/>
          <w:szCs w:val="32"/>
        </w:rPr>
        <w:t xml:space="preserve">5. Limitations and Data Quality</w:t>
      </w:r>
    </w:p>
    <w:p>
      <w:pPr>
        <w:spacing w:after="120"/>
      </w:pPr>
      <w:r>
        <w:rPr>
          <w:rFonts w:ascii="Arial" w:cs="Arial" w:eastAsia="Arial" w:hAnsi="Arial"/>
          <w:sz w:val="22"/>
          <w:szCs w:val="22"/>
        </w:rPr>
        <w:t xml:space="preserve">This enrichment is estimation-based and should be treated as directional rather than precise. Several important limitations apply:</w:t>
      </w:r>
    </w:p>
    <w:p>
      <w:pPr>
        <w:spacing w:after="120"/>
      </w:pPr>
      <w:r>
        <w:rPr>
          <w:rFonts w:ascii="Arial" w:cs="Arial" w:eastAsia="Arial" w:hAnsi="Arial"/>
          <w:sz w:val="22"/>
          <w:szCs w:val="22"/>
        </w:rPr>
        <w:t xml:space="preserve">First, revenue allocation to individual products and customers involves proportional estimation that may not reflect actual internal cost accounting. Rackspace discloses only two-segment financial results (Public Cloud and Private Cloud), so sub-segment allocations are necessarily inferred.</w:t>
      </w:r>
    </w:p>
    <w:p>
      <w:pPr>
        <w:spacing w:after="120"/>
      </w:pPr>
      <w:r>
        <w:rPr>
          <w:rFonts w:ascii="Arial" w:cs="Arial" w:eastAsia="Arial" w:hAnsi="Arial"/>
          <w:sz w:val="22"/>
          <w:szCs w:val="22"/>
        </w:rPr>
        <w:t xml:space="preserve">Second, vendor spend estimates are based on industry benchmarks and may diverge from negotiated contract rates. Rackspace’s scale likely commands volume discounts not reflected in benchmark-based estimates.</w:t>
      </w:r>
    </w:p>
    <w:p>
      <w:pPr>
        <w:spacing w:after="120"/>
      </w:pPr>
      <w:r>
        <w:rPr>
          <w:rFonts w:ascii="Arial" w:cs="Arial" w:eastAsia="Arial" w:hAnsi="Arial"/>
          <w:sz w:val="22"/>
          <w:szCs w:val="22"/>
        </w:rPr>
        <w:t xml:space="preserve">Third, risk ALE calculations combine probability and impact estimates that carry inherent uncertainty. The $3.1B aggregate ALE should be understood as a portfolio risk view rather than an expected cash outflow.</w:t>
      </w:r>
    </w:p>
    <w:p>
      <w:pPr>
        <w:spacing w:after="120"/>
      </w:pPr>
      <w:r>
        <w:rPr>
          <w:rFonts w:ascii="Arial" w:cs="Arial" w:eastAsia="Arial" w:hAnsi="Arial"/>
          <w:sz w:val="22"/>
          <w:szCs w:val="22"/>
        </w:rPr>
        <w:t xml:space="preserve">Fourth, data assets, integrations, and data domains received “low” confidence ratings because their costs are diffused across infrastructure and personnel budgets rather than tracked as discrete line items.</w:t>
      </w:r>
    </w:p>
    <w:p>
      <w:pPr>
        <w:pStyle w:val="Heading2"/>
        <w:spacing w:after="160" w:before="280"/>
      </w:pPr>
      <w:r>
        <w:rPr>
          <w:rFonts w:ascii="Arial" w:cs="Arial" w:eastAsia="Arial" w:hAnsi="Arial"/>
          <w:b/>
          <w:bCs/>
          <w:color w:val="2E5984"/>
          <w:sz w:val="26"/>
          <w:szCs w:val="26"/>
        </w:rPr>
        <w:t xml:space="preserve">5.1 Confidence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Confidence Level</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Entity Count</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Percentage</w:t>
            </w:r>
          </w:p>
        </w:tc>
        <w:tc>
          <w:tcPr>
            <w:tcW w:type="dxa" w:w="1953"/>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Typical Sources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(0.9+)</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 filings, proxy statements, debt schedules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Medium-High (0.7-0.9)</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17%</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Segment-derived, disclosed contract values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(0.5-0.7)</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383</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w:t>
            </w:r>
          </w:p>
        </w:tc>
        <w:tc>
          <w:tcPr>
            <w:tcW w:type="dxa" w:w="195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 benchmarks, allocation models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Low-Medium (0.3-0.5)</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150</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w:t>
            </w:r>
          </w:p>
        </w:tc>
        <w:tc>
          <w:tcPr>
            <w:tcW w:type="dxa" w:w="195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Inference, relationship-based estimation</w:t>
            </w:r>
          </w:p>
        </w:tc>
      </w:tr>
    </w:tbl>
    <w:p>
      <w:r>
        <w:br w:type="page"/>
      </w:r>
    </w:p>
    <w:p>
      <w:pPr>
        <w:pStyle w:val="Heading1"/>
        <w:spacing w:after="200" w:before="360"/>
      </w:pPr>
      <w:r>
        <w:rPr>
          <w:rFonts w:ascii="Arial" w:cs="Arial" w:eastAsia="Arial" w:hAnsi="Arial"/>
          <w:b/>
          <w:bCs/>
          <w:color w:val="1B3A5C"/>
          <w:sz w:val="32"/>
          <w:szCs w:val="32"/>
        </w:rPr>
        <w:t xml:space="preserve">6. Recovery Protocol and Reproducibility</w:t>
      </w:r>
    </w:p>
    <w:p>
      <w:pPr>
        <w:spacing w:after="120"/>
      </w:pPr>
      <w:r>
        <w:rPr>
          <w:rFonts w:ascii="Arial" w:cs="Arial" w:eastAsia="Arial" w:hAnsi="Arial"/>
          <w:sz w:val="22"/>
          <w:szCs w:val="22"/>
        </w:rPr>
        <w:t xml:space="preserve">The enrichment was executed in six waves using 20+ parallel subagents. Each wave is idempotent—re-running a wave will overwrite previous estimates with fresh calculations using the same methodology. The wave structure enables partial recovery if processing is interrupted:</w:t>
      </w:r>
    </w:p>
    <w:p>
      <w:pPr>
        <w:spacing w:after="120"/>
      </w:pPr>
      <w:r>
        <w:rPr>
          <w:rFonts w:ascii="Arial" w:cs="Arial" w:eastAsia="Arial" w:hAnsi="Arial"/>
          <w:sz w:val="22"/>
          <w:szCs w:val="22"/>
        </w:rPr>
        <w:t xml:space="preserve">Wave 1: Systems, vendors, contracts, products, sites (317 target entities)</w:t>
      </w:r>
    </w:p>
    <w:p>
      <w:pPr>
        <w:spacing w:after="120"/>
      </w:pPr>
      <w:r>
        <w:rPr>
          <w:rFonts w:ascii="Arial" w:cs="Arial" w:eastAsia="Arial" w:hAnsi="Arial"/>
          <w:sz w:val="22"/>
          <w:szCs w:val="22"/>
        </w:rPr>
        <w:t xml:space="preserve">Wave 2: Departments, organizational units, roles, persons (891 target entities)</w:t>
      </w:r>
    </w:p>
    <w:p>
      <w:pPr>
        <w:spacing w:after="120"/>
      </w:pPr>
      <w:r>
        <w:rPr>
          <w:rFonts w:ascii="Arial" w:cs="Arial" w:eastAsia="Arial" w:hAnsi="Arial"/>
          <w:sz w:val="22"/>
          <w:szCs w:val="22"/>
        </w:rPr>
        <w:t xml:space="preserve">Wave 3: Controls, risks, regulations, policies (647 target entities)</w:t>
      </w:r>
    </w:p>
    <w:p>
      <w:pPr>
        <w:spacing w:after="120"/>
      </w:pPr>
      <w:r>
        <w:rPr>
          <w:rFonts w:ascii="Arial" w:cs="Arial" w:eastAsia="Arial" w:hAnsi="Arial"/>
          <w:sz w:val="22"/>
          <w:szCs w:val="22"/>
        </w:rPr>
        <w:t xml:space="preserve">Wave 4: Business capabilities, customers, market segments, incidents (290 target entities)</w:t>
      </w:r>
    </w:p>
    <w:p>
      <w:pPr>
        <w:spacing w:after="120"/>
      </w:pPr>
      <w:r>
        <w:rPr>
          <w:rFonts w:ascii="Arial" w:cs="Arial" w:eastAsia="Arial" w:hAnsi="Arial"/>
          <w:sz w:val="22"/>
          <w:szCs w:val="22"/>
        </w:rPr>
        <w:t xml:space="preserve">Wave 5: Networks, data assets, integrations, data domains (726 target entities)</w:t>
      </w:r>
    </w:p>
    <w:p>
      <w:pPr>
        <w:spacing w:after="120"/>
      </w:pPr>
      <w:r>
        <w:rPr>
          <w:rFonts w:ascii="Arial" w:cs="Arial" w:eastAsia="Arial" w:hAnsi="Arial"/>
          <w:sz w:val="22"/>
          <w:szCs w:val="22"/>
        </w:rPr>
        <w:t xml:space="preserve">Wave 6: Relationships, jurisdictions, geographies, locations, product portfolios, initiatives (189 target entities)</w:t>
      </w:r>
    </w:p>
    <w:p>
      <w:pPr>
        <w:spacing w:after="120"/>
      </w:pPr>
      <w:r>
        <w:rPr>
          <w:rFonts w:ascii="Arial" w:cs="Arial" w:eastAsia="Arial" w:hAnsi="Arial"/>
          <w:sz w:val="22"/>
          <w:szCs w:val="22"/>
        </w:rPr>
        <w:t xml:space="preserve">All entity updates include provenance tagging with assessment date (2026-03-05), assessor identification (Financial Enrichment Agent), and estimation methodology. The FINANCIAL_ENRICHMENT_ROADMAP.md file in the workspace folder contains the master reference data and allocation ratios used across all waves.</w:t>
      </w:r>
    </w:p>
    <w:p>
      <w:r>
        <w:br w:type="page"/>
      </w:r>
    </w:p>
    <w:p>
      <w:pPr>
        <w:pStyle w:val="Heading1"/>
        <w:spacing w:after="200" w:before="360"/>
      </w:pPr>
      <w:r>
        <w:rPr>
          <w:rFonts w:ascii="Arial" w:cs="Arial" w:eastAsia="Arial" w:hAnsi="Arial"/>
          <w:b/>
          <w:bCs/>
          <w:color w:val="1B3A5C"/>
          <w:sz w:val="32"/>
          <w:szCs w:val="32"/>
        </w:rPr>
        <w:t xml:space="preserve">7. Recommendations</w:t>
      </w:r>
    </w:p>
    <w:p>
      <w:pPr>
        <w:spacing w:after="120"/>
      </w:pPr>
      <w:r>
        <w:rPr>
          <w:rFonts w:ascii="Arial" w:cs="Arial" w:eastAsia="Arial" w:hAnsi="Arial"/>
          <w:sz w:val="22"/>
          <w:szCs w:val="22"/>
        </w:rPr>
        <w:t xml:space="preserve">Based on the financial enrichment findings, the following actions warrant consideration:</w:t>
      </w:r>
    </w:p>
    <w:p>
      <w:pPr>
        <w:spacing w:after="120"/>
      </w:pPr>
      <w:r>
        <w:rPr>
          <w:rFonts w:ascii="Arial" w:cs="Arial" w:eastAsia="Arial" w:hAnsi="Arial"/>
          <w:sz w:val="22"/>
          <w:szCs w:val="22"/>
        </w:rPr>
        <w:t xml:space="preserve">1. Validate hyperscaler spend estimates against actual procurement data. The $900M top-3 estimate is directionally significant regardless of precision, but actual figures will sharpen strategic sourcing decisions.</w:t>
      </w:r>
    </w:p>
    <w:p>
      <w:pPr>
        <w:spacing w:after="120"/>
      </w:pPr>
      <w:r>
        <w:rPr>
          <w:rFonts w:ascii="Arial" w:cs="Arial" w:eastAsia="Arial" w:hAnsi="Arial"/>
          <w:sz w:val="22"/>
          <w:szCs w:val="22"/>
        </w:rPr>
        <w:t xml:space="preserve">2. Commission a formal quantitative risk assessment calibrated against the $3.1B ALE portfolio. The 14% mitigation coverage ratio suggests either under-investment in risk mitigation or over-estimation of loss expectancy—both warrant investigation.</w:t>
      </w:r>
    </w:p>
    <w:p>
      <w:pPr>
        <w:spacing w:after="120"/>
      </w:pPr>
      <w:r>
        <w:rPr>
          <w:rFonts w:ascii="Arial" w:cs="Arial" w:eastAsia="Arial" w:hAnsi="Arial"/>
          <w:sz w:val="22"/>
          <w:szCs w:val="22"/>
        </w:rPr>
        <w:t xml:space="preserve">3. Map actual system TCO against the $130.6M estimated portfolio to identify cost optimization opportunities, particularly in legacy systems approaching end-of-life.</w:t>
      </w:r>
    </w:p>
    <w:p>
      <w:pPr>
        <w:spacing w:after="120"/>
      </w:pPr>
      <w:r>
        <w:rPr>
          <w:rFonts w:ascii="Arial" w:cs="Arial" w:eastAsia="Arial" w:hAnsi="Arial"/>
          <w:sz w:val="22"/>
          <w:szCs w:val="22"/>
        </w:rPr>
        <w:t xml:space="preserve">4. Use the dependency chain valuations ($26.3M/hour aggregate) to prioritize resilience investments in Identity Service, Customer Portal, and Fabric platform.</w:t>
      </w:r>
    </w:p>
    <w:p>
      <w:pPr>
        <w:spacing w:after="120"/>
      </w:pPr>
      <w:r>
        <w:rPr>
          <w:rFonts w:ascii="Arial" w:cs="Arial" w:eastAsia="Arial" w:hAnsi="Arial"/>
          <w:sz w:val="22"/>
          <w:szCs w:val="22"/>
        </w:rPr>
        <w:t xml:space="preserve">5. Integrate the enriched financial data into enterprise architecture decision-making to ensure technology investment decisions are anchored to quantified business impact rather than qualitative assessments.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Rackspace Technology — Financial Enrichment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2026-03-05T21:39:37.962Z</dcterms:created>
  <dcterms:modified xsi:type="dcterms:W3CDTF">2026-03-05T21:39:37.963Z</dcterms:modified>
</cp:coreProperties>
</file>

<file path=docProps/custom.xml><?xml version="1.0" encoding="utf-8"?>
<Properties xmlns="http://schemas.openxmlformats.org/officeDocument/2006/custom-properties" xmlns:vt="http://schemas.openxmlformats.org/officeDocument/2006/docPropsVTypes"/>
</file>