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32"/>
        </w:rPr>
        <w:t>SOP.0003 — ĐÀO TẠO / TRAINING</w:t>
      </w:r>
    </w:p>
    <w:p>
      <w:pPr>
        <w:jc w:val="center"/>
      </w:pPr>
      <w:r>
        <w:rPr>
          <w:b/>
        </w:rPr>
        <w:t>Version 3.0.0 — BẢN NHÁP DỰ THẢO ĐỂ QA XEM XÉT / DRAFT FOR QA REVIEW</w:t>
      </w:r>
    </w:p>
    <w:p>
      <w:r>
        <w:rPr>
          <w:color w:val="B42318"/>
          <w:sz w:val="18"/>
        </w:rPr>
        <w:t>Ghi chú cho người soát xét / Note for the reviewer: bản nháp này viết lại SOP.0003 hiệu lực (v2.0.0) theo mô hình kết hợp giấy và phần mềm (giải pháp C). Chữ đỏ là chỗ cần QA hoặc nhà máy quyết định trước khi phát hành. Bảng đối chiếu điều khoản cũ và mới nằm ở tệp riêng. / This draft rewrites the effective SOP.0003 (v2.0.0) for the combined paper and software model (solution C). Red text marks what QA or the plant must decide before issue. The old-to-new clause comparison is in a separate file.</w:t>
      </w:r>
    </w:p>
    <w:p>
      <w:pPr>
        <w:keepNext/>
        <w:spacing w:before="200"/>
      </w:pPr>
      <w:r>
        <w:rPr>
          <w:b/>
          <w:color w:val="047857"/>
          <w:sz w:val="24"/>
        </w:rPr>
        <w:t>1. MỤC ĐÍCH</w:t>
      </w:r>
      <w:r>
        <w:rPr>
          <w:b/>
          <w:i/>
          <w:color w:val="047857"/>
          <w:sz w:val="24"/>
        </w:rPr>
        <w:t xml:space="preserve"> / PURPOSE</w:t>
      </w:r>
    </w:p>
    <w:p>
      <w:pPr>
        <w:pStyle w:val="ListBullet"/>
        <w:ind w:left="340"/>
      </w:pPr>
      <w:r>
        <w:t>Mô tả quy trình lập kế hoạch, thực hiện, đánh giá đào tạo và quản lý hồ sơ đào tạo cho tất cả nhân viên của nhà máy Dược Ngọc Thiện, thực hiện bằng phần mềm quản lý đào tạo (sau đây gọi là "hệ thống") kết hợp với biểu mẫu giấy có kiểm soát ở những nơi không dùng được thiết bị điện tử.</w:t>
      </w:r>
      <w:r>
        <w:br/>
      </w:r>
      <w:r>
        <w:rPr>
          <w:i/>
          <w:color w:val="475569"/>
        </w:rPr>
        <w:t>Describe the process of planning, conducting and evaluating training and managing training records for all employees of the Duoc Ngoc Thien plant, carried out in the training management software ("the system") combined with controlled paper forms where electronic devices cannot be used.</w:t>
      </w:r>
    </w:p>
    <w:p>
      <w:pPr>
        <w:keepNext/>
        <w:spacing w:before="200"/>
      </w:pPr>
      <w:r>
        <w:rPr>
          <w:b/>
          <w:color w:val="047857"/>
          <w:sz w:val="24"/>
        </w:rPr>
        <w:t>2. PHẠM VI ÁP DỤNG</w:t>
      </w:r>
      <w:r>
        <w:rPr>
          <w:b/>
          <w:i/>
          <w:color w:val="047857"/>
          <w:sz w:val="24"/>
        </w:rPr>
        <w:t xml:space="preserve"> / SCOPE</w:t>
      </w:r>
    </w:p>
    <w:p>
      <w:pPr>
        <w:pStyle w:val="ListBullet"/>
        <w:ind w:left="340"/>
      </w:pPr>
      <w:r>
        <w:t>Áp dụng cho tất cả nhân sự trong các phòng ban của nhà máy và việc đào tạo khách tham quan.</w:t>
      </w:r>
      <w:r>
        <w:br/>
      </w:r>
      <w:r>
        <w:rPr>
          <w:i/>
          <w:color w:val="475569"/>
        </w:rPr>
        <w:t>Applies to all personnel in the departments of the plant and to the training of visitors.</w:t>
      </w:r>
    </w:p>
    <w:p>
      <w:pPr>
        <w:keepNext/>
        <w:spacing w:before="200"/>
      </w:pPr>
      <w:r>
        <w:rPr>
          <w:b/>
          <w:color w:val="047857"/>
          <w:sz w:val="24"/>
        </w:rPr>
        <w:t>3. TRÁCH NHIỆM</w:t>
      </w:r>
      <w:r>
        <w:rPr>
          <w:b/>
          <w:i/>
          <w:color w:val="047857"/>
          <w:sz w:val="24"/>
        </w:rPr>
        <w:t xml:space="preserve"> / RESPONSIBILITY</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E7F3EE"/>
          </w:tcPr>
          <w:p>
            <w:r/>
            <w:r>
              <w:rPr>
                <w:b/>
                <w:sz w:val="18"/>
              </w:rPr>
              <w:t>Đối tượng / Objects</w:t>
            </w:r>
          </w:p>
        </w:tc>
        <w:tc>
          <w:tcPr>
            <w:tcW w:type="dxa" w:w="6803"/>
            <w:shd w:val="clear" w:color="auto" w:fill="E7F3EE"/>
          </w:tcPr>
          <w:p>
            <w:r/>
            <w:r>
              <w:rPr>
                <w:b/>
                <w:sz w:val="18"/>
              </w:rPr>
              <w:t>Trách nhiệm / Responsibility</w:t>
            </w:r>
          </w:p>
        </w:tc>
      </w:tr>
      <w:tr>
        <w:tc>
          <w:tcPr>
            <w:tcW w:type="dxa" w:w="2835"/>
          </w:tcPr>
          <w:p>
            <w:pPr>
              <w:spacing w:after="20"/>
            </w:pPr>
            <w:r/>
            <w:r>
              <w:rPr>
                <w:sz w:val="18"/>
              </w:rPr>
              <w:t>Trưởng đơn vị liên quan</w:t>
            </w:r>
          </w:p>
          <w:p>
            <w:pPr>
              <w:spacing w:after="20"/>
            </w:pPr>
            <w:r>
              <w:rPr>
                <w:i/>
                <w:sz w:val="18"/>
              </w:rPr>
              <w:t>/Head of related department</w:t>
            </w:r>
          </w:p>
        </w:tc>
        <w:tc>
          <w:tcPr>
            <w:tcW w:type="dxa" w:w="6803"/>
          </w:tcPr>
          <w:p>
            <w:pPr>
              <w:spacing w:after="20"/>
            </w:pPr>
            <w:r/>
            <w:r>
              <w:rPr>
                <w:sz w:val="18"/>
              </w:rPr>
              <w:t>Lập ma trận đào tạo của bộ phận trong hệ thống; thực hiện đào tạo ban đầu và đào tạo đột xuất của đơn vị; lập bản giao việc; xác nhận chữ ký mẫu của nhân viên.</w:t>
            </w:r>
          </w:p>
          <w:p>
            <w:pPr>
              <w:spacing w:after="20"/>
            </w:pPr>
            <w:r>
              <w:rPr>
                <w:i/>
                <w:sz w:val="18"/>
              </w:rPr>
              <w:t>/Prepare the training matrix of the department in the system; carry out initial and unplanned training; make the work assignment; confirm the specimen signature of the staff.</w:t>
            </w:r>
          </w:p>
        </w:tc>
      </w:tr>
      <w:tr>
        <w:tc>
          <w:tcPr>
            <w:tcW w:type="dxa" w:w="2835"/>
          </w:tcPr>
          <w:p>
            <w:pPr>
              <w:spacing w:after="20"/>
            </w:pPr>
            <w:r/>
            <w:r>
              <w:rPr>
                <w:sz w:val="18"/>
              </w:rPr>
              <w:t>Phòng HCNS</w:t>
            </w:r>
          </w:p>
          <w:p>
            <w:pPr>
              <w:spacing w:after="20"/>
            </w:pPr>
            <w:r>
              <w:rPr>
                <w:i/>
                <w:sz w:val="18"/>
              </w:rPr>
              <w:t>/HR department</w:t>
            </w:r>
          </w:p>
        </w:tc>
        <w:tc>
          <w:tcPr>
            <w:tcW w:type="dxa" w:w="6803"/>
          </w:tcPr>
          <w:p>
            <w:pPr>
              <w:spacing w:after="20"/>
            </w:pPr>
            <w:r/>
            <w:r>
              <w:rPr>
                <w:sz w:val="18"/>
              </w:rPr>
              <w:t>Đào tạo nội quy, an toàn lao động, phòng cháy chữa cháy; chuẩn bị địa điểm, phương tiện.</w:t>
            </w:r>
          </w:p>
          <w:p>
            <w:pPr>
              <w:spacing w:after="20"/>
            </w:pPr>
            <w:r>
              <w:rPr>
                <w:i/>
                <w:sz w:val="18"/>
              </w:rPr>
              <w:t>/Train company rules, work safety and fire prevention; prepare the venue and equipment.</w:t>
            </w:r>
          </w:p>
        </w:tc>
      </w:tr>
      <w:tr>
        <w:tc>
          <w:tcPr>
            <w:tcW w:type="dxa" w:w="2835"/>
          </w:tcPr>
          <w:p>
            <w:pPr>
              <w:spacing w:after="20"/>
            </w:pPr>
            <w:r/>
            <w:r>
              <w:rPr>
                <w:sz w:val="18"/>
              </w:rPr>
              <w:t>Nhân viên QA được phân công</w:t>
            </w:r>
          </w:p>
          <w:p>
            <w:pPr>
              <w:spacing w:after="20"/>
            </w:pPr>
            <w:r>
              <w:rPr>
                <w:i/>
                <w:sz w:val="18"/>
              </w:rPr>
              <w:t>/Assigned QA staff</w:t>
            </w:r>
          </w:p>
        </w:tc>
        <w:tc>
          <w:tcPr>
            <w:tcW w:type="dxa" w:w="6803"/>
          </w:tcPr>
          <w:p>
            <w:pPr>
              <w:spacing w:after="20"/>
            </w:pPr>
            <w:r/>
            <w:r>
              <w:rPr>
                <w:sz w:val="18"/>
              </w:rPr>
              <w:t>Rà soát ma trận của bộ phận QA; lập yêu cầu đào tạo; chuẩn bị danh sách người tham gia; xác nhận hoàn thành đào tạo trong hệ thống; quản lý hồ sơ đào tạo cá nhân; xử lý bản giấy khi hệ thống không dùng được.</w:t>
            </w:r>
          </w:p>
          <w:p>
            <w:pPr>
              <w:spacing w:after="20"/>
            </w:pPr>
            <w:r>
              <w:rPr>
                <w:i/>
                <w:sz w:val="18"/>
              </w:rPr>
              <w:t>/Review the matrix of QA; prepare training requirements and attendee lists; confirm completion in the system; manage personal training records; handle paper when the system cannot be used.</w:t>
            </w:r>
          </w:p>
        </w:tc>
      </w:tr>
      <w:tr>
        <w:tc>
          <w:tcPr>
            <w:tcW w:type="dxa" w:w="2835"/>
          </w:tcPr>
          <w:p>
            <w:pPr>
              <w:spacing w:after="20"/>
            </w:pPr>
            <w:r/>
            <w:r>
              <w:rPr>
                <w:sz w:val="18"/>
              </w:rPr>
              <w:t>Trưởng phòng QA</w:t>
            </w:r>
          </w:p>
          <w:p>
            <w:pPr>
              <w:spacing w:after="20"/>
            </w:pPr>
            <w:r>
              <w:rPr>
                <w:i/>
                <w:sz w:val="18"/>
              </w:rPr>
              <w:t>/QA manager</w:t>
            </w:r>
          </w:p>
        </w:tc>
        <w:tc>
          <w:tcPr>
            <w:tcW w:type="dxa" w:w="6803"/>
          </w:tcPr>
          <w:p>
            <w:pPr>
              <w:spacing w:after="20"/>
            </w:pPr>
            <w:r/>
            <w:r>
              <w:rPr>
                <w:sz w:val="18"/>
              </w:rPr>
              <w:t>Tổ chức đào tạo hằng năm toàn nhà máy; phê duyệt ma trận toàn nhà máy.</w:t>
            </w:r>
          </w:p>
          <w:p>
            <w:pPr>
              <w:spacing w:after="20"/>
            </w:pPr>
            <w:r>
              <w:rPr>
                <w:i/>
                <w:sz w:val="18"/>
              </w:rPr>
              <w:t>/Organize annual plant training; approve the plant training matrix.</w:t>
            </w:r>
          </w:p>
        </w:tc>
      </w:tr>
      <w:tr>
        <w:tc>
          <w:tcPr>
            <w:tcW w:type="dxa" w:w="2835"/>
          </w:tcPr>
          <w:p>
            <w:pPr>
              <w:spacing w:after="20"/>
            </w:pPr>
            <w:r/>
            <w:r>
              <w:rPr>
                <w:sz w:val="18"/>
              </w:rPr>
              <w:t>QM</w:t>
            </w:r>
          </w:p>
        </w:tc>
        <w:tc>
          <w:tcPr>
            <w:tcW w:type="dxa" w:w="6803"/>
          </w:tcPr>
          <w:p>
            <w:pPr>
              <w:spacing w:after="20"/>
            </w:pPr>
            <w:r/>
            <w:r>
              <w:rPr>
                <w:sz w:val="18"/>
              </w:rPr>
              <w:t>Phê duyệt yêu cầu đào tạo.</w:t>
            </w:r>
          </w:p>
          <w:p>
            <w:pPr>
              <w:spacing w:after="20"/>
            </w:pPr>
            <w:r>
              <w:rPr>
                <w:i/>
                <w:sz w:val="18"/>
              </w:rPr>
              <w:t>/Approves the training requirement.</w:t>
            </w:r>
          </w:p>
        </w:tc>
      </w:tr>
      <w:tr>
        <w:tc>
          <w:tcPr>
            <w:tcW w:type="dxa" w:w="2835"/>
          </w:tcPr>
          <w:p>
            <w:pPr>
              <w:spacing w:after="20"/>
            </w:pPr>
            <w:r/>
            <w:r>
              <w:rPr>
                <w:sz w:val="18"/>
              </w:rPr>
              <w:t>Người quản trị đào tạo (QA)</w:t>
            </w:r>
          </w:p>
          <w:p>
            <w:pPr>
              <w:spacing w:after="20"/>
            </w:pPr>
            <w:r>
              <w:rPr>
                <w:i/>
                <w:sz w:val="18"/>
              </w:rPr>
              <w:t>/Training administrator (QA)</w:t>
            </w:r>
          </w:p>
        </w:tc>
        <w:tc>
          <w:tcPr>
            <w:tcW w:type="dxa" w:w="6803"/>
          </w:tcPr>
          <w:p>
            <w:pPr>
              <w:spacing w:after="20"/>
            </w:pPr>
            <w:r/>
            <w:r>
              <w:rPr>
                <w:sz w:val="18"/>
              </w:rPr>
              <w:t>Quản lý thuộc tính hệ thống (ngưỡng đạt, thời hạn), danh mục chủ đề và chức danh, thư viện mẫu biểu mẫu đánh giá (nạp, bật, tắt có chữ ký điện tử).</w:t>
            </w:r>
          </w:p>
          <w:p>
            <w:pPr>
              <w:spacing w:after="20"/>
            </w:pPr>
            <w:r>
              <w:rPr>
                <w:i/>
                <w:sz w:val="18"/>
              </w:rPr>
              <w:t>/Manage the system properties (pass mark, periods), the topics and positions, and the library of assessment form templates (upload, enable, disable with electronic signature).</w:t>
            </w:r>
          </w:p>
        </w:tc>
      </w:tr>
    </w:tbl>
    <w:p/>
    <w:p>
      <w:pPr>
        <w:keepNext/>
        <w:spacing w:before="200"/>
      </w:pPr>
      <w:r>
        <w:rPr>
          <w:b/>
          <w:color w:val="047857"/>
          <w:sz w:val="24"/>
        </w:rPr>
        <w:t>4. KHÁI NIỆM, CHỮ VIẾT TẮT VÀ TÀI LIỆU THAM KHẢO</w:t>
      </w:r>
      <w:r>
        <w:rPr>
          <w:b/>
          <w:i/>
          <w:color w:val="047857"/>
          <w:sz w:val="24"/>
        </w:rPr>
        <w:t xml:space="preserve"> / DEFINITIONS, ABBREVIATIONS AND REFERENCES</w:t>
      </w:r>
    </w:p>
    <w:p>
      <w:pPr>
        <w:pStyle w:val="ListBullet"/>
        <w:ind w:left="340"/>
      </w:pPr>
      <w:r>
        <w:t>Giữ nguyên các thuật ngữ của SOP.0003 v2.0.0 (đào tạo, đào tạo định kỳ, đào tạo đột xuất, đào tạo ban đầu, đào tạo lại, buổi đào tạo, mã đào tạo).</w:t>
      </w:r>
      <w:r>
        <w:br/>
      </w:r>
      <w:r>
        <w:rPr>
          <w:i/>
          <w:color w:val="475569"/>
        </w:rPr>
        <w:t>The terms of SOP.0003 v2.0.0 are kept (training, periodic, unplanned, initial, re-training, training session, training number).</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E7F3EE"/>
          </w:tcPr>
          <w:p>
            <w:r/>
            <w:r>
              <w:rPr>
                <w:b/>
                <w:sz w:val="18"/>
              </w:rPr>
              <w:t>Thuật ngữ mới / New term</w:t>
            </w:r>
          </w:p>
        </w:tc>
        <w:tc>
          <w:tcPr>
            <w:tcW w:type="dxa" w:w="6803"/>
            <w:shd w:val="clear" w:color="auto" w:fill="E7F3EE"/>
          </w:tcPr>
          <w:p>
            <w:r/>
            <w:r>
              <w:rPr>
                <w:b/>
                <w:sz w:val="18"/>
              </w:rPr>
              <w:t>Giải thích / Description</w:t>
            </w:r>
          </w:p>
        </w:tc>
      </w:tr>
      <w:tr>
        <w:tc>
          <w:tcPr>
            <w:tcW w:type="dxa" w:w="2835"/>
          </w:tcPr>
          <w:p>
            <w:pPr>
              <w:spacing w:after="20"/>
            </w:pPr>
            <w:r/>
            <w:r>
              <w:rPr>
                <w:sz w:val="18"/>
              </w:rPr>
              <w:t>Hệ thống</w:t>
            </w:r>
          </w:p>
          <w:p>
            <w:pPr>
              <w:spacing w:after="20"/>
            </w:pPr>
            <w:r>
              <w:rPr>
                <w:i/>
                <w:sz w:val="18"/>
              </w:rPr>
              <w:t>/The system</w:t>
            </w:r>
          </w:p>
        </w:tc>
        <w:tc>
          <w:tcPr>
            <w:tcW w:type="dxa" w:w="6803"/>
          </w:tcPr>
          <w:p>
            <w:pPr>
              <w:spacing w:after="20"/>
            </w:pPr>
            <w:r/>
            <w:r>
              <w:rPr>
                <w:sz w:val="18"/>
              </w:rPr>
              <w:t>Phần mềm quản lý đào tạo của nhà máy (Training Management trong EQMS).</w:t>
            </w:r>
          </w:p>
          <w:p>
            <w:pPr>
              <w:spacing w:after="20"/>
            </w:pPr>
            <w:r>
              <w:rPr>
                <w:i/>
                <w:sz w:val="18"/>
              </w:rPr>
              <w:t>/The training management software of the plant (Training Management in the EQMS).</w:t>
            </w:r>
          </w:p>
        </w:tc>
      </w:tr>
      <w:tr>
        <w:tc>
          <w:tcPr>
            <w:tcW w:type="dxa" w:w="2835"/>
          </w:tcPr>
          <w:p>
            <w:pPr>
              <w:spacing w:after="20"/>
            </w:pPr>
            <w:r/>
            <w:r>
              <w:rPr>
                <w:sz w:val="18"/>
              </w:rPr>
              <w:t>Bản gốc</w:t>
            </w:r>
          </w:p>
          <w:p>
            <w:pPr>
              <w:spacing w:after="20"/>
            </w:pPr>
            <w:r>
              <w:rPr>
                <w:i/>
                <w:sz w:val="18"/>
              </w:rPr>
              <w:t>/Original</w:t>
            </w:r>
          </w:p>
        </w:tc>
        <w:tc>
          <w:tcPr>
            <w:tcW w:type="dxa" w:w="6803"/>
          </w:tcPr>
          <w:p>
            <w:pPr>
              <w:spacing w:after="20"/>
            </w:pPr>
            <w:r/>
            <w:r>
              <w:rPr>
                <w:sz w:val="18"/>
              </w:rPr>
              <w:t>Hồ sơ dùng làm bằng chứng chính. Khi thực hiện điện tử, bản trong hệ thống là bản gốc. Khi thực hiện trên giấy, bản giấy có chữ ký tay là bản gốc, bản trong hệ thống là bản nhập lại có kiểm tra.</w:t>
            </w:r>
          </w:p>
          <w:p>
            <w:pPr>
              <w:spacing w:after="20"/>
            </w:pPr>
            <w:r>
              <w:rPr>
                <w:i/>
                <w:sz w:val="18"/>
              </w:rPr>
              <w:t>/The record used as the main evidence. When done electronically the record in the system is the original. When done on paper the signed paper is the original and the record in the system is a checked re-entry.</w:t>
            </w:r>
          </w:p>
        </w:tc>
      </w:tr>
      <w:tr>
        <w:tc>
          <w:tcPr>
            <w:tcW w:type="dxa" w:w="2835"/>
          </w:tcPr>
          <w:p>
            <w:pPr>
              <w:spacing w:after="20"/>
            </w:pPr>
            <w:r/>
            <w:r>
              <w:rPr>
                <w:sz w:val="18"/>
              </w:rPr>
              <w:t>Người kiểm tra thứ hai</w:t>
            </w:r>
          </w:p>
          <w:p>
            <w:pPr>
              <w:spacing w:after="20"/>
            </w:pPr>
            <w:r>
              <w:rPr>
                <w:i/>
                <w:sz w:val="18"/>
              </w:rPr>
              <w:t>/Second person</w:t>
            </w:r>
          </w:p>
        </w:tc>
        <w:tc>
          <w:tcPr>
            <w:tcW w:type="dxa" w:w="6803"/>
          </w:tcPr>
          <w:p>
            <w:pPr>
              <w:spacing w:after="20"/>
            </w:pPr>
            <w:r/>
            <w:r>
              <w:rPr>
                <w:sz w:val="18"/>
              </w:rPr>
              <w:t>Người khác với người nhập, đối chiếu bản nhập với bản giấy hoặc bản scan và ký điện tử.</w:t>
            </w:r>
          </w:p>
          <w:p>
            <w:pPr>
              <w:spacing w:after="20"/>
            </w:pPr>
            <w:r>
              <w:rPr>
                <w:i/>
                <w:sz w:val="18"/>
              </w:rPr>
              <w:t>/A person other than the one who typed, who compares the entry with the paper or the scan and signs electronically.</w:t>
            </w:r>
          </w:p>
        </w:tc>
      </w:tr>
      <w:tr>
        <w:tc>
          <w:tcPr>
            <w:tcW w:type="dxa" w:w="2835"/>
          </w:tcPr>
          <w:p>
            <w:pPr>
              <w:spacing w:after="20"/>
            </w:pPr>
            <w:r/>
            <w:r>
              <w:rPr>
                <w:sz w:val="18"/>
              </w:rPr>
              <w:t>Bộ giấy có kiểm soát</w:t>
            </w:r>
          </w:p>
          <w:p>
            <w:pPr>
              <w:spacing w:after="20"/>
            </w:pPr>
            <w:r>
              <w:rPr>
                <w:i/>
                <w:sz w:val="18"/>
              </w:rPr>
              <w:t>/Controlled paper pack</w:t>
            </w:r>
          </w:p>
        </w:tc>
        <w:tc>
          <w:tcPr>
            <w:tcW w:type="dxa" w:w="6803"/>
          </w:tcPr>
          <w:p>
            <w:pPr>
              <w:spacing w:after="20"/>
            </w:pPr>
            <w:r/>
            <w:r>
              <w:rPr>
                <w:sz w:val="18"/>
              </w:rPr>
              <w:t>Danh sách điểm danh hoặc bộ đề in từ hệ thống, có số đào tạo, số bản in và chỗ ký trên mỗi trang.</w:t>
            </w:r>
          </w:p>
          <w:p>
            <w:pPr>
              <w:spacing w:after="20"/>
            </w:pPr>
            <w:r>
              <w:rPr>
                <w:i/>
                <w:sz w:val="18"/>
              </w:rPr>
              <w:t>/An attendance list or exam pack printed from the system with the training number, the copy number and a signature place on every page.</w:t>
            </w:r>
          </w:p>
        </w:tc>
      </w:tr>
    </w:tbl>
    <w:p/>
    <w:p>
      <w:r>
        <w:rPr>
          <w:b w:val="0"/>
        </w:rPr>
        <w:t>Tài liệu tham khảo: EudraLex Volume 4 chương 2 (2.10 đến 2.14); WHO TRS 986 Annex 2 mục 10; ISO 9001:2015 và ISO 14001:2015 mục 7.1 đến 7.3; đánh giá rủi ro RA/QA/2023/009; SOP.0025 Quản lý nhà cung cấp.</w:t>
      </w:r>
      <w:r>
        <w:br/>
      </w:r>
      <w:r>
        <w:rPr>
          <w:i/>
          <w:color w:val="475569"/>
        </w:rPr>
        <w:t>References: EudraLex Volume 4 chapter 2 (2.10 to 2.14); WHO TRS 986 Annex 2 section 10; ISO 9001:2015 and ISO 14001:2015 sections 7.1 to 7.3; risk assessment RA/QA/2023/009; SOP.0025 Vendor management.</w:t>
      </w:r>
    </w:p>
    <w:p>
      <w:pPr>
        <w:keepNext/>
        <w:spacing w:before="200"/>
      </w:pPr>
      <w:r>
        <w:rPr>
          <w:b/>
          <w:color w:val="047857"/>
          <w:sz w:val="24"/>
        </w:rPr>
        <w:t>5. NỘI DUNG QUY TRÌNH</w:t>
      </w:r>
      <w:r>
        <w:rPr>
          <w:b/>
          <w:i/>
          <w:color w:val="047857"/>
          <w:sz w:val="24"/>
        </w:rPr>
        <w:t xml:space="preserve"> / PROCEDURE</w:t>
      </w:r>
    </w:p>
    <w:p>
      <w:pPr>
        <w:keepNext/>
        <w:spacing w:before="120"/>
      </w:pPr>
      <w:r>
        <w:rPr>
          <w:b/>
          <w:color w:val="000000"/>
          <w:sz w:val="22"/>
        </w:rPr>
        <w:t>5.1 Nguyên tắc chung</w:t>
      </w:r>
      <w:r>
        <w:rPr>
          <w:b/>
          <w:i/>
          <w:color w:val="000000"/>
          <w:sz w:val="22"/>
        </w:rPr>
        <w:t xml:space="preserve"> / General principles</w:t>
      </w:r>
    </w:p>
    <w:p>
      <w:pPr>
        <w:pStyle w:val="ListBullet"/>
        <w:ind w:left="340"/>
      </w:pPr>
      <w:r>
        <w:t>Mọi nhân viên phải được đào tạo về lĩnh vực hoạt động của mình trước khi bắt đầu công việc, tùy theo vị trí công việc.</w:t>
      </w:r>
      <w:r>
        <w:br/>
      </w:r>
      <w:r>
        <w:rPr>
          <w:i/>
          <w:color w:val="475569"/>
        </w:rPr>
        <w:t>Every employee shall be trained in his or her area of operation before starting work, depending on the position.</w:t>
      </w:r>
    </w:p>
    <w:p>
      <w:pPr>
        <w:pStyle w:val="ListBullet"/>
        <w:ind w:left="340"/>
      </w:pPr>
      <w:r>
        <w:t>Người ký tên trên tài liệu được xem là đã đào tạo ban đầu về tài liệu đó.</w:t>
      </w:r>
      <w:r>
        <w:br/>
      </w:r>
      <w:r>
        <w:rPr>
          <w:i/>
          <w:color w:val="475569"/>
        </w:rPr>
        <w:t>A signatory of an SOP is regarded as having given the initial training on it.</w:t>
      </w:r>
    </w:p>
    <w:p>
      <w:pPr>
        <w:pStyle w:val="ListBullet"/>
        <w:ind w:left="340"/>
      </w:pPr>
      <w:r>
        <w:t>Giảng viên: được đào tạo về GMP; được đào tạo đầy đủ về nội dung chuyên môn; là người soạn thảo, kiểm tra, phê duyệt tài liệu, hoặc trưởng bộ phận, hoặc giám sát viên đã được đào tạo về SOP. Hệ thống kiểm tra điều kiện này khi cho mở buổi đào tạo; ngoại lệ phải có lý do và người có thẩm quyền duyệt.</w:t>
      </w:r>
      <w:r>
        <w:br/>
      </w:r>
      <w:r>
        <w:rPr>
          <w:i/>
          <w:color w:val="475569"/>
        </w:rPr>
        <w:t>Trainers: trained in GMP; fully trained in the related content; the drafter, checker or approver of the SOP, or a head of department or supervisor trained on it. The system checks this when a session is opened; an exception needs a reason and approval by an authorised person.</w:t>
      </w:r>
    </w:p>
    <w:p>
      <w:pPr>
        <w:pStyle w:val="ListBullet"/>
        <w:ind w:left="340"/>
      </w:pPr>
      <w:r>
        <w:t>Trưởng đơn vị bảo đảm nhân viên được đào tạo phù hợp trước khi giao công việc độc lập.</w:t>
      </w:r>
      <w:r>
        <w:br/>
      </w:r>
      <w:r>
        <w:rPr>
          <w:i/>
          <w:color w:val="475569"/>
        </w:rPr>
        <w:t>The head of department ensures employees are properly trained before assigning independent work.</w:t>
      </w:r>
    </w:p>
    <w:p>
      <w:r>
        <w:rPr>
          <w:b w:val="0"/>
        </w:rPr>
        <w:t>Các loại đào tạo (nội bộ gồm ban đầu, định kỳ, đột xuất; bên ngoài gồm chủ động và bị động), các hình thức và thời hạn đào tạo giữ nguyên như SOP.0003 v2.0.0 mục 5.1.1 đến 5.1.3. Đơn vị đào tạo bên ngoài được chọn theo SOP.0025, và số tham chiếu nhà cung cấp được nhập vào hệ thống.</w:t>
      </w:r>
      <w:r>
        <w:br/>
      </w:r>
      <w:r>
        <w:rPr>
          <w:i/>
          <w:color w:val="475569"/>
        </w:rPr>
        <w:t>The types of training (internal: initial, periodic, unplanned; external: active and passive), the training methods and the training periods are kept as in SOP.0003 v2.0.0 sections 5.1.1 to 5.1.3. The external training unit is selected under SOP.0025 and the vendor reference is entered in the system.</w:t>
      </w:r>
    </w:p>
    <w:p>
      <w:pPr>
        <w:keepNext/>
        <w:spacing w:before="120"/>
      </w:pPr>
      <w:r>
        <w:rPr>
          <w:b/>
          <w:color w:val="000000"/>
          <w:sz w:val="22"/>
        </w:rPr>
        <w:t>5.2 Mã đào tạo</w:t>
      </w:r>
      <w:r>
        <w:rPr>
          <w:b/>
          <w:i/>
          <w:color w:val="000000"/>
          <w:sz w:val="22"/>
        </w:rPr>
        <w:t xml:space="preserve"> / Training number</w:t>
      </w:r>
    </w:p>
    <w:p>
      <w:pPr>
        <w:pStyle w:val="ListBullet"/>
        <w:ind w:left="340"/>
      </w:pPr>
      <w:r>
        <w:t>Hệ thống tự cấp mã đào tạo theo cấu trúc TRN/DC/YY-XXX (DC là mã phòng tổ chức, YY là hai số cuối của năm, XXX là số thứ tự), mỗi mã chỉ dùng một lần. Danh mục mã trong hệ thống (Training Number Register) thay cho Sổ FRM.0044.</w:t>
      </w:r>
      <w:r>
        <w:br/>
      </w:r>
      <w:r>
        <w:rPr>
          <w:i/>
          <w:color w:val="475569"/>
        </w:rPr>
        <w:t>The system issues the training number in the form TRN/DC/YY-XXX (DC is the organizing department, YY the last two digits of the year, XXX the sequence); a number is never reused. The Training Number Register in the system replaces the log FRM.0044.</w:t>
      </w:r>
    </w:p>
    <w:p>
      <w:pPr>
        <w:pStyle w:val="ListBullet"/>
        <w:ind w:left="340"/>
      </w:pPr>
      <w:r>
        <w:t>Đào tạo bổ sung cho người vắng mặt giữ mã gốc và thêm hậu tố chữ cái (a, b, c...); hệ thống ghi mỗi đợt bổ sung thành một dòng riêng trong danh mục.</w:t>
      </w:r>
      <w:r>
        <w:br/>
      </w:r>
      <w:r>
        <w:rPr>
          <w:i/>
          <w:color w:val="475569"/>
        </w:rPr>
        <w:t>Make-up training for absent people keeps the original number with a letter suffix (a, b, c...); the system records each make-up as its own line in the register.</w:t>
      </w:r>
    </w:p>
    <w:p>
      <w:pPr>
        <w:pStyle w:val="ListBullet"/>
        <w:ind w:left="340"/>
      </w:pPr>
      <w:r>
        <w:t>Một mã đào tạo có thể gồm nhiều chủ đề ở các ngày khác nhau do cùng một đơn vị tổ chức, hoặc một chủ đề và một hay nhiều buổi. Việc dời lịch vẫn dùng mã đã cấp, lý do dời được ghi trong hệ thống.</w:t>
      </w:r>
      <w:r>
        <w:br/>
      </w:r>
      <w:r>
        <w:rPr>
          <w:i/>
          <w:color w:val="475569"/>
        </w:rPr>
        <w:t>One training number may cover several topics on different dates organized by the same unit, or one topic and one or more sessions. Postponing keeps the number; the reason is recorded in the system.</w:t>
      </w:r>
    </w:p>
    <w:p>
      <w:pPr>
        <w:keepNext/>
        <w:spacing w:before="120"/>
      </w:pPr>
      <w:r>
        <w:rPr>
          <w:b/>
          <w:color w:val="000000"/>
          <w:sz w:val="22"/>
        </w:rPr>
        <w:t>5.3 Nguyên tắc kết hợp giấy và hệ thống</w:t>
      </w:r>
      <w:r>
        <w:rPr>
          <w:b/>
          <w:i/>
          <w:color w:val="000000"/>
          <w:sz w:val="22"/>
        </w:rPr>
        <w:t xml:space="preserve"> / Combining paper and the system</w:t>
      </w:r>
    </w:p>
    <w:p>
      <w:pPr>
        <w:pStyle w:val="ListBullet"/>
        <w:ind w:left="340"/>
      </w:pPr>
      <w:r>
        <w:t>Hệ thống là cách làm chính. Giấy chỉ dùng khi môi trường không cho phép (khu vực không mang thiết bị cá nhân) hoặc khi hệ thống không dùng được. Cách làm cho từng loại đào tạo và từng môi trường được quy định trong bảng 5.3.1.</w:t>
      </w:r>
      <w:r>
        <w:br/>
      </w:r>
      <w:r>
        <w:rPr>
          <w:i/>
          <w:color w:val="475569"/>
        </w:rPr>
        <w:t>The system is the main way. Paper is used only when the environment does not allow devices (areas without personal devices) or when the system cannot be used. The way for each type of training and each environment is set in table 5.3.1.</w:t>
      </w:r>
    </w:p>
    <w:p>
      <w:pPr>
        <w:pStyle w:val="ListBullet"/>
        <w:ind w:left="340"/>
      </w:pPr>
      <w:r>
        <w:rPr>
          <w:color w:val="B42318"/>
        </w:rPr>
        <w:t>Khu vực không được mang thiết bị cá nhân: do QA lập danh mục và cập nhật khi có thay đổi (ví dụ khu sản xuất, phòng sạch, phòng thí nghiệm, kho).</w:t>
      </w:r>
      <w:r>
        <w:br/>
      </w:r>
      <w:r>
        <w:rPr>
          <w:i/>
          <w:color w:val="B42318"/>
        </w:rPr>
        <w:t>Areas where personal devices are not allowed: QA keeps the list and updates it when it changes (for example production, clean rooms, laboratories, warehouse).</w:t>
      </w:r>
    </w:p>
    <w:p>
      <w:pPr>
        <w:pStyle w:val="ListBullet"/>
        <w:ind w:left="340"/>
      </w:pPr>
      <w:r>
        <w:t>Trên giấy, bản có chữ ký tay là bản gốc và được lưu như mục 5.4.8; trong hệ thống, bản nhập lại được người thứ hai kiểm tra bằng chữ ký điện tử.</w:t>
      </w:r>
      <w:r>
        <w:br/>
      </w:r>
      <w:r>
        <w:rPr>
          <w:i/>
          <w:color w:val="475569"/>
        </w:rPr>
        <w:t>On paper the hand-signed sheet is the original and is kept under 5.4.8; in the system the re-entry is checked by a second person with an electronic signature.</w:t>
      </w:r>
    </w:p>
    <w:p>
      <w:pPr>
        <w:pStyle w:val="ListBullet"/>
        <w:ind w:left="340"/>
      </w:pPr>
      <w:r>
        <w:rPr>
          <w:color w:val="B42318"/>
        </w:rPr>
        <w:t>Chữ ký điện tử dùng cho: xác nhận danh sách, duyệt nội dung, điểm danh nhanh của giảng viên, nộp bài kiểm tra trực tuyến, kiểm tra bản nhập từ giấy, xác nhận hoàn thành của QA, duyệt ma trận, yêu cầu và xuất hồ sơ. Học viên tự điểm danh bằng mã của buổi học khi đã đăng nhập, không ký thêm.</w:t>
      </w:r>
      <w:r>
        <w:br/>
      </w:r>
      <w:r>
        <w:rPr>
          <w:i/>
          <w:color w:val="B42318"/>
        </w:rPr>
        <w:t>Electronic signatures are used for: confirming the list, approving content, the trainer quick roll-call, submitting an online test, checking an entry from paper, QA completion, approving the matrix, the requirement and a records export. A trainee who checks in by the session code while signed in does not sign again.</w:t>
      </w:r>
    </w:p>
    <w:p>
      <w:pPr>
        <w:keepNext/>
        <w:spacing w:before="120"/>
      </w:pPr>
      <w:r>
        <w:rPr>
          <w:b/>
          <w:color w:val="000000"/>
          <w:sz w:val="22"/>
        </w:rPr>
        <w:t>5.3.1 Bảng quyết định cách thực hiện</w:t>
      </w:r>
      <w:r>
        <w:rPr>
          <w:b/>
          <w:i/>
          <w:color w:val="000000"/>
          <w:sz w:val="22"/>
        </w:rPr>
        <w:t xml:space="preserve"> / Decision table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E7F3EE"/>
          </w:tcPr>
          <w:p>
            <w:r/>
            <w:r>
              <w:rPr>
                <w:b/>
                <w:sz w:val="17"/>
              </w:rPr>
              <w:t>Loại và môi trường / Type and environment</w:t>
            </w:r>
          </w:p>
        </w:tc>
        <w:tc>
          <w:tcPr>
            <w:tcW w:type="dxa" w:w="2948"/>
            <w:shd w:val="clear" w:color="auto" w:fill="E7F3EE"/>
          </w:tcPr>
          <w:p>
            <w:r/>
            <w:r>
              <w:rPr>
                <w:b/>
                <w:sz w:val="17"/>
              </w:rPr>
              <w:t>Điểm danh / Attendance</w:t>
            </w:r>
          </w:p>
        </w:tc>
        <w:tc>
          <w:tcPr>
            <w:tcW w:type="dxa" w:w="3175"/>
            <w:shd w:val="clear" w:color="auto" w:fill="E7F3EE"/>
          </w:tcPr>
          <w:p>
            <w:r/>
            <w:r>
              <w:rPr>
                <w:b/>
                <w:sz w:val="17"/>
              </w:rPr>
              <w:t>Đánh giá / Assessment</w:t>
            </w:r>
          </w:p>
        </w:tc>
        <w:tc>
          <w:tcPr>
            <w:tcW w:type="dxa" w:w="1474"/>
            <w:shd w:val="clear" w:color="auto" w:fill="E7F3EE"/>
          </w:tcPr>
          <w:p>
            <w:r/>
            <w:r>
              <w:rPr>
                <w:b/>
                <w:sz w:val="17"/>
              </w:rPr>
              <w:t>Bản gốc / Original</w:t>
            </w:r>
          </w:p>
        </w:tc>
      </w:tr>
      <w:tr>
        <w:tc>
          <w:tcPr>
            <w:tcW w:type="dxa" w:w="2041"/>
          </w:tcPr>
          <w:p>
            <w:pPr>
              <w:spacing w:after="20"/>
            </w:pPr>
            <w:r/>
            <w:r>
              <w:rPr>
                <w:sz w:val="17"/>
              </w:rPr>
              <w:t>Tự đọc</w:t>
            </w:r>
          </w:p>
          <w:p>
            <w:pPr>
              <w:spacing w:after="20"/>
            </w:pPr>
            <w:r>
              <w:rPr>
                <w:i/>
                <w:sz w:val="17"/>
              </w:rPr>
              <w:t>/Self-reading</w:t>
            </w:r>
          </w:p>
        </w:tc>
        <w:tc>
          <w:tcPr>
            <w:tcW w:type="dxa" w:w="2948"/>
          </w:tcPr>
          <w:p>
            <w:pPr>
              <w:spacing w:after="20"/>
            </w:pPr>
            <w:r/>
            <w:r>
              <w:rPr>
                <w:sz w:val="17"/>
              </w:rPr>
              <w:t>Người học xác nhận đã đọc và hiểu trong hệ thống (ký điện tử); trưởng bộ phận xác nhận cả danh sách (ký điện tử). Không có thiết bị: APD.0108 giấy, ký tay, QA nhập lại có scan.</w:t>
            </w:r>
          </w:p>
        </w:tc>
        <w:tc>
          <w:tcPr>
            <w:tcW w:type="dxa" w:w="3175"/>
          </w:tcPr>
          <w:p>
            <w:pPr>
              <w:spacing w:after="20"/>
            </w:pPr>
            <w:r/>
            <w:r>
              <w:rPr>
                <w:sz w:val="17"/>
              </w:rPr>
              <w:t>Không có điểm; xác nhận đọc hiểu.</w:t>
            </w:r>
          </w:p>
        </w:tc>
        <w:tc>
          <w:tcPr>
            <w:tcW w:type="dxa" w:w="1474"/>
          </w:tcPr>
          <w:p>
            <w:pPr>
              <w:spacing w:after="20"/>
            </w:pPr>
            <w:r/>
            <w:r>
              <w:rPr>
                <w:sz w:val="17"/>
              </w:rPr>
              <w:t>Điện tử (giấy khi dùng giấy)</w:t>
            </w:r>
          </w:p>
        </w:tc>
      </w:tr>
      <w:tr>
        <w:tc>
          <w:tcPr>
            <w:tcW w:type="dxa" w:w="2041"/>
          </w:tcPr>
          <w:p>
            <w:pPr>
              <w:spacing w:after="20"/>
            </w:pPr>
            <w:r/>
            <w:r>
              <w:rPr>
                <w:sz w:val="17"/>
              </w:rPr>
              <w:t>Tập trung, phòng đào tạo có thiết bị</w:t>
            </w:r>
          </w:p>
          <w:p>
            <w:pPr>
              <w:spacing w:after="20"/>
            </w:pPr>
            <w:r>
              <w:rPr>
                <w:i/>
                <w:sz w:val="17"/>
              </w:rPr>
              <w:t>/Classroom, room with devices</w:t>
            </w:r>
          </w:p>
        </w:tc>
        <w:tc>
          <w:tcPr>
            <w:tcW w:type="dxa" w:w="2948"/>
          </w:tcPr>
          <w:p>
            <w:pPr>
              <w:spacing w:after="20"/>
            </w:pPr>
            <w:r/>
            <w:r>
              <w:rPr>
                <w:sz w:val="17"/>
              </w:rPr>
              <w:t>Giảng viên mở điểm danh, học viên nhập mã hoặc quét QR; người không có thiết bị được giảng viên điểm danh nhanh (ký điện tử).</w:t>
            </w:r>
          </w:p>
        </w:tc>
        <w:tc>
          <w:tcPr>
            <w:tcW w:type="dxa" w:w="3175"/>
          </w:tcPr>
          <w:p>
            <w:pPr>
              <w:spacing w:after="20"/>
            </w:pPr>
            <w:r/>
            <w:r>
              <w:rPr>
                <w:sz w:val="17"/>
              </w:rPr>
              <w:t>Bài kiểm tra trực tuyến trên thiết bị của phòng đào tạo, hoặc giấy theo lựa chọn của giảng viên khi lập buổi học.</w:t>
            </w:r>
          </w:p>
        </w:tc>
        <w:tc>
          <w:tcPr>
            <w:tcW w:type="dxa" w:w="1474"/>
          </w:tcPr>
          <w:p>
            <w:pPr>
              <w:spacing w:after="20"/>
            </w:pPr>
            <w:r/>
            <w:r>
              <w:rPr>
                <w:sz w:val="17"/>
              </w:rPr>
              <w:t>Điện tử (giấy nếu chọn giấy)</w:t>
            </w:r>
          </w:p>
        </w:tc>
      </w:tr>
      <w:tr>
        <w:tc>
          <w:tcPr>
            <w:tcW w:type="dxa" w:w="2041"/>
          </w:tcPr>
          <w:p>
            <w:pPr>
              <w:spacing w:after="20"/>
            </w:pPr>
            <w:r/>
            <w:r>
              <w:rPr>
                <w:sz w:val="17"/>
              </w:rPr>
              <w:t>Tập trung, khu không mang thiết bị cá nhân</w:t>
            </w:r>
          </w:p>
          <w:p>
            <w:pPr>
              <w:spacing w:after="20"/>
            </w:pPr>
            <w:r>
              <w:rPr>
                <w:i/>
                <w:sz w:val="17"/>
              </w:rPr>
              <w:t>/Classroom, area without personal devices</w:t>
            </w:r>
          </w:p>
        </w:tc>
        <w:tc>
          <w:tcPr>
            <w:tcW w:type="dxa" w:w="2948"/>
          </w:tcPr>
          <w:p>
            <w:pPr>
              <w:spacing w:after="20"/>
            </w:pPr>
            <w:r/>
            <w:r>
              <w:rPr>
                <w:sz w:val="17"/>
              </w:rPr>
              <w:t>Danh sách điểm danh in từ hệ thống (có số bản), học viên ký tay; người nhập danh sách vào hệ thống trong một ngày, kèm bản scan.</w:t>
            </w:r>
          </w:p>
        </w:tc>
        <w:tc>
          <w:tcPr>
            <w:tcW w:type="dxa" w:w="3175"/>
          </w:tcPr>
          <w:p>
            <w:pPr>
              <w:spacing w:after="20"/>
            </w:pPr>
            <w:r/>
            <w:r>
              <w:rPr>
                <w:sz w:val="17"/>
              </w:rPr>
              <w:t>Bộ đề in cho từng học viên, làm bài và ký trên từng trang; chấm tay; nhập kết quả kèm scan trong một ngày; người thứ hai kiểm tra.</w:t>
            </w:r>
          </w:p>
        </w:tc>
        <w:tc>
          <w:tcPr>
            <w:tcW w:type="dxa" w:w="1474"/>
          </w:tcPr>
          <w:p>
            <w:pPr>
              <w:spacing w:after="20"/>
            </w:pPr>
            <w:r/>
            <w:r>
              <w:rPr>
                <w:sz w:val="17"/>
              </w:rPr>
              <w:t>Giấy</w:t>
            </w:r>
          </w:p>
        </w:tc>
      </w:tr>
      <w:tr>
        <w:tc>
          <w:tcPr>
            <w:tcW w:type="dxa" w:w="2041"/>
          </w:tcPr>
          <w:p>
            <w:pPr>
              <w:spacing w:after="20"/>
            </w:pPr>
            <w:r/>
            <w:r>
              <w:rPr>
                <w:sz w:val="17"/>
              </w:rPr>
              <w:t>Tập trung kết hợp trực tuyến</w:t>
            </w:r>
          </w:p>
          <w:p>
            <w:pPr>
              <w:spacing w:after="20"/>
            </w:pPr>
            <w:r>
              <w:rPr>
                <w:i/>
                <w:sz w:val="17"/>
              </w:rPr>
              <w:t>/Hybrid</w:t>
            </w:r>
          </w:p>
        </w:tc>
        <w:tc>
          <w:tcPr>
            <w:tcW w:type="dxa" w:w="2948"/>
          </w:tcPr>
          <w:p>
            <w:pPr>
              <w:spacing w:after="20"/>
            </w:pPr>
            <w:r/>
            <w:r>
              <w:rPr>
                <w:sz w:val="17"/>
              </w:rPr>
              <w:t>Học viên ở xa được giảng viên đánh dấu "Trực tuyến"; học viên tại chỗ như hai dòng trên.</w:t>
            </w:r>
          </w:p>
        </w:tc>
        <w:tc>
          <w:tcPr>
            <w:tcW w:type="dxa" w:w="3175"/>
          </w:tcPr>
          <w:p>
            <w:pPr>
              <w:spacing w:after="20"/>
            </w:pPr>
            <w:r/>
            <w:r>
              <w:rPr>
                <w:sz w:val="17"/>
              </w:rPr>
              <w:t>Như hai dòng trên.</w:t>
            </w:r>
          </w:p>
        </w:tc>
        <w:tc>
          <w:tcPr>
            <w:tcW w:type="dxa" w:w="1474"/>
          </w:tcPr>
          <w:p>
            <w:pPr>
              <w:spacing w:after="20"/>
            </w:pPr>
            <w:r/>
            <w:r>
              <w:rPr>
                <w:sz w:val="17"/>
              </w:rPr>
              <w:t>Theo từng dòng</w:t>
            </w:r>
          </w:p>
        </w:tc>
      </w:tr>
      <w:tr>
        <w:tc>
          <w:tcPr>
            <w:tcW w:type="dxa" w:w="2041"/>
          </w:tcPr>
          <w:p>
            <w:pPr>
              <w:spacing w:after="20"/>
            </w:pPr>
            <w:r/>
            <w:r>
              <w:rPr>
                <w:sz w:val="17"/>
              </w:rPr>
              <w:t>Thực hành</w:t>
            </w:r>
          </w:p>
          <w:p>
            <w:pPr>
              <w:spacing w:after="20"/>
            </w:pPr>
            <w:r>
              <w:rPr>
                <w:i/>
                <w:sz w:val="17"/>
              </w:rPr>
              <w:t>/Practical</w:t>
            </w:r>
          </w:p>
        </w:tc>
        <w:tc>
          <w:tcPr>
            <w:tcW w:type="dxa" w:w="2948"/>
          </w:tcPr>
          <w:p>
            <w:pPr>
              <w:spacing w:after="20"/>
            </w:pPr>
            <w:r/>
            <w:r>
              <w:rPr>
                <w:sz w:val="17"/>
              </w:rPr>
              <w:t>Như môi trường nơi thực hành.</w:t>
            </w:r>
          </w:p>
        </w:tc>
        <w:tc>
          <w:tcPr>
            <w:tcW w:type="dxa" w:w="3175"/>
          </w:tcPr>
          <w:p>
            <w:pPr>
              <w:spacing w:after="20"/>
            </w:pPr>
            <w:r/>
            <w:r>
              <w:rPr>
                <w:sz w:val="17"/>
              </w:rPr>
              <w:t>Bản checklist APD.0009 (in giấy hoặc tệp Word đã điền) do giảng viên đánh dấu; tải bằng chứng lên hệ thống, nhập kết quả; người thứ hai kiểm tra.</w:t>
            </w:r>
          </w:p>
        </w:tc>
        <w:tc>
          <w:tcPr>
            <w:tcW w:type="dxa" w:w="1474"/>
          </w:tcPr>
          <w:p>
            <w:pPr>
              <w:spacing w:after="20"/>
            </w:pPr>
            <w:r/>
            <w:r>
              <w:rPr>
                <w:sz w:val="17"/>
              </w:rPr>
              <w:t>Bản checklist (bằng chứng)</w:t>
            </w:r>
          </w:p>
        </w:tc>
      </w:tr>
      <w:tr>
        <w:tc>
          <w:tcPr>
            <w:tcW w:type="dxa" w:w="2041"/>
          </w:tcPr>
          <w:p>
            <w:pPr>
              <w:spacing w:after="20"/>
            </w:pPr>
            <w:r/>
            <w:r>
              <w:rPr>
                <w:sz w:val="17"/>
              </w:rPr>
              <w:t>Bên ngoài</w:t>
            </w:r>
          </w:p>
          <w:p>
            <w:pPr>
              <w:spacing w:after="20"/>
            </w:pPr>
            <w:r>
              <w:rPr>
                <w:i/>
                <w:sz w:val="17"/>
              </w:rPr>
              <w:t>/External</w:t>
            </w:r>
          </w:p>
        </w:tc>
        <w:tc>
          <w:tcPr>
            <w:tcW w:type="dxa" w:w="2948"/>
          </w:tcPr>
          <w:p>
            <w:pPr>
              <w:spacing w:after="20"/>
            </w:pPr>
            <w:r/>
            <w:r>
              <w:rPr>
                <w:sz w:val="17"/>
              </w:rPr>
              <w:t>Chứng chỉ hoặc bằng chứng tham dự của đơn vị đào tạo.</w:t>
            </w:r>
          </w:p>
        </w:tc>
        <w:tc>
          <w:tcPr>
            <w:tcW w:type="dxa" w:w="3175"/>
          </w:tcPr>
          <w:p>
            <w:pPr>
              <w:spacing w:after="20"/>
            </w:pPr>
            <w:r/>
            <w:r>
              <w:rPr>
                <w:sz w:val="17"/>
              </w:rPr>
              <w:t>Không có điểm; QA xác nhận bằng chứng.</w:t>
            </w:r>
          </w:p>
        </w:tc>
        <w:tc>
          <w:tcPr>
            <w:tcW w:type="dxa" w:w="1474"/>
          </w:tcPr>
          <w:p>
            <w:pPr>
              <w:spacing w:after="20"/>
            </w:pPr>
            <w:r/>
            <w:r>
              <w:rPr>
                <w:sz w:val="17"/>
              </w:rPr>
              <w:t>Chứng chỉ gốc</w:t>
            </w:r>
          </w:p>
        </w:tc>
      </w:tr>
      <w:tr>
        <w:tc>
          <w:tcPr>
            <w:tcW w:type="dxa" w:w="2041"/>
          </w:tcPr>
          <w:p>
            <w:pPr>
              <w:spacing w:after="20"/>
            </w:pPr>
            <w:r/>
            <w:r>
              <w:rPr>
                <w:sz w:val="17"/>
              </w:rPr>
              <w:t>Khách tham quan, nhà thầu</w:t>
            </w:r>
          </w:p>
          <w:p>
            <w:pPr>
              <w:spacing w:after="20"/>
            </w:pPr>
            <w:r>
              <w:rPr>
                <w:i/>
                <w:sz w:val="17"/>
              </w:rPr>
              <w:t>/Visitors, contractors</w:t>
            </w:r>
          </w:p>
        </w:tc>
        <w:tc>
          <w:tcPr>
            <w:tcW w:type="dxa" w:w="2948"/>
          </w:tcPr>
          <w:p>
            <w:pPr>
              <w:spacing w:after="20"/>
            </w:pPr>
            <w:r/>
            <w:r>
              <w:rPr>
                <w:sz w:val="17"/>
              </w:rPr>
              <w:t>Danh sách ghi tên và đơn vị, lập như đào tạo đột xuất.</w:t>
            </w:r>
          </w:p>
        </w:tc>
        <w:tc>
          <w:tcPr>
            <w:tcW w:type="dxa" w:w="3175"/>
          </w:tcPr>
          <w:p>
            <w:pPr>
              <w:spacing w:after="20"/>
            </w:pPr>
            <w:r/>
            <w:r>
              <w:rPr>
                <w:sz w:val="17"/>
              </w:rPr>
              <w:t>Theo nội dung hướng dẫn ra vào.</w:t>
            </w:r>
          </w:p>
        </w:tc>
        <w:tc>
          <w:tcPr>
            <w:tcW w:type="dxa" w:w="1474"/>
          </w:tcPr>
          <w:p>
            <w:pPr>
              <w:spacing w:after="20"/>
            </w:pPr>
            <w:r/>
            <w:r>
              <w:rPr>
                <w:sz w:val="17"/>
              </w:rPr>
              <w:t>Theo từng dòng</w:t>
            </w:r>
          </w:p>
        </w:tc>
      </w:tr>
    </w:tbl>
    <w:p/>
    <w:p>
      <w:r>
        <w:rPr>
          <w:b w:val="0"/>
        </w:rPr>
        <w:t>Người tổ chức chọn chế độ giấy, điện tử hoặc kết hợp cho từng buổi khi lập buổi học; hệ thống ghi lựa chọn đó.</w:t>
      </w:r>
      <w:r>
        <w:br/>
      </w:r>
      <w:r>
        <w:rPr>
          <w:i/>
          <w:color w:val="475569"/>
        </w:rPr>
        <w:t>The organizer chooses paper, electronic or mixed for each session when it is planned; the system records the choice.</w:t>
      </w:r>
    </w:p>
    <w:p>
      <w:pPr>
        <w:keepNext/>
        <w:spacing w:before="120"/>
      </w:pPr>
      <w:r>
        <w:rPr>
          <w:b/>
          <w:color w:val="000000"/>
          <w:sz w:val="22"/>
        </w:rPr>
        <w:t>5.4 Mô tả quy trình</w:t>
      </w:r>
      <w:r>
        <w:rPr>
          <w:b/>
          <w:i/>
          <w:color w:val="000000"/>
          <w:sz w:val="22"/>
        </w:rPr>
        <w:t xml:space="preserve"> / Description</w:t>
      </w:r>
    </w:p>
    <w:p>
      <w:pPr>
        <w:keepNext/>
        <w:spacing w:before="120"/>
      </w:pPr>
      <w:r>
        <w:rPr>
          <w:b/>
          <w:color w:val="000000"/>
          <w:sz w:val="22"/>
        </w:rPr>
        <w:t>5.4.1 Xây dựng ma trận đào tạo</w:t>
      </w:r>
      <w:r>
        <w:rPr>
          <w:b/>
          <w:i/>
          <w:color w:val="000000"/>
          <w:sz w:val="22"/>
        </w:rPr>
        <w:t xml:space="preserve"> / Develop the training matrix</w:t>
      </w:r>
    </w:p>
    <w:p>
      <w:pPr>
        <w:pStyle w:val="ListBullet"/>
        <w:ind w:left="340"/>
      </w:pPr>
      <w:r>
        <w:t>Dựa vào mô tả công việc, trưởng đơn vị lập ma trận đào tạo của bộ phận trong hệ thống (APD.0011): chủ đề và các chức danh cần đào tạo, đánh dấu chủ đề đào tạo lại hằng năm. Ma trận của quản lý cấp cao do QA lập.</w:t>
      </w:r>
      <w:r>
        <w:br/>
      </w:r>
      <w:r>
        <w:rPr>
          <w:i/>
          <w:color w:val="475569"/>
        </w:rPr>
        <w:t>Based on the job descriptions the head of department prepares the training matrix of the department in the system (APD.0011): topics, the positions to be trained, and the topics repeated every year. The matrix of senior managers is prepared by QA.</w:t>
      </w:r>
    </w:p>
    <w:p>
      <w:pPr>
        <w:pStyle w:val="ListBullet"/>
        <w:ind w:left="340"/>
      </w:pPr>
      <w:r>
        <w:t>Mỗi lần sửa là một phiên bản mới; phiên bản được soạn, gửi duyệt và phê duyệt bằng chữ ký điện tử, người duyệt khác người soạn. Phiên bản hiệu lực không bị sửa. Hệ thống so sánh được hai phiên bản.</w:t>
      </w:r>
      <w:r>
        <w:br/>
      </w:r>
      <w:r>
        <w:rPr>
          <w:i/>
          <w:color w:val="475569"/>
        </w:rPr>
        <w:t>Every change is a new version, prepared, submitted and approved with an electronic signature; the approver is not the preparer. An effective version is never edited. The system can compare two versions.</w:t>
      </w:r>
    </w:p>
    <w:p>
      <w:pPr>
        <w:pStyle w:val="ListBullet"/>
        <w:ind w:left="340"/>
      </w:pPr>
      <w:r>
        <w:t>Ma trận được cập nhật khi đổi mô tả công việc, sau rà soát hằng năm, và khi ban hành mới tài liệu cấp 1, 2, 3 (đánh giá tác động đào tạo trước khi triển khai). Có thể không cần đào tạo với tài liệu cấp 4 hoặc thay đổi chỉ về biên tập, theo kết quả đánh giá tác động trong kiểm soát thay đổi.</w:t>
      </w:r>
      <w:r>
        <w:br/>
      </w:r>
      <w:r>
        <w:rPr>
          <w:i/>
          <w:color w:val="475569"/>
        </w:rPr>
        <w:t>The matrix is updated when job descriptions change, after the annual review, and when Level 1, 2 or 3 documents are issued (training impact assessed before roll-out). Training may be unnecessary for Level 4 documents or editorial changes, as decided by the impact assessment in change control.</w:t>
      </w:r>
    </w:p>
    <w:p>
      <w:pPr>
        <w:pStyle w:val="ListBullet"/>
        <w:ind w:left="340"/>
      </w:pPr>
      <w:r>
        <w:t>Màn "Training Compliance" của hệ thống cho biết từng người, từng chức danh đã đạt, đang đào tạo, cần cập nhật hay đến hạn.</w:t>
      </w:r>
      <w:r>
        <w:br/>
      </w:r>
      <w:r>
        <w:rPr>
          <w:i/>
          <w:color w:val="475569"/>
        </w:rPr>
        <w:t>The Training Compliance screen of the system shows for each person and position what is qualified, in progress, needs updating or is due.</w:t>
      </w:r>
    </w:p>
    <w:p>
      <w:pPr>
        <w:keepNext/>
        <w:spacing w:before="120"/>
      </w:pPr>
      <w:r>
        <w:rPr>
          <w:b/>
          <w:color w:val="000000"/>
          <w:sz w:val="22"/>
        </w:rPr>
        <w:t>5.4.2 Yêu cầu đào tạo</w:t>
      </w:r>
      <w:r>
        <w:rPr>
          <w:b/>
          <w:i/>
          <w:color w:val="000000"/>
          <w:sz w:val="22"/>
        </w:rPr>
        <w:t xml:space="preserve"> / Training requirement</w:t>
      </w:r>
    </w:p>
    <w:p>
      <w:pPr>
        <w:pStyle w:val="ListBullet"/>
        <w:ind w:left="340"/>
      </w:pPr>
      <w:r>
        <w:t>QA lập yêu cầu đào tạo (APD.0118) trong hệ thống, chỉ cho đào tạo định kỳ hằng năm và đào tạo tài liệu sau rà soát định kỳ. Yêu cầu hằng năm của năm sau phải được lập và duyệt trước 31/12; yêu cầu sau rà soát tài liệu phải duyệt chậm nhất vào ngày cuối của tháng rà soát xong.</w:t>
      </w:r>
      <w:r>
        <w:br/>
      </w:r>
      <w:r>
        <w:rPr>
          <w:i/>
          <w:color w:val="475569"/>
        </w:rPr>
        <w:t>QA prepares the training requirement (APD.0118) in the system, only for annual periodic training and for training on SOPs after periodic review. The annual requirement for the next year is prepared and approved before 31 December; the requirement after an SOP review is approved no later than the last day of the month the review is completed.</w:t>
      </w:r>
    </w:p>
    <w:p>
      <w:pPr>
        <w:pStyle w:val="ListBullet"/>
        <w:ind w:left="340"/>
      </w:pPr>
      <w:r>
        <w:t>Nội dung yêu cầu hằng năm gồm: GMP chung; toàn vẹn dữ liệu và kỹ thuật vô trùng; xu hướng lỗi từ đánh giá, khiếu nại, OOS, CAPA hoặc quan sát thực tế. Tần suất đào tạo định kỳ tài liệu dựa trên thời hạn rà soát tài liệu.</w:t>
      </w:r>
      <w:r>
        <w:br/>
      </w:r>
      <w:r>
        <w:rPr>
          <w:i/>
          <w:color w:val="475569"/>
        </w:rPr>
        <w:t>The annual requirement covers: general GMP; data integrity and aseptic technique; trends of errors from audits, complaints, OOS, CAPA or observations. The frequency of periodic SOP training follows the review period of the SOP.</w:t>
      </w:r>
    </w:p>
    <w:p>
      <w:pPr>
        <w:pStyle w:val="ListBullet"/>
        <w:ind w:left="340"/>
      </w:pPr>
      <w:r>
        <w:t>Yêu cầu được soạn, soát xét và duyệt bằng chữ ký điện tử (QM phê duyệt). Bản được duyệt được gửi cho các bộ phận qua hệ thống; mỗi bộ phận xác nhận đã nhận.</w:t>
      </w:r>
      <w:r>
        <w:br/>
      </w:r>
      <w:r>
        <w:rPr>
          <w:i/>
          <w:color w:val="475569"/>
        </w:rPr>
        <w:t>The requirement is prepared, reviewed and approved with electronic signatures (the QM approves). The approved requirement is sent to the departments through the system; each department confirms receipt.</w:t>
      </w:r>
    </w:p>
    <w:p>
      <w:pPr>
        <w:keepNext/>
        <w:spacing w:before="120"/>
      </w:pPr>
      <w:r>
        <w:rPr>
          <w:b/>
          <w:color w:val="000000"/>
          <w:sz w:val="22"/>
        </w:rPr>
        <w:t>5.4.3 Tạo hoạt động đào tạo</w:t>
      </w:r>
      <w:r>
        <w:rPr>
          <w:b/>
          <w:i/>
          <w:color w:val="000000"/>
          <w:sz w:val="22"/>
        </w:rPr>
        <w:t xml:space="preserve"> / Create the training activity</w:t>
      </w:r>
    </w:p>
    <w:p>
      <w:pPr>
        <w:pStyle w:val="ListBullet"/>
        <w:ind w:left="340"/>
      </w:pPr>
      <w:r>
        <w:t>Đơn vị tổ chức (QA cho đào tạo ban đầu và định kỳ; đơn vị phát sinh nhu cầu cho đào tạo đột xuất và bên ngoài) tạo hoạt động đào tạo trong hệ thống, nhập tiêu đề, loại, lý do, hạn, các buổi (chủ đề, hình thức, giảng viên, ngày, địa điểm) và chọn chế độ giấy, điện tử hoặc kết hợp cho từng buổi.</w:t>
      </w:r>
      <w:r>
        <w:br/>
      </w:r>
      <w:r>
        <w:rPr>
          <w:i/>
          <w:color w:val="475569"/>
        </w:rPr>
        <w:t>The organizing unit (QA for initial and periodic training; the unit with the need for unplanned and external training) creates the training activity in the system: title, type, reason, due date, sessions (topics, method, trainer, date, venue), and chooses paper, electronic or mixed for each session.</w:t>
      </w:r>
    </w:p>
    <w:p>
      <w:pPr>
        <w:pStyle w:val="ListBullet"/>
        <w:ind w:left="340"/>
      </w:pPr>
      <w:r>
        <w:t>Đào tạo cho tài liệu mới hoặc nâng phiên bản: hoàn thành tốt nhất trong 10 ngày kể từ ngày phê duyệt tài liệu; hệ thống nhắc theo hạn.</w:t>
      </w:r>
      <w:r>
        <w:br/>
      </w:r>
      <w:r>
        <w:rPr>
          <w:i/>
          <w:color w:val="475569"/>
        </w:rPr>
        <w:t>Training for new or upgraded documents: preferably completed within 10 days of the approval of the document; the system reminds by the due date.</w:t>
      </w:r>
    </w:p>
    <w:p>
      <w:pPr>
        <w:pStyle w:val="ListBullet"/>
        <w:ind w:left="340"/>
      </w:pPr>
      <w:r>
        <w:t>Trưởng đơn vị và các bộ phận liên quan chuẩn bị thiết bị, điều kiện cho đào tạo thực hành; HCNS chuẩn bị địa điểm và phương tiện; danh sách chuẩn bị được theo dõi trong hệ thống.</w:t>
      </w:r>
      <w:r>
        <w:br/>
      </w:r>
      <w:r>
        <w:rPr>
          <w:i/>
          <w:color w:val="475569"/>
        </w:rPr>
        <w:t>The head of unit and the related departments prepare equipment and conditions for practical training; HR prepares the venue and equipment; the preparation checklist is followed in the system.</w:t>
      </w:r>
    </w:p>
    <w:p>
      <w:pPr>
        <w:keepNext/>
        <w:spacing w:before="120"/>
      </w:pPr>
      <w:r>
        <w:rPr>
          <w:b/>
          <w:color w:val="000000"/>
          <w:sz w:val="22"/>
        </w:rPr>
        <w:t>5.4.4 Danh sách người tham gia</w:t>
      </w:r>
      <w:r>
        <w:rPr>
          <w:b/>
          <w:i/>
          <w:color w:val="000000"/>
          <w:sz w:val="22"/>
        </w:rPr>
        <w:t xml:space="preserve"> / Attendee list</w:t>
      </w:r>
    </w:p>
    <w:p>
      <w:pPr>
        <w:pStyle w:val="ListBullet"/>
        <w:ind w:left="340"/>
      </w:pPr>
      <w:r>
        <w:t>Danh sách được lập trong hệ thống từ ma trận (APD.0117; tự đọc theo APD.0108) và thông báo cho người tham gia trước buổi học. Danh sách gồm mọi nhân viên thuộc phạm vi đào tạo, kể cả người đang vắng (nghỉ thai sản, nghỉ phép hoặc lý do khác); người vắng được đánh dấu trên danh sách.</w:t>
      </w:r>
      <w:r>
        <w:br/>
      </w:r>
      <w:r>
        <w:rPr>
          <w:i/>
          <w:color w:val="475569"/>
        </w:rPr>
        <w:t>The list is prepared in the system from the matrix (APD.0117; APD.0108 for self-reading) and communicated to the trainees before the session. It includes every employee in the training scope, also those who are absent (maternity leave, annual leave or other reasons); absent people are marked on the list.</w:t>
      </w:r>
    </w:p>
    <w:p>
      <w:pPr>
        <w:pStyle w:val="ListBullet"/>
        <w:ind w:left="340"/>
      </w:pPr>
      <w:r>
        <w:rPr>
          <w:color w:val="B42318"/>
        </w:rPr>
        <w:t>Người lập danh sách xác nhận danh sách bằng chữ ký điện tử rồi mới thông báo. Từ lúc xác nhận, danh sách không được thêm người. Người đến học mà không có tên được đào tạo bổ sung hoặc đào tạo đột xuất (đợt riêng với mã riêng).</w:t>
      </w:r>
      <w:r>
        <w:br/>
      </w:r>
      <w:r>
        <w:rPr>
          <w:i/>
          <w:color w:val="B42318"/>
        </w:rPr>
        <w:t>The person who prepared the list confirms it with an electronic signature before the notice. From then on no person is added to the list. A person who comes without being on it is trained in a make-up or in an unplanned training (a separate activity with its own number).</w:t>
      </w:r>
    </w:p>
    <w:p>
      <w:pPr>
        <w:keepNext/>
        <w:spacing w:before="120"/>
      </w:pPr>
      <w:r>
        <w:rPr>
          <w:b/>
          <w:color w:val="000000"/>
          <w:sz w:val="22"/>
        </w:rPr>
        <w:t>5.4.5 Nội dung đào tạo và bài đánh giá</w:t>
      </w:r>
      <w:r>
        <w:rPr>
          <w:b/>
          <w:i/>
          <w:color w:val="000000"/>
          <w:sz w:val="22"/>
        </w:rPr>
        <w:t xml:space="preserve"> / Training content and assessment</w:t>
      </w:r>
    </w:p>
    <w:p>
      <w:pPr>
        <w:pStyle w:val="ListBullet"/>
        <w:ind w:left="340"/>
      </w:pPr>
      <w:r>
        <w:t>Giảng viên chuẩn bị tài liệu và nội dung đào tạo trước buổi học, chỉ dùng tài liệu đã được duyệt, nội dung đã phê duyệt của kiểm soát thay đổi hoặc CAPA, và tài liệu đào tạo do giảng viên chuẩn bị được lưu cùng hoạt động đào tạo.</w:t>
      </w:r>
      <w:r>
        <w:br/>
      </w:r>
      <w:r>
        <w:rPr>
          <w:i/>
          <w:color w:val="475569"/>
        </w:rPr>
        <w:t>The trainer prepares the materials and content before the session, using only approved documents, approved change control or CAPA content, and the training material prepared by the trainer is kept with the activity.</w:t>
      </w:r>
    </w:p>
    <w:p>
      <w:pPr>
        <w:pStyle w:val="ListBullet"/>
        <w:ind w:left="340"/>
      </w:pPr>
      <w:r>
        <w:t>Bài kiểm tra theo mẫu APD.0009: người chuẩn bị bắt đầu từ bản mẫu đang bật trong thư viện mẫu của hệ thống, sửa trực tiếp trong trình soạn thảo và lưu thành Exam Template; có thể tạo Answer Key từ bản sao. Người chuẩn bị cũng có thể soạn câu hỏi trắc nghiệm ngay trong hệ thống hoặc tải tệp từ máy tính. Bài kiểm tra được lưu cùng nội dung.</w:t>
      </w:r>
      <w:r>
        <w:br/>
      </w:r>
      <w:r>
        <w:rPr>
          <w:i/>
          <w:color w:val="475569"/>
        </w:rPr>
        <w:t>The test uses APD.0009: the preparer starts from the template enabled in the template library of the system, edits it in the editor and saves it as the Exam Template; an Answer Key can be made from a copy. The preparer can also write multiple-choice questions in the system or upload a file. The test is kept with the content.</w:t>
      </w:r>
    </w:p>
    <w:p>
      <w:pPr>
        <w:pStyle w:val="ListBullet"/>
        <w:ind w:left="340"/>
      </w:pPr>
      <w:r>
        <w:t>Nội dung, bài kiểm tra và đáp án được soát xét và phê duyệt bằng chữ ký điện tử trước khi thông báo; sau khi gửi soát xét thì không sửa được. Chỉ người tổ chức, người soát xét và người duyệt thấy đáp án.</w:t>
      </w:r>
      <w:r>
        <w:br/>
      </w:r>
      <w:r>
        <w:rPr>
          <w:i/>
          <w:color w:val="475569"/>
        </w:rPr>
        <w:t>The content, the test and the answer key are reviewed and approved with electronic signatures before the notice; after review starts they cannot be changed. Only the organizer, the reviewer and the approver see the answer key.</w:t>
      </w:r>
    </w:p>
    <w:p>
      <w:pPr>
        <w:keepNext/>
        <w:spacing w:before="120"/>
      </w:pPr>
      <w:r>
        <w:rPr>
          <w:b/>
          <w:color w:val="000000"/>
          <w:sz w:val="22"/>
        </w:rPr>
        <w:t>5.4.6 Thực hiện đào tạo</w:t>
      </w:r>
      <w:r>
        <w:rPr>
          <w:b/>
          <w:i/>
          <w:color w:val="000000"/>
          <w:sz w:val="22"/>
        </w:rPr>
        <w:t xml:space="preserve"> / Training implementation</w:t>
      </w:r>
    </w:p>
    <w:p>
      <w:pPr>
        <w:pStyle w:val="ListBullet"/>
        <w:ind w:left="340"/>
      </w:pPr>
      <w:r>
        <w:t>Buổi đào tạo diễn ra theo các bước: (1) giảng viên đánh dấu buổi đã diễn ra; (2) điểm danh theo bảng 5.3.1; (3) đào tạo; (4) đánh giá; (5) ghi kết quả. Hệ thống tổ chức màn hình thực hiện theo đúng thứ tự này (Today, Attendance, Results, Paper &amp; Preparation, Sessions).</w:t>
      </w:r>
      <w:r>
        <w:br/>
      </w:r>
      <w:r>
        <w:rPr>
          <w:i/>
          <w:color w:val="475569"/>
        </w:rPr>
        <w:t>The session runs in steps: (1) the trainer marks the session held; (2) attendance as in table 5.3.1; (3) training; (4) assessment; (5) recording the results. The system lays out the conduct screen in this order (Today, Attendance, Results, Paper &amp; Preparation, Sessions).</w:t>
      </w:r>
    </w:p>
    <w:p>
      <w:pPr>
        <w:pStyle w:val="ListBullet"/>
        <w:ind w:left="340"/>
      </w:pPr>
      <w:r>
        <w:t>Điểm danh điện tử: giảng viên mở điểm danh và hiện mã (đổi theo thời gian) hoặc QR; học viên đã đăng nhập nhập mã hoặc quét QR. Điểm danh nhanh: giảng viên đánh dấu cả buổi và ký điện tử, dòng được ghi là "giảng viên xác nhận hộ". Điểm danh sai được sửa kèm lý do, trước khi người đó có điểm; giá trị cũ và lý do nằm trong Audit Trail.</w:t>
      </w:r>
      <w:r>
        <w:br/>
      </w:r>
      <w:r>
        <w:rPr>
          <w:i/>
          <w:color w:val="475569"/>
        </w:rPr>
        <w:t>Electronic attendance: the trainer opens the check-in and shows the code (it changes with time) or the QR; the trainee, signed in, enters the code or scans the QR. Quick roll-call: the trainer marks the whole session and signs electronically; the row is recorded as "marked by the trainer". A wrong attendance is corrected with a reason before the person has a score; the old value and the reason stay in the Audit Trail.</w:t>
      </w:r>
    </w:p>
    <w:p>
      <w:pPr>
        <w:pStyle w:val="ListBullet"/>
        <w:ind w:left="340"/>
      </w:pPr>
      <w:r>
        <w:t>Điểm danh giấy: in danh sách có kiểm soát; học viên ký tay; người vắng ghi "Vắng mặt" ở cột ký tên; học viên tham dự trực tuyến ghi "Trực tuyến". Danh sách được nhập vào hệ thống trong một ngày kèm bản scan; nhập sau hơn một ngày phải ghi lý do.</w:t>
      </w:r>
      <w:r>
        <w:br/>
      </w:r>
      <w:r>
        <w:rPr>
          <w:i/>
          <w:color w:val="475569"/>
        </w:rPr>
        <w:t>Paper attendance: print the controlled list; trainees sign by hand; an absent person is marked "Absent" in the signature column; a trainee who attends online is marked "Online". The list is entered in the system within one day with the scan; entering later than one day needs a reason.</w:t>
      </w:r>
    </w:p>
    <w:p>
      <w:pPr>
        <w:pStyle w:val="ListBullet"/>
        <w:ind w:left="340"/>
      </w:pPr>
      <w:r>
        <w:t>Với tài liệu ban hành mới hoặc nâng phiên bản, danh sách tham gia phải được chuyển cho QA ngay trong ngày đào tạo để cập nhật ngày hoàn thành đào tạo; hệ thống hiển thị hạn này.</w:t>
      </w:r>
      <w:r>
        <w:br/>
      </w:r>
      <w:r>
        <w:rPr>
          <w:i/>
          <w:color w:val="475569"/>
        </w:rPr>
        <w:t>For newly issued or upgraded documents the attendance list is sent to QA on the day of the training so that the completion date is updated; the system shows this deadline.</w:t>
      </w:r>
    </w:p>
    <w:p>
      <w:pPr>
        <w:pStyle w:val="ListBullet"/>
        <w:ind w:left="340"/>
      </w:pPr>
      <w:r>
        <w:t>Nếu không hoàn thành trong tháng đã đăng ký theo yêu cầu đào tạo, chủ đề được dời sang tháng ngay sau đó.</w:t>
      </w:r>
      <w:r>
        <w:br/>
      </w:r>
      <w:r>
        <w:rPr>
          <w:i/>
          <w:color w:val="475569"/>
        </w:rPr>
        <w:t>If it cannot be completed in the month set in the requirement, the topic is moved to the following month.</w:t>
      </w:r>
    </w:p>
    <w:p>
      <w:pPr>
        <w:keepNext/>
        <w:spacing w:before="120"/>
      </w:pPr>
      <w:r>
        <w:rPr>
          <w:b/>
          <w:color w:val="000000"/>
          <w:sz w:val="22"/>
        </w:rPr>
        <w:t>5.4.7 Đánh giá đào tạo</w:t>
      </w:r>
      <w:r>
        <w:rPr>
          <w:b/>
          <w:i/>
          <w:color w:val="000000"/>
          <w:sz w:val="22"/>
        </w:rPr>
        <w:t xml:space="preserve"> / Training assessment</w:t>
      </w:r>
    </w:p>
    <w:p>
      <w:pPr>
        <w:pStyle w:val="ListBullet"/>
        <w:ind w:left="340"/>
      </w:pPr>
      <w:r>
        <w:t>Hình thức đánh giá theo mục 5.1.2 và bảng 5.3.1. Học viên đạt khi đạt từ 70% tổng điểm (ngưỡng này được cài trong thuộc tính của hệ thống và chỉ người quản trị đổi, có lý do và Audit Trail). Hệ thống tự tính kết quả từ điểm.</w:t>
      </w:r>
      <w:r>
        <w:br/>
      </w:r>
      <w:r>
        <w:rPr>
          <w:i/>
          <w:color w:val="475569"/>
        </w:rPr>
        <w:t>The assessment method follows section 5.1.2 and table 5.3.1. A trainee passes at 70% or more of the total score (the mark is set in the system properties and changed only by the administrator, with a reason and the Audit Trail). The system computes the result from the score.</w:t>
      </w:r>
    </w:p>
    <w:p>
      <w:pPr>
        <w:pStyle w:val="ListBullet"/>
        <w:ind w:left="340"/>
      </w:pPr>
      <w:r>
        <w:t>Bài kiểm tra trực tuyến: học viên nộp bằng chữ ký điện tử, hệ thống chấm. Bài kiểm tra giấy: học viên ký tất cả các trang; giảng viên chấm; kết quả nhập vào hệ thống kèm bản scan; người thứ hai kiểm tra bằng chữ ký điện tử.</w:t>
      </w:r>
      <w:r>
        <w:br/>
      </w:r>
      <w:r>
        <w:rPr>
          <w:i/>
          <w:color w:val="475569"/>
        </w:rPr>
        <w:t>Online test: the trainee submits with an electronic signature and the system grades. Paper test: the trainee signs all pages; the trainer grades; the result is entered in the system with the scan; a second person checks with an electronic signature.</w:t>
      </w:r>
    </w:p>
    <w:p>
      <w:pPr>
        <w:pStyle w:val="ListBullet"/>
        <w:ind w:left="340"/>
      </w:pPr>
      <w:r>
        <w:t>Bài đánh giá thực hành theo checklist APD.0009 (giấy hoặc tệp Word đã điền) được tải lên làm bằng chứng, có thể ghi biểu mẫu và phiên bản đã dùng; kết quả được nhập và người thứ hai kiểm tra.</w:t>
      </w:r>
      <w:r>
        <w:br/>
      </w:r>
      <w:r>
        <w:rPr>
          <w:i/>
          <w:color w:val="475569"/>
        </w:rPr>
        <w:t>A practical checklist assessment on APD.0009 (paper or a filled Word file) is uploaded as evidence, with the form and version used noted if wished; the result is entered and a second person checks.</w:t>
      </w:r>
    </w:p>
    <w:p>
      <w:pPr>
        <w:pStyle w:val="ListBullet"/>
        <w:ind w:left="340"/>
      </w:pPr>
      <w:r>
        <w:t>Tự đọc: nhân viên xác nhận đã đọc và hiểu trong hệ thống (ký điện tử); trưởng bộ phận xác nhận danh sách; QA ghi hồ sơ cá nhân dựa trên xác nhận đó.</w:t>
      </w:r>
      <w:r>
        <w:br/>
      </w:r>
      <w:r>
        <w:rPr>
          <w:i/>
          <w:color w:val="475569"/>
        </w:rPr>
        <w:t>Self-reading: the employee confirms reading and understanding in the system (electronic signature); the head of department confirms the list; QA records the personal record on that basis.</w:t>
      </w:r>
    </w:p>
    <w:p>
      <w:pPr>
        <w:pStyle w:val="ListBullet"/>
        <w:ind w:left="340"/>
      </w:pPr>
      <w:r>
        <w:t>Người vắng mặt được ghi là vắng trên danh sách ban đầu và được đào tạo bổ sung theo mục 5.2. Người không đạt lần đầu tạm ngừng công việc liên quan; giảng viên bố trí đào tạo lại, lượt đánh giá lại được ghi trong hệ thống như lần thứ hai, thứ ba.</w:t>
      </w:r>
      <w:r>
        <w:br/>
      </w:r>
      <w:r>
        <w:rPr>
          <w:i/>
          <w:color w:val="475569"/>
        </w:rPr>
        <w:t>An absent person is recorded as absent on the original list and is trained in a make-up under 5.2. A person who does not pass the first time is suspended from the related work; the trainer arranges re-training and the new assessment is recorded in the system as the second, third attempt.</w:t>
      </w:r>
    </w:p>
    <w:p>
      <w:pPr>
        <w:keepNext/>
        <w:spacing w:before="120"/>
      </w:pPr>
      <w:r>
        <w:rPr>
          <w:b/>
          <w:color w:val="000000"/>
          <w:sz w:val="22"/>
        </w:rPr>
        <w:t>5.4.8 Gửi kết quả, xác nhận hoàn thành và lưu hồ sơ</w:t>
      </w:r>
      <w:r>
        <w:rPr>
          <w:b/>
          <w:i/>
          <w:color w:val="000000"/>
          <w:sz w:val="22"/>
        </w:rPr>
        <w:t xml:space="preserve"> / Results, completion and records</w:t>
      </w:r>
    </w:p>
    <w:p>
      <w:pPr>
        <w:pStyle w:val="ListBullet"/>
        <w:ind w:left="340"/>
      </w:pPr>
      <w:r>
        <w:rPr>
          <w:color w:val="B42318"/>
        </w:rPr>
        <w:t>Đơn vị tổ chức gửi kết quả đánh giá cho QA trong vòng 7 ngày làm việc kể từ khi hoàn thành đánh giá (nút "Send to QA"). Hạn này do người tổ chức và QA tự theo dõi; hệ thống không tính ngày làm việc.</w:t>
      </w:r>
      <w:r>
        <w:br/>
      </w:r>
      <w:r>
        <w:rPr>
          <w:i/>
          <w:color w:val="B42318"/>
        </w:rPr>
        <w:t>The organizing unit sends the assessment results to QA within 7 working days after the assessment is complete (the "Send to QA" button). This deadline is followed by the organizer and QA; the system does not count working days.</w:t>
      </w:r>
    </w:p>
    <w:p>
      <w:pPr>
        <w:pStyle w:val="ListBullet"/>
        <w:ind w:left="340"/>
      </w:pPr>
      <w:r>
        <w:t>QA xem lại và xác nhận hoàn thành bằng chữ ký điện tử; hệ thống ghi hồ sơ đào tạo cá nhân và số đào tạo vào hồ sơ của từng người. Hồ sơ đào tạo cá nhân (APD.0014) được in từ hệ thống, mỗi lần xuất do một người soạn và một người khác duyệt bằng chữ ký điện tử; có xuất cả bộ phận theo năm.</w:t>
      </w:r>
      <w:r>
        <w:br/>
      </w:r>
      <w:r>
        <w:rPr>
          <w:i/>
          <w:color w:val="475569"/>
        </w:rPr>
        <w:t>QA reviews and confirms completion with an electronic signature; the system writes the personal training record and the training number to each person. The personal training record (APD.0014) is printed from the system; each export is prepared by one person and approved by another with an electronic signature; a department export by year is available.</w:t>
      </w:r>
    </w:p>
    <w:p>
      <w:pPr>
        <w:pStyle w:val="ListBullet"/>
        <w:ind w:left="340"/>
      </w:pPr>
      <w:r>
        <w:t>Hồ sơ cũ được giữ cùng hồ sơ mới. Hồ sơ đào tạo được lưu ít nhất 10 năm kể từ khi nhân viên không còn làm việc tại công ty. Bản giấy gốc (danh sách có chữ ký, bài kiểm tra, checklist, chứng chỉ) lưu tại QA; bản trong hệ thống là bản điện tử và bản scan.</w:t>
      </w:r>
      <w:r>
        <w:br/>
      </w:r>
      <w:r>
        <w:rPr>
          <w:i/>
          <w:color w:val="475569"/>
        </w:rPr>
        <w:t>Previous records are kept with the new ones. Training records are kept at least 10 years after the employee leaves the company. The paper originals (signed lists, tests, checklists, certificates) are kept in QA; the system holds the electronic record and the scans.</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E7F3EE"/>
          </w:tcPr>
          <w:p>
            <w:r/>
            <w:r>
              <w:rPr>
                <w:b/>
                <w:sz w:val="18"/>
              </w:rPr>
              <w:t>Mã hồ sơ / Code</w:t>
            </w:r>
          </w:p>
        </w:tc>
        <w:tc>
          <w:tcPr>
            <w:tcW w:type="dxa" w:w="4535"/>
            <w:shd w:val="clear" w:color="auto" w:fill="E7F3EE"/>
          </w:tcPr>
          <w:p>
            <w:r/>
            <w:r>
              <w:rPr>
                <w:b/>
                <w:sz w:val="18"/>
              </w:rPr>
              <w:t>Hồ sơ / Record</w:t>
            </w:r>
          </w:p>
        </w:tc>
        <w:tc>
          <w:tcPr>
            <w:tcW w:type="dxa" w:w="3628"/>
            <w:shd w:val="clear" w:color="auto" w:fill="E7F3EE"/>
          </w:tcPr>
          <w:p>
            <w:r/>
            <w:r>
              <w:rPr>
                <w:b/>
                <w:sz w:val="18"/>
              </w:rPr>
              <w:t>Bản gốc lưu / Original kept</w:t>
            </w:r>
          </w:p>
        </w:tc>
      </w:tr>
      <w:tr>
        <w:tc>
          <w:tcPr>
            <w:tcW w:type="dxa" w:w="1474"/>
          </w:tcPr>
          <w:p>
            <w:pPr>
              <w:spacing w:after="20"/>
            </w:pPr>
            <w:r/>
            <w:r>
              <w:rPr>
                <w:sz w:val="18"/>
              </w:rPr>
              <w:t>APD.0009</w:t>
            </w:r>
          </w:p>
        </w:tc>
        <w:tc>
          <w:tcPr>
            <w:tcW w:type="dxa" w:w="4535"/>
          </w:tcPr>
          <w:p>
            <w:pPr>
              <w:spacing w:after="20"/>
            </w:pPr>
            <w:r/>
            <w:r>
              <w:rPr>
                <w:sz w:val="18"/>
              </w:rPr>
              <w:t>Đánh giá đào tạo / Training assessment</w:t>
            </w:r>
          </w:p>
        </w:tc>
        <w:tc>
          <w:tcPr>
            <w:tcW w:type="dxa" w:w="3628"/>
          </w:tcPr>
          <w:p>
            <w:pPr>
              <w:spacing w:after="20"/>
            </w:pPr>
            <w:r/>
            <w:r>
              <w:rPr>
                <w:sz w:val="18"/>
              </w:rPr>
              <w:t>QA (hệ thống, hoặc giấy khi làm trên giấy)</w:t>
            </w:r>
          </w:p>
        </w:tc>
      </w:tr>
      <w:tr>
        <w:tc>
          <w:tcPr>
            <w:tcW w:type="dxa" w:w="1474"/>
          </w:tcPr>
          <w:p>
            <w:pPr>
              <w:spacing w:after="20"/>
            </w:pPr>
            <w:r/>
            <w:r>
              <w:rPr>
                <w:sz w:val="18"/>
              </w:rPr>
              <w:t>FRM.0007</w:t>
            </w:r>
          </w:p>
        </w:tc>
        <w:tc>
          <w:tcPr>
            <w:tcW w:type="dxa" w:w="4535"/>
          </w:tcPr>
          <w:p>
            <w:pPr>
              <w:spacing w:after="20"/>
            </w:pPr>
            <w:r/>
            <w:r>
              <w:rPr>
                <w:sz w:val="18"/>
              </w:rPr>
              <w:t>Chữ ký mẫu / Specimen signature</w:t>
            </w:r>
          </w:p>
        </w:tc>
        <w:tc>
          <w:tcPr>
            <w:tcW w:type="dxa" w:w="3628"/>
          </w:tcPr>
          <w:p>
            <w:pPr>
              <w:spacing w:after="20"/>
            </w:pPr>
            <w:r/>
            <w:r>
              <w:rPr>
                <w:sz w:val="18"/>
              </w:rPr>
              <w:t>QA (hệ thống, hai ảnh chữ ký); bản sao ĐVQL</w:t>
            </w:r>
          </w:p>
        </w:tc>
      </w:tr>
      <w:tr>
        <w:tc>
          <w:tcPr>
            <w:tcW w:type="dxa" w:w="1474"/>
          </w:tcPr>
          <w:p>
            <w:pPr>
              <w:spacing w:after="20"/>
            </w:pPr>
            <w:r/>
            <w:r>
              <w:rPr>
                <w:sz w:val="18"/>
              </w:rPr>
              <w:t>APD.0024</w:t>
            </w:r>
          </w:p>
        </w:tc>
        <w:tc>
          <w:tcPr>
            <w:tcW w:type="dxa" w:w="4535"/>
          </w:tcPr>
          <w:p>
            <w:pPr>
              <w:spacing w:after="20"/>
            </w:pPr>
            <w:r/>
            <w:r>
              <w:rPr>
                <w:sz w:val="18"/>
              </w:rPr>
              <w:t>Bản giao việc / Work assignment</w:t>
            </w:r>
          </w:p>
        </w:tc>
        <w:tc>
          <w:tcPr>
            <w:tcW w:type="dxa" w:w="3628"/>
          </w:tcPr>
          <w:p>
            <w:pPr>
              <w:spacing w:after="20"/>
            </w:pPr>
            <w:r/>
            <w:r>
              <w:rPr>
                <w:sz w:val="18"/>
              </w:rPr>
              <w:t>QA (hệ thống); bản sao ĐVQL</w:t>
            </w:r>
          </w:p>
        </w:tc>
      </w:tr>
      <w:tr>
        <w:tc>
          <w:tcPr>
            <w:tcW w:type="dxa" w:w="1474"/>
          </w:tcPr>
          <w:p>
            <w:pPr>
              <w:spacing w:after="20"/>
            </w:pPr>
            <w:r/>
            <w:r>
              <w:rPr>
                <w:sz w:val="18"/>
              </w:rPr>
              <w:t>APD.0014</w:t>
            </w:r>
          </w:p>
        </w:tc>
        <w:tc>
          <w:tcPr>
            <w:tcW w:type="dxa" w:w="4535"/>
          </w:tcPr>
          <w:p>
            <w:pPr>
              <w:spacing w:after="20"/>
            </w:pPr>
            <w:r/>
            <w:r>
              <w:rPr>
                <w:sz w:val="18"/>
              </w:rPr>
              <w:t>Hồ sơ đào tạo cá nhân / Personal training record</w:t>
            </w:r>
          </w:p>
        </w:tc>
        <w:tc>
          <w:tcPr>
            <w:tcW w:type="dxa" w:w="3628"/>
          </w:tcPr>
          <w:p>
            <w:pPr>
              <w:spacing w:after="20"/>
            </w:pPr>
            <w:r/>
            <w:r>
              <w:rPr>
                <w:sz w:val="18"/>
              </w:rPr>
              <w:t>QA (hệ thống, in từ hệ thống)</w:t>
            </w:r>
          </w:p>
        </w:tc>
      </w:tr>
      <w:tr>
        <w:tc>
          <w:tcPr>
            <w:tcW w:type="dxa" w:w="1474"/>
          </w:tcPr>
          <w:p>
            <w:pPr>
              <w:spacing w:after="20"/>
            </w:pPr>
            <w:r/>
            <w:r>
              <w:rPr>
                <w:sz w:val="18"/>
              </w:rPr>
              <w:t>APD.0108</w:t>
            </w:r>
          </w:p>
        </w:tc>
        <w:tc>
          <w:tcPr>
            <w:tcW w:type="dxa" w:w="4535"/>
          </w:tcPr>
          <w:p>
            <w:pPr>
              <w:spacing w:after="20"/>
            </w:pPr>
            <w:r/>
            <w:r>
              <w:rPr>
                <w:sz w:val="18"/>
              </w:rPr>
              <w:t>Danh sách tự đọc / Self-reading list</w:t>
            </w:r>
          </w:p>
        </w:tc>
        <w:tc>
          <w:tcPr>
            <w:tcW w:type="dxa" w:w="3628"/>
          </w:tcPr>
          <w:p>
            <w:pPr>
              <w:spacing w:after="20"/>
            </w:pPr>
            <w:r/>
            <w:r>
              <w:rPr>
                <w:sz w:val="18"/>
              </w:rPr>
              <w:t>QA (hệ thống, hoặc giấy khi làm trên giấy)</w:t>
            </w:r>
          </w:p>
        </w:tc>
      </w:tr>
      <w:tr>
        <w:tc>
          <w:tcPr>
            <w:tcW w:type="dxa" w:w="1474"/>
          </w:tcPr>
          <w:p>
            <w:pPr>
              <w:spacing w:after="20"/>
            </w:pPr>
            <w:r/>
            <w:r>
              <w:rPr>
                <w:sz w:val="18"/>
              </w:rPr>
              <w:t>APD.0117</w:t>
            </w:r>
          </w:p>
        </w:tc>
        <w:tc>
          <w:tcPr>
            <w:tcW w:type="dxa" w:w="4535"/>
          </w:tcPr>
          <w:p>
            <w:pPr>
              <w:spacing w:after="20"/>
            </w:pPr>
            <w:r/>
            <w:r>
              <w:rPr>
                <w:sz w:val="18"/>
              </w:rPr>
              <w:t>Danh sách tham gia đào tạo / Attendance list</w:t>
            </w:r>
          </w:p>
        </w:tc>
        <w:tc>
          <w:tcPr>
            <w:tcW w:type="dxa" w:w="3628"/>
          </w:tcPr>
          <w:p>
            <w:pPr>
              <w:spacing w:after="20"/>
            </w:pPr>
            <w:r/>
            <w:r>
              <w:rPr>
                <w:sz w:val="18"/>
              </w:rPr>
              <w:t>QA (hệ thống, hoặc giấy ký tay khi làm trên giấy)</w:t>
            </w:r>
          </w:p>
        </w:tc>
      </w:tr>
      <w:tr>
        <w:tc>
          <w:tcPr>
            <w:tcW w:type="dxa" w:w="1474"/>
          </w:tcPr>
          <w:p>
            <w:pPr>
              <w:spacing w:after="20"/>
            </w:pPr>
            <w:r/>
            <w:r>
              <w:rPr>
                <w:sz w:val="18"/>
              </w:rPr>
              <w:t>APD.0118</w:t>
            </w:r>
          </w:p>
        </w:tc>
        <w:tc>
          <w:tcPr>
            <w:tcW w:type="dxa" w:w="4535"/>
          </w:tcPr>
          <w:p>
            <w:pPr>
              <w:spacing w:after="20"/>
            </w:pPr>
            <w:r/>
            <w:r>
              <w:rPr>
                <w:sz w:val="18"/>
              </w:rPr>
              <w:t>Yêu cầu đào tạo / Training requirement</w:t>
            </w:r>
          </w:p>
        </w:tc>
        <w:tc>
          <w:tcPr>
            <w:tcW w:type="dxa" w:w="3628"/>
          </w:tcPr>
          <w:p>
            <w:pPr>
              <w:spacing w:after="20"/>
            </w:pPr>
            <w:r/>
            <w:r>
              <w:rPr>
                <w:sz w:val="18"/>
              </w:rPr>
              <w:t>QA (hệ thống); bản sao ĐVQL</w:t>
            </w:r>
          </w:p>
        </w:tc>
      </w:tr>
      <w:tr>
        <w:tc>
          <w:tcPr>
            <w:tcW w:type="dxa" w:w="1474"/>
          </w:tcPr>
          <w:p>
            <w:pPr>
              <w:spacing w:after="20"/>
            </w:pPr>
            <w:r/>
            <w:r>
              <w:rPr>
                <w:sz w:val="18"/>
              </w:rPr>
              <w:t>FRM.0044</w:t>
            </w:r>
          </w:p>
        </w:tc>
        <w:tc>
          <w:tcPr>
            <w:tcW w:type="dxa" w:w="4535"/>
          </w:tcPr>
          <w:p>
            <w:pPr>
              <w:spacing w:after="20"/>
            </w:pPr>
            <w:r/>
            <w:r>
              <w:rPr>
                <w:sz w:val="18"/>
              </w:rPr>
              <w:t>Sổ cấp mã / Training number log</w:t>
            </w:r>
          </w:p>
        </w:tc>
        <w:tc>
          <w:tcPr>
            <w:tcW w:type="dxa" w:w="3628"/>
          </w:tcPr>
          <w:p>
            <w:pPr>
              <w:spacing w:after="20"/>
            </w:pPr>
            <w:r/>
            <w:r>
              <w:rPr>
                <w:sz w:val="18"/>
              </w:rPr>
              <w:t>Danh mục mã trong hệ thống</w:t>
            </w:r>
          </w:p>
        </w:tc>
      </w:tr>
    </w:tbl>
    <w:p/>
    <w:p>
      <w:pPr>
        <w:keepNext/>
        <w:spacing w:before="120"/>
      </w:pPr>
      <w:r>
        <w:rPr>
          <w:b/>
          <w:color w:val="000000"/>
          <w:sz w:val="22"/>
        </w:rPr>
        <w:t>5.4.9 Bản giao việc</w:t>
      </w:r>
      <w:r>
        <w:rPr>
          <w:b/>
          <w:i/>
          <w:color w:val="000000"/>
          <w:sz w:val="22"/>
        </w:rPr>
        <w:t xml:space="preserve"> / Work assignment</w:t>
      </w:r>
    </w:p>
    <w:p>
      <w:pPr>
        <w:pStyle w:val="ListBullet"/>
        <w:ind w:left="340"/>
      </w:pPr>
      <w:r>
        <w:t>Khi nhân viên hoàn thành mọi nội dung của ma trận cho vị trí, trưởng đơn vị lập bản giao việc (APD.0024) trong hệ thống: mô tả vị trí, quyền hạn, trách nhiệm và mô tả công việc. Hệ thống kiểm tra điều kiện hoàn thành ma trận. Nhân viên và trưởng đơn vị xác nhận bằng chữ ký điện tử; cập nhật khi giao việc mới.</w:t>
      </w:r>
      <w:r>
        <w:br/>
      </w:r>
      <w:r>
        <w:rPr>
          <w:i/>
          <w:color w:val="475569"/>
        </w:rPr>
        <w:t>When the employee has completed all items of the matrix for the position, the head of the unit makes the work assignment (APD.0024) in the system: position, jurisdiction, responsibilities and job description. The system checks that the matrix is completed. The employee and the head confirm with electronic signatures; it is updated when a new job is assigned.</w:t>
      </w:r>
    </w:p>
    <w:p>
      <w:pPr>
        <w:keepNext/>
        <w:spacing w:before="120"/>
      </w:pPr>
      <w:r>
        <w:rPr>
          <w:b/>
          <w:color w:val="000000"/>
          <w:sz w:val="22"/>
        </w:rPr>
        <w:t>5.4.10 Chữ ký mẫu của nhân viên</w:t>
      </w:r>
      <w:r>
        <w:rPr>
          <w:b/>
          <w:i/>
          <w:color w:val="000000"/>
          <w:sz w:val="22"/>
        </w:rPr>
        <w:t xml:space="preserve"> / Specimen signature of the employee</w:t>
      </w:r>
    </w:p>
    <w:p>
      <w:pPr>
        <w:pStyle w:val="ListBullet"/>
        <w:ind w:left="340"/>
      </w:pPr>
      <w:r>
        <w:t>Khi có nhân viên mới hoặc đổi chữ ký, trưởng đơn vị thu chữ ký mẫu (FRM.0007) và tải hai ảnh chữ ký lên hệ thống; một người khác xác nhận trước khi chữ ký mới có hiệu lực. Chữ ký phải duy nhất cho mỗi nhân viên tại một thời điểm, không thể giả mạo và không chỉ là viết tên.</w:t>
      </w:r>
      <w:r>
        <w:br/>
      </w:r>
      <w:r>
        <w:rPr>
          <w:i/>
          <w:color w:val="475569"/>
        </w:rPr>
        <w:t>For a new employee or a change of signature the head of unit collects the specimen signature (FRM.0007) and uploads the two signature images to the system; another person confirms before a new signature takes effect. The signature must be unique for each employee at a time, cannot be counterfeited and is not just the written name.</w:t>
      </w:r>
    </w:p>
    <w:p>
      <w:pPr>
        <w:keepNext/>
        <w:spacing w:before="120"/>
      </w:pPr>
      <w:r>
        <w:rPr>
          <w:b/>
          <w:color w:val="000000"/>
          <w:sz w:val="22"/>
        </w:rPr>
        <w:t>5.4.11 Chuyển vị trí làm việc và nhân viên mới</w:t>
      </w:r>
      <w:r>
        <w:rPr>
          <w:b/>
          <w:i/>
          <w:color w:val="000000"/>
          <w:sz w:val="22"/>
        </w:rPr>
        <w:t xml:space="preserve"> / Job transfer and new employees</w:t>
      </w:r>
    </w:p>
    <w:p>
      <w:pPr>
        <w:pStyle w:val="ListBullet"/>
        <w:ind w:left="340"/>
      </w:pPr>
      <w:r>
        <w:t>Nhân viên mới, nghỉ trên 6 tháng quay lại, chuyển bộ phận hoặc chuyển cơ sở: mở "Training Review" trong hệ thống. Hệ thống đưa ra danh mục việc cần làm (đào tạo ban đầu ba phần, chữ ký mẫu, bản giao việc...), mỗi việc đánh dấu Done hoặc Not needed kèm lý do và liên kết với hoạt động đào tạo đã tổ chức. Phiếu chỉ đóng được bằng chữ ký điện tử của người không phải nhân viên đó.</w:t>
      </w:r>
      <w:r>
        <w:br/>
      </w:r>
      <w:r>
        <w:rPr>
          <w:i/>
          <w:color w:val="475569"/>
        </w:rPr>
        <w:t>New employee, return after more than 6 months, transfer between departments or sites: open a "Training Review" in the system. The system lists what to do (the three parts of initial training, specimen signature, work assignment...), each item marked Done or Not needed with a reason and linked to the training activity that was held. The review can be closed only with the electronic signature of someone other than the employee.</w:t>
      </w:r>
    </w:p>
    <w:p>
      <w:pPr>
        <w:pStyle w:val="ListBullet"/>
        <w:ind w:left="340"/>
      </w:pPr>
      <w:r>
        <w:t>Chuyển cơ sở: trưởng bộ phận cũ bàn giao bản sao hồ sơ đào tạo cho bộ phận mới; nhân viên được đào tạo như nhân viên mới tại cơ sở mới.</w:t>
      </w:r>
      <w:r>
        <w:br/>
      </w:r>
      <w:r>
        <w:rPr>
          <w:i/>
          <w:color w:val="475569"/>
        </w:rPr>
        <w:t>Inter-location transfer: the previous head hands over a copy of the training records to the new department; the employee is trained as a new employee at the new site.</w:t>
      </w:r>
    </w:p>
    <w:p>
      <w:pPr>
        <w:keepNext/>
        <w:spacing w:before="120"/>
      </w:pPr>
      <w:r>
        <w:rPr>
          <w:b/>
          <w:color w:val="000000"/>
          <w:sz w:val="22"/>
        </w:rPr>
        <w:t>5.5 Khi không dùng được hệ thống</w:t>
      </w:r>
      <w:r>
        <w:rPr>
          <w:b/>
          <w:i/>
          <w:color w:val="000000"/>
          <w:sz w:val="22"/>
        </w:rPr>
        <w:t xml:space="preserve"> / When the system cannot be used</w:t>
      </w:r>
    </w:p>
    <w:p>
      <w:pPr>
        <w:pStyle w:val="ListBullet"/>
        <w:ind w:left="340"/>
      </w:pPr>
      <w:r>
        <w:t>Nếu mất mạng hoặc hệ thống ngừng: dùng bộ giấy có kiểm soát đã in từ trước (hoặc bản mẫu giấy của Kiểm soát tài liệu), ký tay, lưu bản gốc tại QA, và nhập vào hệ thống ngay khi dùng lại được, theo quy định nhập từ giấy tại mục 5.4.6 và 5.4.7. Lý do chậm được ghi.</w:t>
      </w:r>
      <w:r>
        <w:br/>
      </w:r>
      <w:r>
        <w:rPr>
          <w:i/>
          <w:color w:val="475569"/>
        </w:rPr>
        <w:t>If the network or the system is down: use the controlled paper pack printed beforehand (or the paper form from Document Control), sign by hand, keep the original in QA, and enter it into the system as soon as it is available, following the paper entry rules in 5.4.6 and 5.4.7. The reason for the delay is recorded.</w:t>
      </w:r>
    </w:p>
    <w:p>
      <w:pPr>
        <w:pStyle w:val="ListBullet"/>
        <w:ind w:left="340"/>
      </w:pPr>
      <w:r>
        <w:t>Hệ thống không thay thế trách nhiệm của người tổ chức: các hạn trong SOP vẫn phải được tuân thủ khi dùng giấy.</w:t>
      </w:r>
      <w:r>
        <w:br/>
      </w:r>
      <w:r>
        <w:rPr>
          <w:i/>
          <w:color w:val="475569"/>
        </w:rPr>
        <w:t>The system does not replace the responsibility of the organizer: the deadlines of the SOP still apply when paper is used.</w:t>
      </w:r>
    </w:p>
    <w:p>
      <w:pPr>
        <w:keepNext/>
        <w:spacing w:before="200"/>
      </w:pPr>
      <w:r>
        <w:rPr>
          <w:b/>
          <w:color w:val="047857"/>
          <w:sz w:val="24"/>
        </w:rPr>
        <w:t>6. TÀI LIỆU ĐÍNH KÈM</w:t>
      </w:r>
      <w:r>
        <w:rPr>
          <w:b/>
          <w:i/>
          <w:color w:val="047857"/>
          <w:sz w:val="24"/>
        </w:rPr>
        <w:t xml:space="preserve"> / ATTACHMENTS</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E7F3EE"/>
          </w:tcPr>
          <w:p>
            <w:r/>
            <w:r>
              <w:rPr>
                <w:b/>
                <w:sz w:val="18"/>
              </w:rPr>
              <w:t>Mã / Code</w:t>
            </w:r>
          </w:p>
        </w:tc>
        <w:tc>
          <w:tcPr>
            <w:tcW w:type="dxa" w:w="3969"/>
            <w:shd w:val="clear" w:color="auto" w:fill="E7F3EE"/>
          </w:tcPr>
          <w:p>
            <w:r/>
            <w:r>
              <w:rPr>
                <w:b/>
                <w:sz w:val="18"/>
              </w:rPr>
              <w:t>Tên / Name</w:t>
            </w:r>
          </w:p>
        </w:tc>
        <w:tc>
          <w:tcPr>
            <w:tcW w:type="dxa" w:w="4195"/>
            <w:shd w:val="clear" w:color="auto" w:fill="E7F3EE"/>
          </w:tcPr>
          <w:p>
            <w:r/>
            <w:r>
              <w:rPr>
                <w:b/>
                <w:sz w:val="18"/>
              </w:rPr>
              <w:t>Cách dùng / Use</w:t>
            </w:r>
          </w:p>
        </w:tc>
      </w:tr>
      <w:tr>
        <w:tc>
          <w:tcPr>
            <w:tcW w:type="dxa" w:w="1474"/>
          </w:tcPr>
          <w:p>
            <w:pPr>
              <w:spacing w:after="20"/>
            </w:pPr>
            <w:r/>
            <w:r>
              <w:rPr>
                <w:sz w:val="18"/>
              </w:rPr>
              <w:t>APD.0009</w:t>
            </w:r>
          </w:p>
        </w:tc>
        <w:tc>
          <w:tcPr>
            <w:tcW w:type="dxa" w:w="3969"/>
          </w:tcPr>
          <w:p>
            <w:pPr>
              <w:spacing w:after="20"/>
            </w:pPr>
            <w:r/>
            <w:r>
              <w:rPr>
                <w:sz w:val="18"/>
              </w:rPr>
              <w:t>Mẫu đánh giá đào tạo / Training assessment</w:t>
            </w:r>
          </w:p>
        </w:tc>
        <w:tc>
          <w:tcPr>
            <w:tcW w:type="dxa" w:w="4195"/>
          </w:tcPr>
          <w:p>
            <w:pPr>
              <w:spacing w:after="20"/>
            </w:pPr>
            <w:r/>
            <w:r>
              <w:rPr>
                <w:sz w:val="18"/>
              </w:rPr>
              <w:t>Bản mẫu chuẩn; Word nguồn trong thư viện mẫu của hệ thống; in giấy khi cần</w:t>
            </w:r>
          </w:p>
        </w:tc>
      </w:tr>
      <w:tr>
        <w:tc>
          <w:tcPr>
            <w:tcW w:type="dxa" w:w="1474"/>
          </w:tcPr>
          <w:p>
            <w:pPr>
              <w:spacing w:after="20"/>
            </w:pPr>
            <w:r/>
            <w:r>
              <w:rPr>
                <w:sz w:val="18"/>
              </w:rPr>
              <w:t>APD.0011</w:t>
            </w:r>
          </w:p>
        </w:tc>
        <w:tc>
          <w:tcPr>
            <w:tcW w:type="dxa" w:w="3969"/>
          </w:tcPr>
          <w:p>
            <w:pPr>
              <w:spacing w:after="20"/>
            </w:pPr>
            <w:r/>
            <w:r>
              <w:rPr>
                <w:sz w:val="18"/>
              </w:rPr>
              <w:t>Ma trận đào tạo / Training matrix</w:t>
            </w:r>
          </w:p>
        </w:tc>
        <w:tc>
          <w:tcPr>
            <w:tcW w:type="dxa" w:w="4195"/>
          </w:tcPr>
          <w:p>
            <w:pPr>
              <w:spacing w:after="20"/>
            </w:pPr>
            <w:r/>
            <w:r>
              <w:rPr>
                <w:sz w:val="18"/>
              </w:rPr>
              <w:t>Lập trong hệ thống</w:t>
            </w:r>
          </w:p>
        </w:tc>
      </w:tr>
      <w:tr>
        <w:tc>
          <w:tcPr>
            <w:tcW w:type="dxa" w:w="1474"/>
          </w:tcPr>
          <w:p>
            <w:pPr>
              <w:spacing w:after="20"/>
            </w:pPr>
            <w:r/>
            <w:r>
              <w:rPr>
                <w:sz w:val="18"/>
              </w:rPr>
              <w:t>APD.0014</w:t>
            </w:r>
          </w:p>
        </w:tc>
        <w:tc>
          <w:tcPr>
            <w:tcW w:type="dxa" w:w="3969"/>
          </w:tcPr>
          <w:p>
            <w:pPr>
              <w:spacing w:after="20"/>
            </w:pPr>
            <w:r/>
            <w:r>
              <w:rPr>
                <w:sz w:val="18"/>
              </w:rPr>
              <w:t>Hồ sơ đào tạo cá nhân / Personal training record</w:t>
            </w:r>
          </w:p>
        </w:tc>
        <w:tc>
          <w:tcPr>
            <w:tcW w:type="dxa" w:w="4195"/>
          </w:tcPr>
          <w:p>
            <w:pPr>
              <w:spacing w:after="20"/>
            </w:pPr>
            <w:r/>
            <w:r>
              <w:rPr>
                <w:sz w:val="18"/>
              </w:rPr>
              <w:t>In từ hệ thống</w:t>
            </w:r>
          </w:p>
        </w:tc>
      </w:tr>
      <w:tr>
        <w:tc>
          <w:tcPr>
            <w:tcW w:type="dxa" w:w="1474"/>
          </w:tcPr>
          <w:p>
            <w:pPr>
              <w:spacing w:after="20"/>
            </w:pPr>
            <w:r/>
            <w:r>
              <w:rPr>
                <w:sz w:val="18"/>
              </w:rPr>
              <w:t>APD.0024</w:t>
            </w:r>
          </w:p>
        </w:tc>
        <w:tc>
          <w:tcPr>
            <w:tcW w:type="dxa" w:w="3969"/>
          </w:tcPr>
          <w:p>
            <w:pPr>
              <w:spacing w:after="20"/>
            </w:pPr>
            <w:r/>
            <w:r>
              <w:rPr>
                <w:sz w:val="18"/>
              </w:rPr>
              <w:t>Bản giao việc / Work assignment</w:t>
            </w:r>
          </w:p>
        </w:tc>
        <w:tc>
          <w:tcPr>
            <w:tcW w:type="dxa" w:w="4195"/>
          </w:tcPr>
          <w:p>
            <w:pPr>
              <w:spacing w:after="20"/>
            </w:pPr>
            <w:r/>
            <w:r>
              <w:rPr>
                <w:sz w:val="18"/>
              </w:rPr>
              <w:t>Lập trong hệ thống</w:t>
            </w:r>
          </w:p>
        </w:tc>
      </w:tr>
      <w:tr>
        <w:tc>
          <w:tcPr>
            <w:tcW w:type="dxa" w:w="1474"/>
          </w:tcPr>
          <w:p>
            <w:pPr>
              <w:spacing w:after="20"/>
            </w:pPr>
            <w:r/>
            <w:r>
              <w:rPr>
                <w:sz w:val="18"/>
              </w:rPr>
              <w:t>APD.0108</w:t>
            </w:r>
          </w:p>
        </w:tc>
        <w:tc>
          <w:tcPr>
            <w:tcW w:type="dxa" w:w="3969"/>
          </w:tcPr>
          <w:p>
            <w:pPr>
              <w:spacing w:after="20"/>
            </w:pPr>
            <w:r/>
            <w:r>
              <w:rPr>
                <w:sz w:val="18"/>
              </w:rPr>
              <w:t>Danh sách tự đọc / Self-reading list</w:t>
            </w:r>
          </w:p>
        </w:tc>
        <w:tc>
          <w:tcPr>
            <w:tcW w:type="dxa" w:w="4195"/>
          </w:tcPr>
          <w:p>
            <w:pPr>
              <w:spacing w:after="20"/>
            </w:pPr>
            <w:r/>
            <w:r>
              <w:rPr>
                <w:sz w:val="18"/>
              </w:rPr>
              <w:t>Trong hệ thống; giấy khi dùng giấy</w:t>
            </w:r>
          </w:p>
        </w:tc>
      </w:tr>
      <w:tr>
        <w:tc>
          <w:tcPr>
            <w:tcW w:type="dxa" w:w="1474"/>
          </w:tcPr>
          <w:p>
            <w:pPr>
              <w:spacing w:after="20"/>
            </w:pPr>
            <w:r/>
            <w:r>
              <w:rPr>
                <w:sz w:val="18"/>
              </w:rPr>
              <w:t>APD.0117</w:t>
            </w:r>
          </w:p>
        </w:tc>
        <w:tc>
          <w:tcPr>
            <w:tcW w:type="dxa" w:w="3969"/>
          </w:tcPr>
          <w:p>
            <w:pPr>
              <w:spacing w:after="20"/>
            </w:pPr>
            <w:r/>
            <w:r>
              <w:rPr>
                <w:sz w:val="18"/>
              </w:rPr>
              <w:t>Danh sách tham gia đào tạo / Attendance list</w:t>
            </w:r>
          </w:p>
        </w:tc>
        <w:tc>
          <w:tcPr>
            <w:tcW w:type="dxa" w:w="4195"/>
          </w:tcPr>
          <w:p>
            <w:pPr>
              <w:spacing w:after="20"/>
            </w:pPr>
            <w:r/>
            <w:r>
              <w:rPr>
                <w:sz w:val="18"/>
              </w:rPr>
              <w:t>Trong hệ thống; giấy in từ hệ thống khi dùng giấy</w:t>
            </w:r>
          </w:p>
        </w:tc>
      </w:tr>
      <w:tr>
        <w:tc>
          <w:tcPr>
            <w:tcW w:type="dxa" w:w="1474"/>
          </w:tcPr>
          <w:p>
            <w:pPr>
              <w:spacing w:after="20"/>
            </w:pPr>
            <w:r/>
            <w:r>
              <w:rPr>
                <w:sz w:val="18"/>
              </w:rPr>
              <w:t>APD.0118</w:t>
            </w:r>
          </w:p>
        </w:tc>
        <w:tc>
          <w:tcPr>
            <w:tcW w:type="dxa" w:w="3969"/>
          </w:tcPr>
          <w:p>
            <w:pPr>
              <w:spacing w:after="20"/>
            </w:pPr>
            <w:r/>
            <w:r>
              <w:rPr>
                <w:sz w:val="18"/>
              </w:rPr>
              <w:t>Yêu cầu đào tạo / Training requirement</w:t>
            </w:r>
          </w:p>
        </w:tc>
        <w:tc>
          <w:tcPr>
            <w:tcW w:type="dxa" w:w="4195"/>
          </w:tcPr>
          <w:p>
            <w:pPr>
              <w:spacing w:after="20"/>
            </w:pPr>
            <w:r/>
            <w:r>
              <w:rPr>
                <w:sz w:val="18"/>
              </w:rPr>
              <w:t>Lập trong hệ thống</w:t>
            </w:r>
          </w:p>
        </w:tc>
      </w:tr>
      <w:tr>
        <w:tc>
          <w:tcPr>
            <w:tcW w:type="dxa" w:w="1474"/>
          </w:tcPr>
          <w:p>
            <w:pPr>
              <w:spacing w:after="20"/>
            </w:pPr>
            <w:r/>
            <w:r>
              <w:rPr>
                <w:sz w:val="18"/>
              </w:rPr>
              <w:t>FRM.0007</w:t>
            </w:r>
          </w:p>
        </w:tc>
        <w:tc>
          <w:tcPr>
            <w:tcW w:type="dxa" w:w="3969"/>
          </w:tcPr>
          <w:p>
            <w:pPr>
              <w:spacing w:after="20"/>
            </w:pPr>
            <w:r/>
            <w:r>
              <w:rPr>
                <w:sz w:val="18"/>
              </w:rPr>
              <w:t>Chữ ký mẫu / Specimen signature</w:t>
            </w:r>
          </w:p>
        </w:tc>
        <w:tc>
          <w:tcPr>
            <w:tcW w:type="dxa" w:w="4195"/>
          </w:tcPr>
          <w:p>
            <w:pPr>
              <w:spacing w:after="20"/>
            </w:pPr>
            <w:r/>
            <w:r>
              <w:rPr>
                <w:sz w:val="18"/>
              </w:rPr>
              <w:t>Hai ảnh tải lên hệ thống</w:t>
            </w:r>
          </w:p>
        </w:tc>
      </w:tr>
      <w:tr>
        <w:tc>
          <w:tcPr>
            <w:tcW w:type="dxa" w:w="1474"/>
          </w:tcPr>
          <w:p>
            <w:pPr>
              <w:spacing w:after="20"/>
            </w:pPr>
            <w:r/>
            <w:r>
              <w:rPr>
                <w:sz w:val="18"/>
              </w:rPr>
              <w:t>FRM.0044</w:t>
            </w:r>
          </w:p>
        </w:tc>
        <w:tc>
          <w:tcPr>
            <w:tcW w:type="dxa" w:w="3969"/>
          </w:tcPr>
          <w:p>
            <w:pPr>
              <w:spacing w:after="20"/>
            </w:pPr>
            <w:r/>
            <w:r>
              <w:rPr>
                <w:sz w:val="18"/>
              </w:rPr>
              <w:t>Sổ cấp mã / Training number log</w:t>
            </w:r>
          </w:p>
        </w:tc>
        <w:tc>
          <w:tcPr>
            <w:tcW w:type="dxa" w:w="4195"/>
          </w:tcPr>
          <w:p>
            <w:pPr>
              <w:spacing w:after="20"/>
            </w:pPr>
            <w:r/>
            <w:r>
              <w:rPr>
                <w:sz w:val="18"/>
              </w:rPr>
              <w:t>Thay bằng danh mục mã trong hệ thống (Training Number Register)</w:t>
            </w:r>
          </w:p>
        </w:tc>
      </w:tr>
    </w:tbl>
    <w:p/>
    <w:p>
      <w:pPr>
        <w:keepNext/>
        <w:spacing w:before="200"/>
      </w:pPr>
      <w:r>
        <w:rPr>
          <w:b/>
          <w:color w:val="047857"/>
          <w:sz w:val="24"/>
        </w:rPr>
        <w:t>7. LỊCH SỬ SỬA ĐỔI BỔ SUNG</w:t>
      </w:r>
      <w:r>
        <w:rPr>
          <w:b/>
          <w:i/>
          <w:color w:val="047857"/>
          <w:sz w:val="24"/>
        </w:rPr>
        <w:t xml:space="preserve"> / REVISION HISTORY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E7F3EE"/>
          </w:tcPr>
          <w:p>
            <w:r/>
            <w:r>
              <w:rPr>
                <w:b/>
                <w:sz w:val="17"/>
              </w:rPr>
              <w:t>STT</w:t>
            </w:r>
          </w:p>
        </w:tc>
        <w:tc>
          <w:tcPr>
            <w:tcW w:type="dxa" w:w="1361"/>
            <w:shd w:val="clear" w:color="auto" w:fill="E7F3EE"/>
          </w:tcPr>
          <w:p>
            <w:r/>
            <w:r>
              <w:rPr>
                <w:b/>
                <w:sz w:val="17"/>
              </w:rPr>
              <w:t>Mã tài liệu</w:t>
            </w:r>
          </w:p>
        </w:tc>
        <w:tc>
          <w:tcPr>
            <w:tcW w:type="dxa" w:w="1474"/>
            <w:shd w:val="clear" w:color="auto" w:fill="E7F3EE"/>
          </w:tcPr>
          <w:p>
            <w:r/>
            <w:r>
              <w:rPr>
                <w:b/>
                <w:sz w:val="17"/>
              </w:rPr>
              <w:t>Version</w:t>
            </w:r>
          </w:p>
        </w:tc>
        <w:tc>
          <w:tcPr>
            <w:tcW w:type="dxa" w:w="6123"/>
            <w:shd w:val="clear" w:color="auto" w:fill="E7F3EE"/>
          </w:tcPr>
          <w:p>
            <w:r/>
            <w:r>
              <w:rPr>
                <w:b/>
                <w:sz w:val="17"/>
              </w:rPr>
              <w:t>Mô tả thay đổi / Description of change</w:t>
            </w:r>
          </w:p>
        </w:tc>
      </w:tr>
      <w:tr>
        <w:tc>
          <w:tcPr>
            <w:tcW w:type="dxa" w:w="680"/>
          </w:tcPr>
          <w:p>
            <w:pPr>
              <w:spacing w:after="20"/>
            </w:pPr>
            <w:r/>
            <w:r>
              <w:rPr>
                <w:sz w:val="17"/>
              </w:rPr>
              <w:t>1</w:t>
            </w:r>
          </w:p>
        </w:tc>
        <w:tc>
          <w:tcPr>
            <w:tcW w:type="dxa" w:w="1361"/>
          </w:tcPr>
          <w:p>
            <w:pPr>
              <w:spacing w:after="20"/>
            </w:pPr>
            <w:r/>
            <w:r>
              <w:rPr>
                <w:sz w:val="17"/>
              </w:rPr>
              <w:t>SOP.0003</w:t>
            </w:r>
          </w:p>
        </w:tc>
        <w:tc>
          <w:tcPr>
            <w:tcW w:type="dxa" w:w="1474"/>
          </w:tcPr>
          <w:p>
            <w:pPr>
              <w:spacing w:after="20"/>
            </w:pPr>
            <w:r/>
            <w:r>
              <w:rPr>
                <w:sz w:val="17"/>
              </w:rPr>
              <w:t>01</w:t>
            </w:r>
          </w:p>
        </w:tc>
        <w:tc>
          <w:tcPr>
            <w:tcW w:type="dxa" w:w="6123"/>
          </w:tcPr>
          <w:p>
            <w:pPr>
              <w:spacing w:after="20"/>
            </w:pPr>
            <w:r/>
            <w:r>
              <w:rPr>
                <w:sz w:val="17"/>
              </w:rPr>
              <w:t>Ban hành lần đầu / Initial issuance</w:t>
            </w:r>
          </w:p>
        </w:tc>
      </w:tr>
      <w:tr>
        <w:tc>
          <w:tcPr>
            <w:tcW w:type="dxa" w:w="680"/>
          </w:tcPr>
          <w:p>
            <w:pPr>
              <w:spacing w:after="20"/>
            </w:pPr>
            <w:r/>
            <w:r>
              <w:rPr>
                <w:sz w:val="17"/>
              </w:rPr>
              <w:t>2</w:t>
            </w:r>
          </w:p>
        </w:tc>
        <w:tc>
          <w:tcPr>
            <w:tcW w:type="dxa" w:w="1361"/>
          </w:tcPr>
          <w:p>
            <w:pPr>
              <w:spacing w:after="20"/>
            </w:pPr>
            <w:r/>
            <w:r>
              <w:rPr>
                <w:sz w:val="17"/>
              </w:rPr>
              <w:t>SOP.0003</w:t>
            </w:r>
          </w:p>
        </w:tc>
        <w:tc>
          <w:tcPr>
            <w:tcW w:type="dxa" w:w="1474"/>
          </w:tcPr>
          <w:p>
            <w:pPr>
              <w:spacing w:after="20"/>
            </w:pPr>
            <w:r/>
            <w:r>
              <w:rPr>
                <w:sz w:val="17"/>
              </w:rPr>
              <w:t>1.0.0</w:t>
            </w:r>
          </w:p>
        </w:tc>
        <w:tc>
          <w:tcPr>
            <w:tcW w:type="dxa" w:w="6123"/>
          </w:tcPr>
          <w:p>
            <w:pPr>
              <w:spacing w:after="20"/>
            </w:pPr>
            <w:r/>
            <w:r>
              <w:rPr>
                <w:sz w:val="17"/>
              </w:rPr>
              <w:t>Ban hành lại trên hệ thống phần mềm / Re-issued in the EDMS</w:t>
            </w:r>
          </w:p>
        </w:tc>
      </w:tr>
      <w:tr>
        <w:tc>
          <w:tcPr>
            <w:tcW w:type="dxa" w:w="680"/>
          </w:tcPr>
          <w:p>
            <w:pPr>
              <w:spacing w:after="20"/>
            </w:pPr>
            <w:r/>
            <w:r>
              <w:rPr>
                <w:sz w:val="17"/>
              </w:rPr>
              <w:t>3</w:t>
            </w:r>
          </w:p>
        </w:tc>
        <w:tc>
          <w:tcPr>
            <w:tcW w:type="dxa" w:w="1361"/>
          </w:tcPr>
          <w:p>
            <w:pPr>
              <w:spacing w:after="20"/>
            </w:pPr>
            <w:r/>
            <w:r>
              <w:rPr>
                <w:sz w:val="17"/>
              </w:rPr>
              <w:t>SOP.0003</w:t>
            </w:r>
          </w:p>
        </w:tc>
        <w:tc>
          <w:tcPr>
            <w:tcW w:type="dxa" w:w="1474"/>
          </w:tcPr>
          <w:p>
            <w:pPr>
              <w:spacing w:after="20"/>
            </w:pPr>
            <w:r/>
            <w:r>
              <w:rPr>
                <w:sz w:val="17"/>
              </w:rPr>
              <w:t>2.0.0</w:t>
            </w:r>
          </w:p>
        </w:tc>
        <w:tc>
          <w:tcPr>
            <w:tcW w:type="dxa" w:w="6123"/>
          </w:tcPr>
          <w:p>
            <w:pPr>
              <w:spacing w:after="20"/>
            </w:pPr>
            <w:r/>
            <w:r>
              <w:rPr>
                <w:sz w:val="17"/>
              </w:rPr>
              <w:t>Xem lịch sử của bản 2.0.0 / See the history of version 2.0.0</w:t>
            </w:r>
          </w:p>
        </w:tc>
      </w:tr>
      <w:tr>
        <w:tc>
          <w:tcPr>
            <w:tcW w:type="dxa" w:w="680"/>
          </w:tcPr>
          <w:p>
            <w:pPr>
              <w:spacing w:after="20"/>
            </w:pPr>
            <w:r/>
            <w:r>
              <w:rPr>
                <w:sz w:val="17"/>
              </w:rPr>
              <w:t>4</w:t>
            </w:r>
          </w:p>
        </w:tc>
        <w:tc>
          <w:tcPr>
            <w:tcW w:type="dxa" w:w="1361"/>
          </w:tcPr>
          <w:p>
            <w:pPr>
              <w:spacing w:after="20"/>
            </w:pPr>
            <w:r/>
            <w:r>
              <w:rPr>
                <w:sz w:val="17"/>
              </w:rPr>
              <w:t>SOP.0003</w:t>
            </w:r>
          </w:p>
        </w:tc>
        <w:tc>
          <w:tcPr>
            <w:tcW w:type="dxa" w:w="1474"/>
          </w:tcPr>
          <w:p>
            <w:pPr>
              <w:spacing w:after="20"/>
            </w:pPr>
            <w:r/>
            <w:r>
              <w:rPr>
                <w:sz w:val="17"/>
              </w:rPr>
              <w:t>3.0.0 (dự thảo)</w:t>
            </w:r>
          </w:p>
        </w:tc>
        <w:tc>
          <w:tcPr>
            <w:tcW w:type="dxa" w:w="6123"/>
          </w:tcPr>
          <w:p>
            <w:pPr>
              <w:spacing w:after="20"/>
            </w:pPr>
            <w:r/>
            <w:r>
              <w:rPr>
                <w:sz w:val="17"/>
              </w:rPr>
              <w:t>Viết lại theo mô hình kết hợp giấy và phần mềm đào tạo: bảng quyết định cách thực hiện theo loại đào tạo và môi trường (mục 5.3); mã đào tạo, danh sách, điểm danh, đánh giá, hồ sơ thực hiện trong hệ thống; giấy là phương án khi không dùng thiết bị hoặc hệ thống ngừng (mục 5.5); thay FRM.0044 bằng danh mục mã trong hệ thống; bổ sung nhập từ giấy kèm bản scan và người kiểm tra thứ hai; danh sách đã xác nhận không thêm người. / Rewritten for the combined paper and training software model.</w:t>
            </w:r>
          </w:p>
        </w:tc>
      </w:tr>
    </w:tbl>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SOP.0003 — Đào tạo / Training — Version 3.0.0 — BẢN NHÁP DỰ THẢO, CHƯA PHÁT HÀNH / DRAFT, NOT ISSUED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