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C447C"/>
          <w:sz w:val="40"/>
          <w:szCs w:val="40"/>
        </w:rPr>
        <w:t xml:space="preserve">QC Automation Plan — Project NITRO</w:t>
      </w:r>
    </w:p>
    <w:p>
      <w:pPr>
        <w:spacing w:after="200"/>
      </w:pPr>
      <w:r>
        <w:rPr>
          <w:color w:val="555555"/>
          <w:sz w:val="24"/>
          <w:szCs w:val="24"/>
        </w:rPr>
        <w:t xml:space="preserve">How QC will be automated using Claude Code (restricted) — without Claude Cowork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vAlign w:val="center"/>
          </w:tcPr>
          <w:p>
            <w:r>
              <w:rPr>
                <w:b/>
                <w:bCs/>
                <w:sz w:val="20"/>
                <w:szCs w:val="20"/>
              </w:rPr>
              <w:t xml:space="preserve">Author</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sz w:val="20"/>
                <w:szCs w:val="20"/>
              </w:rPr>
              <w:t xml:space="preserve">Thong Ho (QC)</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b/>
                <w:bCs/>
                <w:sz w:val="20"/>
                <w:szCs w:val="20"/>
              </w:rPr>
              <w:t xml:space="preserve">Prepared for</w:t>
            </w:r>
          </w:p>
        </w:tc>
        <w:tc>
          <w:tcPr>
            <w:tcW w:type="dxa" w:w="67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20"/>
                <w:szCs w:val="20"/>
              </w:rPr>
              <w:t xml:space="preserve">Joel Dawson</w:t>
            </w:r>
          </w:p>
        </w:tc>
      </w:tr>
      <w:tr>
        <w:tc>
          <w:tcPr>
            <w:tcW w:type="dxa" w:w="26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vAlign w:val="center"/>
          </w:tcPr>
          <w:p>
            <w:r>
              <w:rPr>
                <w:b/>
                <w:bCs/>
                <w:sz w:val="20"/>
                <w:szCs w:val="20"/>
              </w:rPr>
              <w:t xml:space="preserve">Project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sz w:val="20"/>
                <w:szCs w:val="20"/>
              </w:rPr>
              <w:t xml:space="preserve">Project NITRO (Jira: NIT, Confluence: PN1)</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b/>
                <w:bCs/>
                <w:sz w:val="20"/>
                <w:szCs w:val="20"/>
              </w:rPr>
              <w:t xml:space="preserve">Date</w:t>
            </w:r>
          </w:p>
        </w:tc>
        <w:tc>
          <w:tcPr>
            <w:tcW w:type="dxa" w:w="67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20"/>
                <w:szCs w:val="20"/>
              </w:rPr>
              <w:t xml:space="preserve">2026-07-10</w:t>
            </w:r>
          </w:p>
        </w:tc>
      </w:tr>
      <w:tr>
        <w:tc>
          <w:tcPr>
            <w:tcW w:type="dxa" w:w="26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vAlign w:val="center"/>
          </w:tcPr>
          <w:p>
            <w:r>
              <w:rPr>
                <w:b/>
                <w:bCs/>
                <w:sz w:val="20"/>
                <w:szCs w:val="20"/>
              </w:rPr>
              <w:t xml:space="preserve">Status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sz w:val="20"/>
                <w:szCs w:val="20"/>
              </w:rPr>
              <w:t xml:space="preserve">Draft for review</w:t>
            </w:r>
          </w:p>
        </w:tc>
      </w:tr>
    </w:tbl>
    <w:p>
      <w:pPr>
        <w:spacing w:after="80"/>
      </w:pPr>
    </w:p>
    <w:p>
      <w:pPr>
        <w:pStyle w:val="Heading1"/>
      </w:pPr>
      <w:r>
        <w:t xml:space="preserve">1. Objective</w:t>
      </w:r>
    </w:p>
    <w:p>
      <w:pPr>
        <w:spacing w:after="120"/>
      </w:pPr>
      <w:r>
        <w:rPr>
          <w:sz w:val="22"/>
          <w:szCs w:val="22"/>
        </w:rPr>
        <w:t xml:space="preserve">Automate the QC process for Project NITRO end-to-end using Claude Code within the approved security sandbox — without Claude Cowork. The pipeline generates test cases from the Functional Specs, builds and runs E2E automation, captures failures as evidence, logs defects to Jira automatically, and reports coverage against release exit criteria.</w:t>
      </w:r>
    </w:p>
    <w:p>
      <w:pPr>
        <w:pStyle w:val="Heading1"/>
      </w:pPr>
      <w:r>
        <w:t xml:space="preserve">2. Current status</w:t>
      </w:r>
    </w:p>
    <w:p>
      <w:pPr>
        <w:pStyle w:val="ListParagraph"/>
        <w:numPr>
          <w:ilvl w:val="0"/>
          <w:numId w:val="2"/>
        </w:numPr>
        <w:spacing w:after="70"/>
      </w:pPr>
      <w:r>
        <w:rPr>
          <w:sz w:val="22"/>
          <w:szCs w:val="22"/>
        </w:rPr>
        <w:t xml:space="preserve">Automation framework built and validated: Playwright + TypeScript, Page Object Model, auto bug→Jira reporter, QC report generator.</w:t>
      </w:r>
    </w:p>
    <w:p>
      <w:pPr>
        <w:pStyle w:val="ListParagraph"/>
        <w:numPr>
          <w:ilvl w:val="0"/>
          <w:numId w:val="2"/>
        </w:numPr>
        <w:spacing w:after="70"/>
      </w:pPr>
      <w:r>
        <w:rPr>
          <w:sz w:val="22"/>
          <w:szCs w:val="22"/>
        </w:rPr>
        <w:t xml:space="preserve">Full workflow proven end-to-end to validate the pipeline (demo video + bug report shared in the channel).</w:t>
      </w:r>
    </w:p>
    <w:p>
      <w:pPr>
        <w:pStyle w:val="ListParagraph"/>
        <w:numPr>
          <w:ilvl w:val="0"/>
          <w:numId w:val="2"/>
        </w:numPr>
        <w:spacing w:after="70"/>
      </w:pPr>
      <w:r>
        <w:rPr>
          <w:sz w:val="22"/>
          <w:szCs w:val="22"/>
        </w:rPr>
        <w:t xml:space="preserve">Claude Cowork was not approved. Claude Code access is being provisioned (pending). Claude Desktop will come later.</w:t>
      </w:r>
    </w:p>
    <w:p>
      <w:pPr>
        <w:pStyle w:val="Heading1"/>
      </w:pPr>
      <w:r>
        <w:t xml:space="preserve">3. Access I have</w:t>
      </w:r>
    </w:p>
    <w:p>
      <w:pPr>
        <w:pStyle w:val="ListParagraph"/>
        <w:numPr>
          <w:ilvl w:val="0"/>
          <w:numId w:val="2"/>
        </w:numPr>
        <w:spacing w:after="70"/>
      </w:pPr>
      <w:r>
        <w:rPr>
          <w:sz w:val="22"/>
          <w:szCs w:val="22"/>
        </w:rPr>
        <w:t xml:space="preserve">Source repository (Hub24-Automation) and local dev environment (VS Code).</w:t>
      </w:r>
    </w:p>
    <w:p>
      <w:pPr>
        <w:pStyle w:val="ListParagraph"/>
        <w:numPr>
          <w:ilvl w:val="0"/>
          <w:numId w:val="2"/>
        </w:numPr>
        <w:spacing w:after="70"/>
      </w:pPr>
      <w:r>
        <w:rPr>
          <w:sz w:val="22"/>
          <w:szCs w:val="22"/>
        </w:rPr>
        <w:t xml:space="preserve">The Playwright automation framework (pages, tests, reporters, CI config) already in the repo.</w:t>
      </w:r>
    </w:p>
    <w:p>
      <w:pPr>
        <w:pStyle w:val="ListParagraph"/>
        <w:numPr>
          <w:ilvl w:val="0"/>
          <w:numId w:val="2"/>
        </w:numPr>
        <w:spacing w:after="70"/>
      </w:pPr>
      <w:r>
        <w:rPr>
          <w:sz w:val="22"/>
          <w:szCs w:val="22"/>
        </w:rPr>
        <w:t xml:space="preserve">Jira (NITRO / NIT) and Confluence (space PN1) via my browser account.</w:t>
      </w:r>
    </w:p>
    <w:p>
      <w:pPr>
        <w:pStyle w:val="ListParagraph"/>
        <w:numPr>
          <w:ilvl w:val="0"/>
          <w:numId w:val="2"/>
        </w:numPr>
        <w:spacing w:after="70"/>
      </w:pPr>
      <w:r>
        <w:rPr>
          <w:sz w:val="22"/>
          <w:szCs w:val="22"/>
        </w:rPr>
        <w:t xml:space="preserve">Jira REST API access via an API token stored in .env (used by the auto bug→Jira reporter).</w:t>
      </w:r>
    </w:p>
    <w:p>
      <w:pPr>
        <w:pStyle w:val="ListParagraph"/>
        <w:numPr>
          <w:ilvl w:val="0"/>
          <w:numId w:val="2"/>
        </w:numPr>
        <w:spacing w:after="70"/>
      </w:pPr>
      <w:r>
        <w:rPr>
          <w:sz w:val="22"/>
          <w:szCs w:val="22"/>
        </w:rPr>
        <w:t xml:space="preserve">CI: CloudBees pipeline config present in the repo.</w:t>
      </w:r>
    </w:p>
    <w:p>
      <w:pPr>
        <w:pStyle w:val="Heading1"/>
      </w:pPr>
      <w:r>
        <w:t xml:space="preserve">4. Access I need</w:t>
      </w:r>
    </w:p>
    <w:p>
      <w:pPr>
        <w:pStyle w:val="ListParagraph"/>
        <w:numPr>
          <w:ilvl w:val="0"/>
          <w:numId w:val="2"/>
        </w:numPr>
        <w:spacing w:after="70"/>
      </w:pPr>
      <w:r>
        <w:rPr>
          <w:b/>
          <w:bCs/>
          <w:sz w:val="20"/>
          <w:szCs w:val="20"/>
        </w:rPr>
        <w:t xml:space="preserve">Claude Code provisioned</w:t>
      </w:r>
      <w:r>
        <w:rPr>
          <w:sz w:val="20"/>
          <w:szCs w:val="20"/>
        </w:rPr>
        <w:t xml:space="preserve"> for my account (currently blocked / pending).</w:t>
      </w:r>
    </w:p>
    <w:p>
      <w:pPr>
        <w:pStyle w:val="ListParagraph"/>
        <w:numPr>
          <w:ilvl w:val="0"/>
          <w:numId w:val="2"/>
        </w:numPr>
        <w:spacing w:after="70"/>
      </w:pPr>
      <w:r>
        <w:rPr>
          <w:b/>
          <w:bCs/>
          <w:sz w:val="20"/>
          <w:szCs w:val="20"/>
        </w:rPr>
        <w:t xml:space="preserve">Network allowlist additions</w:t>
      </w:r>
      <w:r>
        <w:rPr>
          <w:sz w:val="20"/>
          <w:szCs w:val="20"/>
        </w:rPr>
        <w:t xml:space="preserve"> in the Claude Code settings.json so tests and the Jira integration can run inside the sandbox (see Section 6). This is the top blocker.</w:t>
      </w:r>
    </w:p>
    <w:p>
      <w:pPr>
        <w:pStyle w:val="ListParagraph"/>
        <w:numPr>
          <w:ilvl w:val="0"/>
          <w:numId w:val="2"/>
        </w:numPr>
        <w:spacing w:after="70"/>
      </w:pPr>
      <w:r>
        <w:rPr>
          <w:b/>
          <w:bCs/>
          <w:sz w:val="20"/>
          <w:szCs w:val="20"/>
        </w:rPr>
        <w:t xml:space="preserve">A Jira account with create-issue permission on NITRO</w:t>
      </w:r>
      <w:r>
        <w:rPr>
          <w:sz w:val="20"/>
          <w:szCs w:val="20"/>
        </w:rPr>
        <w:t xml:space="preserve"> (a HUB24 account) + a matching API token for the automation.</w:t>
      </w:r>
    </w:p>
    <w:p>
      <w:pPr>
        <w:pStyle w:val="ListParagraph"/>
        <w:numPr>
          <w:ilvl w:val="0"/>
          <w:numId w:val="2"/>
        </w:numPr>
        <w:spacing w:after="70"/>
      </w:pPr>
      <w:r>
        <w:rPr>
          <w:b/>
          <w:bCs/>
          <w:sz w:val="20"/>
          <w:szCs w:val="20"/>
        </w:rPr>
        <w:t xml:space="preserve">Test environment access + mock/test data</w:t>
      </w:r>
      <w:r>
        <w:rPr>
          <w:sz w:val="20"/>
          <w:szCs w:val="20"/>
        </w:rPr>
        <w:t xml:space="preserve"> for the real HUB24 app (to run against the real application).</w:t>
      </w:r>
    </w:p>
    <w:p>
      <w:pPr>
        <w:pStyle w:val="ListParagraph"/>
        <w:numPr>
          <w:ilvl w:val="0"/>
          <w:numId w:val="2"/>
        </w:numPr>
        <w:spacing w:after="70"/>
      </w:pPr>
      <w:r>
        <w:rPr>
          <w:b/>
          <w:bCs/>
          <w:sz w:val="20"/>
          <w:szCs w:val="20"/>
        </w:rPr>
        <w:t xml:space="preserve">CI runner egress</w:t>
      </w:r>
      <w:r>
        <w:rPr>
          <w:sz w:val="20"/>
          <w:szCs w:val="20"/>
        </w:rPr>
        <w:t xml:space="preserve"> to the same domains so the suite runs in CloudBees, not just locally.</w:t>
      </w:r>
    </w:p>
    <w:p>
      <w:pPr>
        <w:pStyle w:val="Heading1"/>
      </w:pPr>
      <w:r>
        <w:t xml:space="preserve">5. Automation workflow (how I will use Claude Code)</w:t>
      </w:r>
    </w:p>
    <w:p>
      <w:pPr>
        <w:pStyle w:val="ListParagraph"/>
        <w:numPr>
          <w:ilvl w:val="0"/>
          <w:numId w:val="3"/>
        </w:numPr>
        <w:spacing w:after="70"/>
      </w:pPr>
      <w:r>
        <w:rPr>
          <w:sz w:val="22"/>
          <w:szCs w:val="22"/>
        </w:rPr>
        <w:t xml:space="preserve">Generate test cases from the Functional Specs (Confluence) — publish to Confluence and save .feature/.json in the repo.</w:t>
      </w:r>
    </w:p>
    <w:p>
      <w:pPr>
        <w:pStyle w:val="ListParagraph"/>
        <w:numPr>
          <w:ilvl w:val="0"/>
          <w:numId w:val="3"/>
        </w:numPr>
        <w:spacing w:after="70"/>
      </w:pPr>
      <w:r>
        <w:rPr>
          <w:sz w:val="22"/>
          <w:szCs w:val="22"/>
        </w:rPr>
        <w:t xml:space="preserve">Write and maintain the E2E automation (Playwright, Page Object Model).</w:t>
      </w:r>
    </w:p>
    <w:p>
      <w:pPr>
        <w:pStyle w:val="ListParagraph"/>
        <w:numPr>
          <w:ilvl w:val="0"/>
          <w:numId w:val="3"/>
        </w:numPr>
        <w:spacing w:after="70"/>
      </w:pPr>
      <w:r>
        <w:rPr>
          <w:sz w:val="22"/>
          <w:szCs w:val="22"/>
        </w:rPr>
        <w:t xml:space="preserve">Run the E2E suite locally and in CI (CloudBees).</w:t>
      </w:r>
    </w:p>
    <w:p>
      <w:pPr>
        <w:pStyle w:val="ListParagraph"/>
        <w:numPr>
          <w:ilvl w:val="0"/>
          <w:numId w:val="3"/>
        </w:numPr>
        <w:spacing w:after="70"/>
      </w:pPr>
      <w:r>
        <w:rPr>
          <w:sz w:val="22"/>
          <w:szCs w:val="22"/>
        </w:rPr>
        <w:t xml:space="preserve">Capture each failure as evidence: bug-report (ticket description), bug-image (screenshot), bug-video.</w:t>
      </w:r>
    </w:p>
    <w:p>
      <w:pPr>
        <w:pStyle w:val="ListParagraph"/>
        <w:numPr>
          <w:ilvl w:val="0"/>
          <w:numId w:val="3"/>
        </w:numPr>
        <w:spacing w:after="70"/>
      </w:pPr>
      <w:r>
        <w:rPr>
          <w:sz w:val="22"/>
          <w:szCs w:val="22"/>
        </w:rPr>
        <w:t xml:space="preserve">Auto-create / update Jira defects: Epic parent → Bug, Story parent → Bug Fixing (in-sprint) Sub-task; de-duplicate existing tickets; reopen on re-fail, close on pass.</w:t>
      </w:r>
    </w:p>
    <w:p>
      <w:pPr>
        <w:pStyle w:val="ListParagraph"/>
        <w:numPr>
          <w:ilvl w:val="0"/>
          <w:numId w:val="3"/>
        </w:numPr>
        <w:spacing w:after="70"/>
      </w:pPr>
      <w:r>
        <w:rPr>
          <w:sz w:val="22"/>
          <w:szCs w:val="22"/>
        </w:rPr>
        <w:t xml:space="preserve">Produce a QC report: coverage, pass rate, and open defects against release exit criteria.</w:t>
      </w:r>
    </w:p>
    <w:p>
      <w:pPr>
        <w:pStyle w:val="Heading1"/>
      </w:pPr>
      <w:r>
        <w:t xml:space="preserve">6. Domains to whitelist</w:t>
      </w:r>
    </w:p>
    <w:p>
      <w:pPr>
        <w:spacing w:after="120"/>
      </w:pPr>
      <w:r>
        <w:rPr>
          <w:sz w:val="22"/>
          <w:szCs w:val="22"/>
        </w:rPr>
        <w:t xml:space="preserve">The current settings.json uses allowManagedDomainsOnly = true, so anything not listed is blocked. The following need to be added to network.allowedDomains for the workflow to function inside the sandbox: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0"/>
        <w:gridCol w:w="4210"/>
        <w:gridCol w:w="1600"/>
      </w:tblGrid>
      <w:tr>
        <w:trPr>
          <w:tblHeader/>
        </w:trPr>
        <w:tc>
          <w:tcPr>
            <w:tcW w:type="dxa" w:w="3550"/>
            <w:tcBorders>
              <w:top w:val="single" w:color="CCCCCC" w:sz="1"/>
              <w:left w:val="single" w:color="CCCCCC" w:sz="1"/>
              <w:bottom w:val="single" w:color="CCCCCC" w:sz="1"/>
              <w:right w:val="single" w:color="CCCCCC" w:sz="1"/>
            </w:tcBorders>
            <w:shd w:fill="0C447C" w:val="clear"/>
            <w:tcMar>
              <w:top w:type="dxa" w:w="60"/>
              <w:left w:type="dxa" w:w="110"/>
              <w:bottom w:type="dxa" w:w="60"/>
              <w:right w:type="dxa" w:w="110"/>
            </w:tcMar>
            <w:vAlign w:val="center"/>
          </w:tcPr>
          <w:p>
            <w:r>
              <w:rPr>
                <w:b/>
                <w:bCs/>
                <w:color w:val="FFFFFF"/>
                <w:sz w:val="20"/>
                <w:szCs w:val="20"/>
              </w:rPr>
              <w:t xml:space="preserve">Domain</w:t>
            </w:r>
          </w:p>
        </w:tc>
        <w:tc>
          <w:tcPr>
            <w:tcW w:type="dxa" w:w="4210"/>
            <w:tcBorders>
              <w:top w:val="single" w:color="CCCCCC" w:sz="1"/>
              <w:left w:val="single" w:color="CCCCCC" w:sz="1"/>
              <w:bottom w:val="single" w:color="CCCCCC" w:sz="1"/>
              <w:right w:val="single" w:color="CCCCCC" w:sz="1"/>
            </w:tcBorders>
            <w:shd w:fill="0C447C" w:val="clear"/>
            <w:tcMar>
              <w:top w:type="dxa" w:w="60"/>
              <w:left w:type="dxa" w:w="110"/>
              <w:bottom w:type="dxa" w:w="60"/>
              <w:right w:type="dxa" w:w="110"/>
            </w:tcMar>
            <w:vAlign w:val="center"/>
          </w:tcPr>
          <w:p>
            <w:r>
              <w:rPr>
                <w:b/>
                <w:bCs/>
                <w:color w:val="FFFFFF"/>
                <w:sz w:val="20"/>
                <w:szCs w:val="20"/>
              </w:rPr>
              <w:t xml:space="preserve">Purpose</w:t>
            </w:r>
          </w:p>
        </w:tc>
        <w:tc>
          <w:tcPr>
            <w:tcW w:type="dxa" w:w="1600"/>
            <w:tcBorders>
              <w:top w:val="single" w:color="CCCCCC" w:sz="1"/>
              <w:left w:val="single" w:color="CCCCCC" w:sz="1"/>
              <w:bottom w:val="single" w:color="CCCCCC" w:sz="1"/>
              <w:right w:val="single" w:color="CCCCCC" w:sz="1"/>
            </w:tcBorders>
            <w:shd w:fill="0C447C" w:val="clear"/>
            <w:tcMar>
              <w:top w:type="dxa" w:w="60"/>
              <w:left w:type="dxa" w:w="110"/>
              <w:bottom w:type="dxa" w:w="60"/>
              <w:right w:type="dxa" w:w="110"/>
            </w:tcMar>
            <w:vAlign w:val="center"/>
          </w:tcPr>
          <w:p>
            <w:r>
              <w:rPr>
                <w:b/>
                <w:bCs/>
                <w:color w:val="FFFFFF"/>
                <w:sz w:val="20"/>
                <w:szCs w:val="20"/>
              </w:rPr>
              <w:t xml:space="preserve">Priority</w:t>
            </w:r>
          </w:p>
        </w:tc>
      </w:tr>
      <w:tr>
        <w:tc>
          <w:tcPr>
            <w:tcW w:type="dxa" w:w="3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unction bold() { [native code] }"/>
                <w:bCs w:val="function bold() { [native code] }"/>
                <w:sz w:val="19"/>
                <w:szCs w:val="19"/>
              </w:rPr>
              <w:t xml:space="preserve">api.atlassian.com</w:t>
            </w:r>
          </w:p>
        </w:tc>
        <w:tc>
          <w:tcPr>
            <w:tcW w:type="dxa" w:w="42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unction bold() { [native code] }"/>
                <w:bCs w:val="function bold() { [native code] }"/>
                <w:sz w:val="19"/>
                <w:szCs w:val="19"/>
              </w:rPr>
              <w:t xml:space="preserve">Jira REST API — auto-create / update defect tickets</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bCs/>
                <w:sz w:val="19"/>
                <w:szCs w:val="19"/>
              </w:rPr>
              <w:t xml:space="preserve">High</w:t>
            </w:r>
          </w:p>
        </w:tc>
      </w:tr>
      <w:tr>
        <w:tc>
          <w:tcPr>
            <w:tcW w:type="dxa" w:w="355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b w:val="function bold() { [native code] }"/>
                <w:bCs w:val="function bold() { [native code] }"/>
                <w:sz w:val="19"/>
                <w:szCs w:val="19"/>
              </w:rPr>
              <w:t xml:space="preserve">classltd.atlassian.net</w:t>
            </w:r>
          </w:p>
        </w:tc>
        <w:tc>
          <w:tcPr>
            <w:tcW w:type="dxa" w:w="421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b w:val="function bold() { [native code] }"/>
                <w:bCs w:val="function bold() { [native code] }"/>
                <w:sz w:val="19"/>
                <w:szCs w:val="19"/>
              </w:rPr>
              <w:t xml:space="preserve">Jira (NITRO) + Confluence (PN1) site</w:t>
            </w:r>
          </w:p>
        </w:tc>
        <w:tc>
          <w:tcPr>
            <w:tcW w:type="dxa" w:w="16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b/>
                <w:bCs/>
                <w:sz w:val="19"/>
                <w:szCs w:val="19"/>
              </w:rPr>
              <w:t xml:space="preserve">High</w:t>
            </w:r>
          </w:p>
        </w:tc>
      </w:tr>
      <w:tr>
        <w:tc>
          <w:tcPr>
            <w:tcW w:type="dxa" w:w="3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unction bold() { [native code] }"/>
                <w:bCs w:val="function bold() { [native code] }"/>
                <w:sz w:val="19"/>
                <w:szCs w:val="19"/>
              </w:rPr>
              <w:t xml:space="preserve">*.atlassian.net</w:t>
            </w:r>
          </w:p>
        </w:tc>
        <w:tc>
          <w:tcPr>
            <w:tcW w:type="dxa" w:w="42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unction bold() { [native code] }"/>
                <w:bCs w:val="function bold() { [native code] }"/>
                <w:sz w:val="19"/>
                <w:szCs w:val="19"/>
              </w:rPr>
              <w:t xml:space="preserve">Atlassian site assets / redirects</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unction bold() { [native code] }"/>
                <w:bCs w:val="function bold() { [native code] }"/>
                <w:sz w:val="19"/>
                <w:szCs w:val="19"/>
              </w:rPr>
              <w:t xml:space="preserve">High</w:t>
            </w:r>
          </w:p>
        </w:tc>
      </w:tr>
      <w:tr>
        <w:tc>
          <w:tcPr>
            <w:tcW w:type="dxa" w:w="355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b w:val="function bold() { [native code] }"/>
                <w:bCs w:val="function bold() { [native code] }"/>
                <w:sz w:val="19"/>
                <w:szCs w:val="19"/>
              </w:rPr>
              <w:t xml:space="preserve">&lt;HUB24 test environment URL&gt;</w:t>
            </w:r>
          </w:p>
        </w:tc>
        <w:tc>
          <w:tcPr>
            <w:tcW w:type="dxa" w:w="421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b w:val="function bold() { [native code] }"/>
                <w:bCs w:val="function bold() { [native code] }"/>
                <w:sz w:val="19"/>
                <w:szCs w:val="19"/>
              </w:rPr>
              <w:t xml:space="preserve">The app under test (E2E target) — please confirm the UAT/test domain</w:t>
            </w:r>
          </w:p>
        </w:tc>
        <w:tc>
          <w:tcPr>
            <w:tcW w:type="dxa" w:w="16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b/>
                <w:bCs/>
                <w:sz w:val="19"/>
                <w:szCs w:val="19"/>
              </w:rPr>
              <w:t xml:space="preserve">High</w:t>
            </w:r>
          </w:p>
        </w:tc>
      </w:tr>
      <w:tr>
        <w:tc>
          <w:tcPr>
            <w:tcW w:type="dxa" w:w="3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unction bold() { [native code] }"/>
                <w:bCs w:val="function bold() { [native code] }"/>
                <w:sz w:val="19"/>
                <w:szCs w:val="19"/>
              </w:rPr>
              <w:t xml:space="preserve">cdn.playwright.dev</w:t>
            </w:r>
          </w:p>
        </w:tc>
        <w:tc>
          <w:tcPr>
            <w:tcW w:type="dxa" w:w="42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unction bold() { [native code] }"/>
                <w:bCs w:val="function bold() { [native code] }"/>
                <w:sz w:val="19"/>
                <w:szCs w:val="19"/>
              </w:rPr>
              <w:t xml:space="preserve">Download Playwright browser binaries (npx playwright install)</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unction bold() { [native code] }"/>
                <w:bCs w:val="function bold() { [native code] }"/>
                <w:sz w:val="19"/>
                <w:szCs w:val="19"/>
              </w:rPr>
              <w:t xml:space="preserve">High</w:t>
            </w:r>
          </w:p>
        </w:tc>
      </w:tr>
      <w:tr>
        <w:tc>
          <w:tcPr>
            <w:tcW w:type="dxa" w:w="355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b w:val="function bold() { [native code] }"/>
                <w:bCs w:val="function bold() { [native code] }"/>
                <w:sz w:val="19"/>
                <w:szCs w:val="19"/>
              </w:rPr>
              <w:t xml:space="preserve">playwright.download.prss.microsoft.com</w:t>
            </w:r>
          </w:p>
        </w:tc>
        <w:tc>
          <w:tcPr>
            <w:tcW w:type="dxa" w:w="421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b w:val="function bold() { [native code] }"/>
                <w:bCs w:val="function bold() { [native code] }"/>
                <w:sz w:val="19"/>
                <w:szCs w:val="19"/>
              </w:rPr>
              <w:t xml:space="preserve">Playwright browser binary CDN (mirror)</w:t>
            </w:r>
          </w:p>
        </w:tc>
        <w:tc>
          <w:tcPr>
            <w:tcW w:type="dxa" w:w="16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b w:val="function bold() { [native code] }"/>
                <w:bCs w:val="function bold() { [native code] }"/>
                <w:sz w:val="19"/>
                <w:szCs w:val="19"/>
              </w:rPr>
              <w:t xml:space="preserve">Med</w:t>
            </w:r>
          </w:p>
        </w:tc>
      </w:tr>
      <w:tr>
        <w:tc>
          <w:tcPr>
            <w:tcW w:type="dxa" w:w="3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unction bold() { [native code] }"/>
                <w:bCs w:val="function bold() { [native code] }"/>
                <w:sz w:val="19"/>
                <w:szCs w:val="19"/>
              </w:rPr>
              <w:t xml:space="preserve">*.browserstack.com</w:t>
            </w:r>
          </w:p>
        </w:tc>
        <w:tc>
          <w:tcPr>
            <w:tcW w:type="dxa" w:w="421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unction bold() { [native code] }"/>
                <w:bCs w:val="function bold() { [native code] }"/>
                <w:sz w:val="19"/>
                <w:szCs w:val="19"/>
              </w:rPr>
              <w:t xml:space="preserve">Cross-browser runs (only if BrowserStack is used)</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unction bold() { [native code] }"/>
                <w:bCs w:val="function bold() { [native code] }"/>
                <w:sz w:val="19"/>
                <w:szCs w:val="19"/>
              </w:rPr>
              <w:t xml:space="preserve">Optional</w:t>
            </w:r>
          </w:p>
        </w:tc>
      </w:tr>
      <w:tr>
        <w:tc>
          <w:tcPr>
            <w:tcW w:type="dxa" w:w="355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b w:val="function bold() { [native code] }"/>
                <w:bCs w:val="function bold() { [native code] }"/>
                <w:sz w:val="19"/>
                <w:szCs w:val="19"/>
              </w:rPr>
              <w:t xml:space="preserve">*.chromatic.com</w:t>
            </w:r>
          </w:p>
        </w:tc>
        <w:tc>
          <w:tcPr>
            <w:tcW w:type="dxa" w:w="421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b w:val="function bold() { [native code] }"/>
                <w:bCs w:val="function bold() { [native code] }"/>
                <w:sz w:val="19"/>
                <w:szCs w:val="19"/>
              </w:rPr>
              <w:t xml:space="preserve">Visual regression uploads (only if Chromatic is used)</w:t>
            </w:r>
          </w:p>
        </w:tc>
        <w:tc>
          <w:tcPr>
            <w:tcW w:type="dxa" w:w="16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b w:val="function bold() { [native code] }"/>
                <w:bCs w:val="function bold() { [native code] }"/>
                <w:sz w:val="19"/>
                <w:szCs w:val="19"/>
              </w:rPr>
              <w:t xml:space="preserve">Optional</w:t>
            </w:r>
          </w:p>
        </w:tc>
      </w:tr>
    </w:tbl>
    <w:p>
      <w:pPr>
        <w:spacing w:after="80"/>
      </w:pPr>
    </w:p>
    <w:p>
      <w:pPr>
        <w:spacing w:after="120"/>
      </w:pPr>
      <w:r>
        <w:rPr>
          <w:i/>
          <w:iCs/>
          <w:color w:val="555555"/>
          <w:sz w:val="22"/>
          <w:szCs w:val="22"/>
        </w:rPr>
        <w:t xml:space="preserve">Note: registry.npmjs.org and github.com are already allowed, so npm installs and git operations work.</w:t>
      </w:r>
    </w:p>
    <w:p>
      <w:pPr>
        <w:pStyle w:val="Heading1"/>
      </w:pPr>
      <w:r>
        <w:t xml:space="preserve">7. Working within the security restrictions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0C447C" w:val="clear"/>
            <w:tcMar>
              <w:top w:type="dxa" w:w="60"/>
              <w:left w:type="dxa" w:w="110"/>
              <w:bottom w:type="dxa" w:w="60"/>
              <w:right w:type="dxa" w:w="110"/>
            </w:tcMar>
            <w:vAlign w:val="center"/>
          </w:tcPr>
          <w:p>
            <w:r>
              <w:rPr>
                <w:b/>
                <w:bCs/>
                <w:color w:val="FFFFFF"/>
                <w:sz w:val="20"/>
                <w:szCs w:val="20"/>
              </w:rPr>
              <w:t xml:space="preserve">Restriction (settings.json)</w:t>
            </w:r>
          </w:p>
        </w:tc>
        <w:tc>
          <w:tcPr>
            <w:tcW w:type="dxa" w:w="5960"/>
            <w:tcBorders>
              <w:top w:val="single" w:color="CCCCCC" w:sz="1"/>
              <w:left w:val="single" w:color="CCCCCC" w:sz="1"/>
              <w:bottom w:val="single" w:color="CCCCCC" w:sz="1"/>
              <w:right w:val="single" w:color="CCCCCC" w:sz="1"/>
            </w:tcBorders>
            <w:shd w:fill="0C447C" w:val="clear"/>
            <w:tcMar>
              <w:top w:type="dxa" w:w="60"/>
              <w:left w:type="dxa" w:w="110"/>
              <w:bottom w:type="dxa" w:w="60"/>
              <w:right w:type="dxa" w:w="110"/>
            </w:tcMar>
            <w:vAlign w:val="center"/>
          </w:tcPr>
          <w:p>
            <w:r>
              <w:rPr>
                <w:b/>
                <w:bCs/>
                <w:color w:val="FFFFFF"/>
                <w:sz w:val="20"/>
                <w:szCs w:val="20"/>
              </w:rPr>
              <w:t xml:space="preserve">How the workflow complies / impact</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unction bold() { [native code] }"/>
                <w:bCs w:val="function bold() { [native code] }"/>
                <w:sz w:val="19"/>
                <w:szCs w:val="19"/>
              </w:rPr>
              <w:t xml:space="preserve">Sandbox on; only allow-listed commands</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unction bold() { [native code] }"/>
                <w:bCs w:val="function bold() { [native code] }"/>
                <w:sz w:val="19"/>
                <w:szCs w:val="19"/>
              </w:rPr>
              <w:t xml:space="preserve">Our stack only needs npm / npx / git / tsc — all allow-listed. No impact.</w:t>
            </w:r>
          </w:p>
        </w:tc>
      </w:tr>
      <w:tr>
        <w:tc>
          <w:tcPr>
            <w:tcW w:type="dxa" w:w="34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b w:val="function bold() { [native code] }"/>
                <w:bCs w:val="function bold() { [native code] }"/>
                <w:sz w:val="19"/>
                <w:szCs w:val="19"/>
              </w:rPr>
              <w:t xml:space="preserve">.env and secrets not readable by the agent</w:t>
            </w:r>
          </w:p>
        </w:tc>
        <w:tc>
          <w:tcPr>
            <w:tcW w:type="dxa" w:w="59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b w:val="function bold() { [native code] }"/>
                <w:bCs w:val="function bold() { [native code] }"/>
                <w:sz w:val="19"/>
                <w:szCs w:val="19"/>
              </w:rPr>
              <w:t xml:space="preserve">Tests load .env at runtime; the agent never reads secrets. Good for security — no impact on running tests.</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unction bold() { [native code] }"/>
                <w:bCs w:val="function bold() { [native code] }"/>
                <w:sz w:val="19"/>
                <w:szCs w:val="19"/>
              </w:rPr>
              <w:t xml:space="preserve">No Jira / Slack MCP (managed MCP only)</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unction bold() { [native code] }"/>
                <w:bCs w:val="function bold() { [native code] }"/>
                <w:sz w:val="19"/>
                <w:szCs w:val="19"/>
              </w:rPr>
              <w:t xml:space="preserve">Defect creation uses the Jira REST API (token in .env), not an MCP — needs the domains in Section 6.</w:t>
            </w:r>
          </w:p>
        </w:tc>
      </w:tr>
      <w:tr>
        <w:tc>
          <w:tcPr>
            <w:tcW w:type="dxa" w:w="34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b w:val="function bold() { [native code] }"/>
                <w:bCs w:val="function bold() { [native code] }"/>
                <w:sz w:val="19"/>
                <w:szCs w:val="19"/>
              </w:rPr>
              <w:t xml:space="preserve">No WebFetch / network allow-list only</w:t>
            </w:r>
          </w:p>
        </w:tc>
        <w:tc>
          <w:tcPr>
            <w:tcW w:type="dxa" w:w="59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b w:val="function bold() { [native code] }"/>
                <w:bCs w:val="function bold() { [native code] }"/>
                <w:sz w:val="19"/>
                <w:szCs w:val="19"/>
              </w:rPr>
              <w:t xml:space="preserve">All required endpoints must be whitelisted (Section 6).</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unction bold() { [native code] }"/>
                <w:bCs w:val="function bold() { [native code] }"/>
                <w:sz w:val="19"/>
                <w:szCs w:val="19"/>
              </w:rPr>
              <w:t xml:space="preserve">All actions audited / telemetry on</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unction bold() { [native code] }"/>
                <w:bCs w:val="function bold() { [native code] }"/>
                <w:sz w:val="19"/>
                <w:szCs w:val="19"/>
              </w:rPr>
              <w:t xml:space="preserve">Acceptable — full traceability of every command and edit.</w:t>
            </w:r>
          </w:p>
        </w:tc>
      </w:tr>
    </w:tbl>
    <w:p>
      <w:pPr>
        <w:pStyle w:val="Heading1"/>
      </w:pPr>
      <w:r>
        <w:t xml:space="preserve">8. Risks &amp; dependencies</w:t>
      </w:r>
    </w:p>
    <w:p>
      <w:pPr>
        <w:pStyle w:val="ListParagraph"/>
        <w:numPr>
          <w:ilvl w:val="0"/>
          <w:numId w:val="2"/>
        </w:numPr>
        <w:spacing w:after="70"/>
      </w:pPr>
      <w:r>
        <w:rPr>
          <w:b/>
          <w:bCs/>
          <w:sz w:val="20"/>
          <w:szCs w:val="20"/>
        </w:rPr>
        <w:t xml:space="preserve">Network allow-list</w:t>
      </w:r>
      <w:r>
        <w:rPr>
          <w:sz w:val="20"/>
          <w:szCs w:val="20"/>
        </w:rPr>
        <w:t xml:space="preserve"> missing the test-target and Atlassian domains → blocks both test execution and Jira push. (Top priority.)</w:t>
      </w:r>
    </w:p>
    <w:p>
      <w:pPr>
        <w:pStyle w:val="ListParagraph"/>
        <w:numPr>
          <w:ilvl w:val="0"/>
          <w:numId w:val="2"/>
        </w:numPr>
        <w:spacing w:after="70"/>
      </w:pPr>
      <w:r>
        <w:rPr>
          <w:b/>
          <w:bCs/>
          <w:sz w:val="20"/>
          <w:szCs w:val="20"/>
        </w:rPr>
        <w:t xml:space="preserve">Test environment + mock data</w:t>
      </w:r>
      <w:r>
        <w:rPr>
          <w:sz w:val="20"/>
          <w:szCs w:val="20"/>
        </w:rPr>
        <w:t xml:space="preserve"> pending → blocks running against the real HUB24 app.</w:t>
      </w:r>
    </w:p>
    <w:p>
      <w:pPr>
        <w:pStyle w:val="ListParagraph"/>
        <w:numPr>
          <w:ilvl w:val="0"/>
          <w:numId w:val="2"/>
        </w:numPr>
        <w:spacing w:after="70"/>
      </w:pPr>
      <w:r>
        <w:rPr>
          <w:b/>
          <w:bCs/>
          <w:sz w:val="20"/>
          <w:szCs w:val="20"/>
        </w:rPr>
        <w:t xml:space="preserve">Claude Code access</w:t>
      </w:r>
      <w:r>
        <w:rPr>
          <w:sz w:val="20"/>
          <w:szCs w:val="20"/>
        </w:rPr>
        <w:t xml:space="preserve"> pending provisioning.</w:t>
      </w:r>
    </w:p>
    <w:p>
      <w:pPr>
        <w:pStyle w:val="ListParagraph"/>
        <w:numPr>
          <w:ilvl w:val="0"/>
          <w:numId w:val="2"/>
        </w:numPr>
        <w:spacing w:after="70"/>
      </w:pPr>
      <w:r>
        <w:rPr>
          <w:b/>
          <w:bCs/>
          <w:sz w:val="20"/>
          <w:szCs w:val="20"/>
        </w:rPr>
        <w:t xml:space="preserve">Jira workflow transition names</w:t>
      </w:r>
      <w:r>
        <w:rPr>
          <w:sz w:val="20"/>
          <w:szCs w:val="20"/>
        </w:rPr>
        <w:t xml:space="preserve"> must match what the reporter uses (configurable) for auto status changes.</w:t>
      </w:r>
    </w:p>
    <w:p>
      <w:pPr>
        <w:pStyle w:val="Heading1"/>
      </w:pPr>
      <w:r>
        <w:t xml:space="preserve">9. Requests (to proceed)</w:t>
      </w:r>
    </w:p>
    <w:p>
      <w:pPr>
        <w:pStyle w:val="ListParagraph"/>
        <w:numPr>
          <w:ilvl w:val="0"/>
          <w:numId w:val="3"/>
        </w:numPr>
        <w:spacing w:after="70"/>
      </w:pPr>
      <w:r>
        <w:rPr>
          <w:sz w:val="22"/>
          <w:szCs w:val="22"/>
        </w:rPr>
        <w:t xml:space="preserve">Approve the domain allow-list additions in Section 6.</w:t>
      </w:r>
    </w:p>
    <w:p>
      <w:pPr>
        <w:pStyle w:val="ListParagraph"/>
        <w:numPr>
          <w:ilvl w:val="0"/>
          <w:numId w:val="3"/>
        </w:numPr>
        <w:spacing w:after="70"/>
      </w:pPr>
      <w:r>
        <w:rPr>
          <w:sz w:val="22"/>
          <w:szCs w:val="22"/>
        </w:rPr>
        <w:t xml:space="preserve">Confirm the HUB24 Jira account + create-issue permission on NITRO.</w:t>
      </w:r>
    </w:p>
    <w:p>
      <w:pPr>
        <w:pStyle w:val="ListParagraph"/>
        <w:numPr>
          <w:ilvl w:val="0"/>
          <w:numId w:val="3"/>
        </w:numPr>
        <w:spacing w:after="70"/>
      </w:pPr>
      <w:r>
        <w:rPr>
          <w:sz w:val="22"/>
          <w:szCs w:val="22"/>
        </w:rPr>
        <w:t xml:space="preserve">Provision Claude Code for my account.</w:t>
      </w:r>
    </w:p>
    <w:p>
      <w:pPr>
        <w:pStyle w:val="ListParagraph"/>
        <w:numPr>
          <w:ilvl w:val="0"/>
          <w:numId w:val="3"/>
        </w:numPr>
        <w:spacing w:after="70"/>
      </w:pPr>
      <w:r>
        <w:rPr>
          <w:sz w:val="22"/>
          <w:szCs w:val="22"/>
        </w:rPr>
        <w:t xml:space="preserve">Provide test environment access and mock/test data for the HUB24 app.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QC Automation Plan — Project NITRO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80"/>
      <w:outlineLvl w:val="0"/>
    </w:pPr>
    <w:rPr>
      <w:rFonts w:ascii="Arial" w:cs="Arial" w:eastAsia="Arial" w:hAnsi="Arial"/>
      <w:b/>
      <w:bCs/>
      <w:color w:val="0C447C"/>
      <w:sz w:val="29"/>
      <w:szCs w:val="29"/>
    </w:rPr>
  </w:style>
  <w:style w:type="paragraph" w:styleId="Heading2">
    <w:name w:val="Heading 2"/>
    <w:basedOn w:val="Normal"/>
    <w:next w:val="Normal"/>
    <w:qFormat/>
    <w:pPr>
      <w:spacing w:after="90" w:before="15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2026-07-13T03:11:12.408Z</dcterms:created>
  <dcterms:modified xsi:type="dcterms:W3CDTF">2026-07-13T03:11:12.408Z</dcterms:modified>
</cp:coreProperties>
</file>

<file path=docProps/custom.xml><?xml version="1.0" encoding="utf-8"?>
<Properties xmlns="http://schemas.openxmlformats.org/officeDocument/2006/custom-properties" xmlns:vt="http://schemas.openxmlformats.org/officeDocument/2006/docPropsVTypes"/>
</file>