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D99" w:rsidRDefault="007C5F4C">
      <w:pPr>
        <w:pStyle w:val="Titre3"/>
        <w:spacing w:before="0" w:after="0"/>
        <w:ind w:left="-360"/>
      </w:pPr>
      <w:bookmarkStart w:id="0" w:name="_u3iqqzpk1ycv" w:colFirst="0" w:colLast="0"/>
      <w:bookmarkEnd w:id="0"/>
      <w:r>
        <w:rPr>
          <w:b/>
          <w:color w:val="4A86E8"/>
          <w:sz w:val="40"/>
          <w:szCs w:val="40"/>
        </w:rPr>
        <w:t xml:space="preserve">Feuille de travail sur les </w:t>
      </w:r>
      <w:r>
        <w:rPr>
          <w:b/>
          <w:color w:val="4A86E8"/>
          <w:sz w:val="40"/>
          <w:szCs w:val="40"/>
        </w:rPr>
        <w:t xml:space="preserve">fuites </w:t>
      </w:r>
      <w:r>
        <w:rPr>
          <w:b/>
          <w:color w:val="4A86E8"/>
          <w:sz w:val="40"/>
          <w:szCs w:val="40"/>
        </w:rPr>
        <w:t>de données</w:t>
      </w:r>
    </w:p>
    <w:p w:rsidR="00E83D99" w:rsidRDefault="007C5F4C">
      <w:pPr>
        <w:ind w:left="-360"/>
      </w:pPr>
      <w:r>
        <w:pict w14:anchorId="78490313">
          <v:rect id="_x0000_i1025" style="width:0;height:1.5pt" o:hralign="center" o:hrstd="t" o:hr="t" fillcolor="#a0a0a0" stroked="f"/>
        </w:pict>
      </w:r>
    </w:p>
    <w:p w:rsidR="00E83D99" w:rsidRDefault="00E83D99">
      <w:pPr>
        <w:ind w:left="-360"/>
      </w:pPr>
    </w:p>
    <w:p w:rsidR="00E83D99" w:rsidRDefault="007C5F4C">
      <w:pPr>
        <w:ind w:left="-360" w:right="-360"/>
      </w:pPr>
      <w:r>
        <w:rPr>
          <w:b/>
        </w:rPr>
        <w:t xml:space="preserve">Résumé de l'incident : </w:t>
      </w:r>
      <w:r>
        <w:t xml:space="preserve">Lors d'une réunion, un responsable des ventes a donné accès à un dossier contenant des documents internes à son équipe. Ce dossier comprenait des fichiers relatifs à un nouveau produit non encore annoncé publiquement, ainsi que des analyses clients et des </w:t>
      </w:r>
      <w:r>
        <w:t>supports promotionnels. Après la réunion, le responsable n'a pas révoqué l'accès au dossier, mais a demandé à son équipe d'attendre une autorisation avant de partager les supports promotionnels.</w:t>
      </w:r>
    </w:p>
    <w:p w:rsidR="00E83D99" w:rsidRDefault="00E83D99">
      <w:pPr>
        <w:ind w:left="-360" w:right="-360"/>
      </w:pPr>
    </w:p>
    <w:p w:rsidR="00E83D99" w:rsidRDefault="007C5F4C">
      <w:pPr>
        <w:ind w:left="-360" w:right="-360"/>
      </w:pPr>
      <w:r>
        <w:t>Lors d'un appel vidéo avec un partenaire commercial, un memb</w:t>
      </w:r>
      <w:r>
        <w:t>re de l'équipe des ventes a oublié l'avertissement de son responsable. Ce commercial souhaitait partager un lien vers des supports promotionnels afin que le partenaire puisse les diffuser à ses clients. Cependant, il a partagé par erreur un lien vers un do</w:t>
      </w:r>
      <w:r>
        <w:t>ssier interne. Par la suite, le partenaire a publié ce lien sur la page des réseaux sociaux de son entreprise, croyant qu'il s'agissait des supports promotionnels.</w:t>
      </w:r>
    </w:p>
    <w:p w:rsidR="00E83D99" w:rsidRDefault="00E83D99">
      <w:pPr>
        <w:ind w:left="-360" w:right="-360"/>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725"/>
      </w:tblGrid>
      <w:tr w:rsidR="00E83D99">
        <w:trPr>
          <w:trHeight w:val="420"/>
        </w:trPr>
        <w:tc>
          <w:tcPr>
            <w:tcW w:w="2355" w:type="dxa"/>
            <w:shd w:val="clear" w:color="auto" w:fill="D9D9D9"/>
            <w:tcMar>
              <w:top w:w="100" w:type="dxa"/>
              <w:left w:w="100" w:type="dxa"/>
              <w:bottom w:w="100" w:type="dxa"/>
              <w:right w:w="100" w:type="dxa"/>
            </w:tcMar>
          </w:tcPr>
          <w:p w:rsidR="00E83D99" w:rsidRDefault="007C5F4C">
            <w:pPr>
              <w:widowControl w:val="0"/>
              <w:rPr>
                <w:b/>
              </w:rPr>
            </w:pPr>
            <w:r>
              <w:rPr>
                <w:b/>
              </w:rPr>
              <w:t>Contrôle</w:t>
            </w:r>
          </w:p>
        </w:tc>
        <w:tc>
          <w:tcPr>
            <w:tcW w:w="7725" w:type="dxa"/>
            <w:shd w:val="clear" w:color="auto" w:fill="D9D9D9"/>
            <w:tcMar>
              <w:top w:w="100" w:type="dxa"/>
              <w:left w:w="100" w:type="dxa"/>
              <w:bottom w:w="100" w:type="dxa"/>
              <w:right w:w="100" w:type="dxa"/>
            </w:tcMar>
          </w:tcPr>
          <w:p w:rsidR="00E83D99" w:rsidRDefault="007C5F4C">
            <w:pPr>
              <w:widowControl w:val="0"/>
              <w:rPr>
                <w:b/>
                <w:color w:val="434343"/>
              </w:rPr>
            </w:pPr>
            <w:r>
              <w:rPr>
                <w:b/>
                <w:color w:val="434343"/>
              </w:rPr>
              <w:t>Le moins privilégié</w:t>
            </w:r>
          </w:p>
        </w:tc>
      </w:tr>
      <w:tr w:rsidR="00E83D99">
        <w:trPr>
          <w:trHeight w:val="885"/>
        </w:trPr>
        <w:tc>
          <w:tcPr>
            <w:tcW w:w="2355" w:type="dxa"/>
            <w:shd w:val="clear" w:color="auto" w:fill="auto"/>
            <w:tcMar>
              <w:top w:w="100" w:type="dxa"/>
              <w:left w:w="100" w:type="dxa"/>
              <w:bottom w:w="100" w:type="dxa"/>
              <w:right w:w="100" w:type="dxa"/>
            </w:tcMar>
          </w:tcPr>
          <w:p w:rsidR="00E83D99" w:rsidRDefault="007C5F4C">
            <w:pPr>
              <w:widowControl w:val="0"/>
              <w:rPr>
                <w:b/>
              </w:rPr>
            </w:pPr>
            <w:r>
              <w:rPr>
                <w:b/>
              </w:rPr>
              <w:t>Problèmes)</w:t>
            </w:r>
          </w:p>
        </w:tc>
        <w:tc>
          <w:tcPr>
            <w:tcW w:w="7725" w:type="dxa"/>
            <w:shd w:val="clear" w:color="auto" w:fill="auto"/>
            <w:tcMar>
              <w:top w:w="100" w:type="dxa"/>
              <w:left w:w="100" w:type="dxa"/>
              <w:bottom w:w="100" w:type="dxa"/>
              <w:right w:w="100" w:type="dxa"/>
            </w:tcMar>
          </w:tcPr>
          <w:p w:rsidR="00E83D99" w:rsidRDefault="007C5F4C">
            <w:pPr>
              <w:widowControl w:val="0"/>
              <w:spacing w:line="276" w:lineRule="auto"/>
              <w:rPr>
                <w:i/>
              </w:rPr>
            </w:pPr>
            <w:r>
              <w:rPr>
                <w:i/>
              </w:rPr>
              <w:t>L'accès au dossier interne n'était pas limité à l'</w:t>
            </w:r>
            <w:r>
              <w:rPr>
                <w:i/>
              </w:rPr>
              <w:t>équipe commerciale et au responsable. Le partenaire commercial n'aurait pas dû être autorisé à diffuser les informations promotionnelles sur les réseaux sociaux.</w:t>
            </w:r>
          </w:p>
        </w:tc>
      </w:tr>
      <w:tr w:rsidR="00E83D99">
        <w:trPr>
          <w:trHeight w:val="675"/>
        </w:trPr>
        <w:tc>
          <w:tcPr>
            <w:tcW w:w="2355" w:type="dxa"/>
            <w:shd w:val="clear" w:color="auto" w:fill="auto"/>
            <w:tcMar>
              <w:top w:w="100" w:type="dxa"/>
              <w:left w:w="100" w:type="dxa"/>
              <w:bottom w:w="100" w:type="dxa"/>
              <w:right w:w="100" w:type="dxa"/>
            </w:tcMar>
          </w:tcPr>
          <w:p w:rsidR="00E83D99" w:rsidRDefault="007C5F4C">
            <w:pPr>
              <w:widowControl w:val="0"/>
              <w:rPr>
                <w:b/>
              </w:rPr>
            </w:pPr>
            <w:r>
              <w:rPr>
                <w:b/>
              </w:rPr>
              <w:t>Revoir</w:t>
            </w:r>
          </w:p>
        </w:tc>
        <w:tc>
          <w:tcPr>
            <w:tcW w:w="7725" w:type="dxa"/>
            <w:shd w:val="clear" w:color="auto" w:fill="auto"/>
            <w:tcMar>
              <w:top w:w="100" w:type="dxa"/>
              <w:left w:w="100" w:type="dxa"/>
              <w:bottom w:w="100" w:type="dxa"/>
              <w:right w:w="100" w:type="dxa"/>
            </w:tcMar>
          </w:tcPr>
          <w:p w:rsidR="00E83D99" w:rsidRDefault="007C5F4C">
            <w:pPr>
              <w:widowControl w:val="0"/>
              <w:spacing w:line="276" w:lineRule="auto"/>
              <w:rPr>
                <w:i/>
              </w:rPr>
            </w:pPr>
            <w:r>
              <w:rPr>
                <w:i/>
              </w:rPr>
              <w:t>La publication spéciale 800-53 du NIST (AC-6) explique comment une organisation peut protéger la confidentialité de ses données en appliquant le principe du moindre privilège. Elle propose également des améliorations des contrôles afin d'en accroître l'eff</w:t>
            </w:r>
            <w:r>
              <w:rPr>
                <w:i/>
              </w:rPr>
              <w:t>icacité.</w:t>
            </w:r>
          </w:p>
        </w:tc>
      </w:tr>
      <w:tr w:rsidR="00E83D99">
        <w:trPr>
          <w:trHeight w:val="575"/>
        </w:trPr>
        <w:tc>
          <w:tcPr>
            <w:tcW w:w="2355" w:type="dxa"/>
            <w:shd w:val="clear" w:color="auto" w:fill="auto"/>
            <w:tcMar>
              <w:top w:w="100" w:type="dxa"/>
              <w:left w:w="100" w:type="dxa"/>
              <w:bottom w:w="100" w:type="dxa"/>
              <w:right w:w="100" w:type="dxa"/>
            </w:tcMar>
          </w:tcPr>
          <w:p w:rsidR="00E83D99" w:rsidRDefault="007C5F4C">
            <w:pPr>
              <w:widowControl w:val="0"/>
              <w:rPr>
                <w:b/>
              </w:rPr>
            </w:pPr>
            <w:r>
              <w:rPr>
                <w:b/>
              </w:rPr>
              <w:t>Recommandation(s)</w:t>
            </w:r>
          </w:p>
        </w:tc>
        <w:tc>
          <w:tcPr>
            <w:tcW w:w="7725" w:type="dxa"/>
            <w:shd w:val="clear" w:color="auto" w:fill="auto"/>
            <w:tcMar>
              <w:top w:w="100" w:type="dxa"/>
              <w:left w:w="100" w:type="dxa"/>
              <w:bottom w:w="100" w:type="dxa"/>
              <w:right w:w="100" w:type="dxa"/>
            </w:tcMar>
          </w:tcPr>
          <w:p w:rsidR="00E83D99" w:rsidRDefault="007C5F4C">
            <w:pPr>
              <w:numPr>
                <w:ilvl w:val="0"/>
                <w:numId w:val="2"/>
              </w:numPr>
              <w:spacing w:line="276" w:lineRule="auto"/>
              <w:ind w:right="-45"/>
              <w:rPr>
                <w:i/>
              </w:rPr>
            </w:pPr>
            <w:r>
              <w:rPr>
                <w:i/>
              </w:rPr>
              <w:t>Limiter l'accès aux ressources sensibles en fonction du rôle de l'utilisateur.</w:t>
            </w:r>
          </w:p>
          <w:p w:rsidR="00E83D99" w:rsidRDefault="007C5F4C">
            <w:pPr>
              <w:numPr>
                <w:ilvl w:val="0"/>
                <w:numId w:val="2"/>
              </w:numPr>
              <w:spacing w:line="276" w:lineRule="auto"/>
              <w:rPr>
                <w:i/>
              </w:rPr>
            </w:pPr>
            <w:r>
              <w:rPr>
                <w:i/>
              </w:rPr>
              <w:t>Auditez régulièrement les privilèges des utilisateurs.</w:t>
            </w:r>
          </w:p>
        </w:tc>
      </w:tr>
      <w:tr w:rsidR="00E83D99">
        <w:trPr>
          <w:trHeight w:val="1247"/>
        </w:trPr>
        <w:tc>
          <w:tcPr>
            <w:tcW w:w="2355" w:type="dxa"/>
            <w:shd w:val="clear" w:color="auto" w:fill="auto"/>
            <w:tcMar>
              <w:top w:w="100" w:type="dxa"/>
              <w:left w:w="100" w:type="dxa"/>
              <w:bottom w:w="100" w:type="dxa"/>
              <w:right w:w="100" w:type="dxa"/>
            </w:tcMar>
          </w:tcPr>
          <w:p w:rsidR="00E83D99" w:rsidRDefault="007C5F4C">
            <w:pPr>
              <w:widowControl w:val="0"/>
              <w:rPr>
                <w:b/>
              </w:rPr>
            </w:pPr>
            <w:r>
              <w:rPr>
                <w:b/>
              </w:rPr>
              <w:t>Justification</w:t>
            </w:r>
          </w:p>
        </w:tc>
        <w:tc>
          <w:tcPr>
            <w:tcW w:w="7725" w:type="dxa"/>
            <w:shd w:val="clear" w:color="auto" w:fill="auto"/>
            <w:tcMar>
              <w:top w:w="100" w:type="dxa"/>
              <w:left w:w="100" w:type="dxa"/>
              <w:bottom w:w="100" w:type="dxa"/>
              <w:right w:w="100" w:type="dxa"/>
            </w:tcMar>
          </w:tcPr>
          <w:p w:rsidR="00E83D99" w:rsidRDefault="007C5F4C">
            <w:pPr>
              <w:widowControl w:val="0"/>
              <w:spacing w:line="276" w:lineRule="auto"/>
              <w:rPr>
                <w:i/>
              </w:rPr>
            </w:pPr>
            <w:r>
              <w:rPr>
                <w:i/>
              </w:rPr>
              <w:t>Les fuites de données peuvent être évitées si l'accès aux fichiers internes est limité aux seuls employés. De plus, exiger des responsables et des équipes de sécurité qu'ils auditent régulièrement l'accès aux fichiers de l'équipe contribuerait à limiter la</w:t>
            </w:r>
            <w:r>
              <w:rPr>
                <w:i/>
              </w:rPr>
              <w:t xml:space="preserve"> divulgation d'informations sensibles.</w:t>
            </w:r>
          </w:p>
        </w:tc>
      </w:tr>
    </w:tbl>
    <w:p w:rsidR="00E83D99" w:rsidRDefault="007C5F4C">
      <w:pPr>
        <w:pStyle w:val="Titre3"/>
        <w:ind w:left="-360" w:right="-360"/>
        <w:rPr>
          <w:b/>
          <w:color w:val="4A86E8"/>
        </w:rPr>
      </w:pPr>
      <w:bookmarkStart w:id="1" w:name="_ka0u51o5b7wk" w:colFirst="0" w:colLast="0"/>
      <w:bookmarkEnd w:id="1"/>
      <w:r>
        <w:rPr>
          <w:b/>
          <w:color w:val="4A86E8"/>
        </w:rPr>
        <w:lastRenderedPageBreak/>
        <w:t>Aperçu du plan de sécurité</w:t>
      </w:r>
    </w:p>
    <w:p w:rsidR="00E83D99" w:rsidRDefault="007C5F4C">
      <w:pPr>
        <w:ind w:left="-360" w:right="-360"/>
      </w:pPr>
      <w:r>
        <w:t xml:space="preserve">Le cadre de </w:t>
      </w:r>
      <w:proofErr w:type="spellStart"/>
      <w:r>
        <w:t>cybersécurité</w:t>
      </w:r>
      <w:proofErr w:type="spellEnd"/>
      <w:r>
        <w:t xml:space="preserve"> </w:t>
      </w:r>
      <w:r>
        <w:t xml:space="preserve">du NIST </w:t>
      </w:r>
      <w:r>
        <w:t>(CSF) utilise une structure hiérarchique arborescente pour organiser l'information. De gauche à droite, il décrit une fonction de sécurité générale, puis se précise en se ramifiant en catégories, sous-catégories et contrôles de sécurité individuels.</w:t>
      </w:r>
    </w:p>
    <w:p w:rsidR="00E83D99" w:rsidRDefault="00E83D99">
      <w:pPr>
        <w:ind w:left="-360" w:right="-360"/>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370"/>
        <w:gridCol w:w="3360"/>
        <w:gridCol w:w="2640"/>
      </w:tblGrid>
      <w:tr w:rsidR="00E83D99">
        <w:tc>
          <w:tcPr>
            <w:tcW w:w="1695" w:type="dxa"/>
            <w:shd w:val="clear" w:color="auto" w:fill="auto"/>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360"/>
              <w:rPr>
                <w:b/>
                <w:sz w:val="24"/>
                <w:szCs w:val="24"/>
              </w:rPr>
            </w:pPr>
            <w:r>
              <w:rPr>
                <w:b/>
                <w:sz w:val="24"/>
                <w:szCs w:val="24"/>
              </w:rPr>
              <w:t>Fonct</w:t>
            </w:r>
            <w:r>
              <w:rPr>
                <w:b/>
                <w:sz w:val="24"/>
                <w:szCs w:val="24"/>
              </w:rPr>
              <w:t>ion</w:t>
            </w:r>
          </w:p>
        </w:tc>
        <w:tc>
          <w:tcPr>
            <w:tcW w:w="2370" w:type="dxa"/>
            <w:shd w:val="clear" w:color="auto" w:fill="auto"/>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360"/>
              <w:rPr>
                <w:b/>
                <w:sz w:val="24"/>
                <w:szCs w:val="24"/>
              </w:rPr>
            </w:pPr>
            <w:r>
              <w:rPr>
                <w:b/>
                <w:sz w:val="24"/>
                <w:szCs w:val="24"/>
              </w:rPr>
              <w:t>Catégorie</w:t>
            </w:r>
          </w:p>
        </w:tc>
        <w:tc>
          <w:tcPr>
            <w:tcW w:w="3360" w:type="dxa"/>
            <w:shd w:val="clear" w:color="auto" w:fill="auto"/>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360"/>
              <w:rPr>
                <w:b/>
                <w:sz w:val="24"/>
                <w:szCs w:val="24"/>
              </w:rPr>
            </w:pPr>
            <w:r>
              <w:rPr>
                <w:b/>
                <w:sz w:val="24"/>
                <w:szCs w:val="24"/>
              </w:rPr>
              <w:t>Sous-catégorie</w:t>
            </w:r>
          </w:p>
        </w:tc>
        <w:tc>
          <w:tcPr>
            <w:tcW w:w="2640" w:type="dxa"/>
            <w:shd w:val="clear" w:color="auto" w:fill="auto"/>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360"/>
              <w:rPr>
                <w:b/>
                <w:sz w:val="24"/>
                <w:szCs w:val="24"/>
              </w:rPr>
            </w:pPr>
            <w:r>
              <w:rPr>
                <w:b/>
                <w:sz w:val="24"/>
                <w:szCs w:val="24"/>
              </w:rPr>
              <w:t>Référence(s)</w:t>
            </w:r>
          </w:p>
        </w:tc>
      </w:tr>
      <w:tr w:rsidR="00E83D99">
        <w:trPr>
          <w:trHeight w:val="865"/>
        </w:trPr>
        <w:tc>
          <w:tcPr>
            <w:tcW w:w="1695" w:type="dxa"/>
            <w:shd w:val="clear" w:color="auto" w:fill="D9D2E9"/>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360"/>
              <w:rPr>
                <w:b/>
                <w:sz w:val="24"/>
                <w:szCs w:val="24"/>
              </w:rPr>
            </w:pPr>
            <w:r>
              <w:rPr>
                <w:b/>
                <w:sz w:val="24"/>
                <w:szCs w:val="24"/>
              </w:rPr>
              <w:t>Protéger</w:t>
            </w:r>
          </w:p>
        </w:tc>
        <w:tc>
          <w:tcPr>
            <w:tcW w:w="2370" w:type="dxa"/>
            <w:shd w:val="clear" w:color="auto" w:fill="auto"/>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360"/>
              <w:rPr>
                <w:i/>
              </w:rPr>
            </w:pPr>
            <w:r>
              <w:t xml:space="preserve">PR.DS : </w:t>
            </w:r>
            <w:r>
              <w:rPr>
                <w:i/>
              </w:rPr>
              <w:t>Sécurité des données</w:t>
            </w:r>
          </w:p>
        </w:tc>
        <w:tc>
          <w:tcPr>
            <w:tcW w:w="3360" w:type="dxa"/>
            <w:shd w:val="clear" w:color="auto" w:fill="auto"/>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90"/>
              <w:rPr>
                <w:i/>
              </w:rPr>
            </w:pPr>
            <w:r>
              <w:t xml:space="preserve">PR.DS-5 : </w:t>
            </w:r>
            <w:r>
              <w:rPr>
                <w:i/>
              </w:rPr>
              <w:t>Protections contre les fuites de données.</w:t>
            </w:r>
          </w:p>
        </w:tc>
        <w:tc>
          <w:tcPr>
            <w:tcW w:w="2640" w:type="dxa"/>
            <w:shd w:val="clear" w:color="auto" w:fill="auto"/>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360"/>
            </w:pPr>
            <w:r>
              <w:t>NIST SP 800-53 : AC-6</w:t>
            </w:r>
          </w:p>
        </w:tc>
      </w:tr>
    </w:tbl>
    <w:p w:rsidR="00E83D99" w:rsidRDefault="00E83D99">
      <w:pPr>
        <w:ind w:left="-360" w:right="-360"/>
      </w:pPr>
    </w:p>
    <w:p w:rsidR="00E83D99" w:rsidRDefault="007C5F4C">
      <w:pPr>
        <w:ind w:left="-360" w:right="-360"/>
      </w:pPr>
      <w:r>
        <w:t>Dans cet exemple, les contrôles mis en œuvre par le fabricant pour se protéger contre les fuites de données sont définis dans la norme NIST SP 800-53, un ensemble de lignes directrices pour la sécurisation de la confidentialité des systèmes d'information.</w:t>
      </w:r>
    </w:p>
    <w:p w:rsidR="00E83D99" w:rsidRDefault="007C5F4C" w:rsidP="007511D1">
      <w:pPr>
        <w:ind w:right="-360"/>
      </w:pPr>
      <w:bookmarkStart w:id="2" w:name="_GoBack"/>
      <w:bookmarkEnd w:id="2"/>
      <w:r>
        <w:br w:type="page"/>
      </w:r>
    </w:p>
    <w:p w:rsidR="00E83D99" w:rsidRDefault="007C5F4C">
      <w:pPr>
        <w:pStyle w:val="Titre3"/>
        <w:ind w:left="-360" w:right="-360"/>
        <w:rPr>
          <w:b/>
          <w:color w:val="4A86E8"/>
        </w:rPr>
      </w:pPr>
      <w:bookmarkStart w:id="3" w:name="2fzhg8bkhmss" w:colFirst="0" w:colLast="0"/>
      <w:bookmarkStart w:id="4" w:name="_hvbcmqwzo9do" w:colFirst="0" w:colLast="0"/>
      <w:bookmarkEnd w:id="3"/>
      <w:bookmarkEnd w:id="4"/>
      <w:r>
        <w:rPr>
          <w:b/>
          <w:color w:val="4A86E8"/>
        </w:rPr>
        <w:lastRenderedPageBreak/>
        <w:t>NIST SP 800-53 : AC-6</w:t>
      </w:r>
    </w:p>
    <w:p w:rsidR="00E83D99" w:rsidRDefault="007C5F4C">
      <w:pPr>
        <w:ind w:left="-360" w:right="-360"/>
      </w:pPr>
      <w:r>
        <w:t xml:space="preserve">Le NIST a élaboré la norme SP 800-53 pour fournir aux entreprises </w:t>
      </w:r>
      <w:r>
        <w:t xml:space="preserve">une solution </w:t>
      </w:r>
      <w:r>
        <w:t>personnalisable.</w:t>
      </w:r>
      <w:r>
        <w:t xml:space="preserve"> </w:t>
      </w:r>
      <w:r>
        <w:t>Plan de protection des données personne</w:t>
      </w:r>
      <w:r>
        <w:t>lles. Il s'agit d'une ressource complète décrivant un large éventail de catégories de contrôle. Chaque contrôle fournit quelques informations clés :</w:t>
      </w:r>
    </w:p>
    <w:p w:rsidR="00E83D99" w:rsidRDefault="007C5F4C">
      <w:pPr>
        <w:numPr>
          <w:ilvl w:val="0"/>
          <w:numId w:val="1"/>
        </w:numPr>
        <w:ind w:right="-360"/>
      </w:pPr>
      <w:r>
        <w:rPr>
          <w:b/>
        </w:rPr>
        <w:t xml:space="preserve">Contrôle : </w:t>
      </w:r>
      <w:r>
        <w:t>Définition du contrôle de sécurité.</w:t>
      </w:r>
    </w:p>
    <w:p w:rsidR="00E83D99" w:rsidRDefault="007C5F4C">
      <w:pPr>
        <w:numPr>
          <w:ilvl w:val="0"/>
          <w:numId w:val="1"/>
        </w:numPr>
        <w:ind w:right="-360"/>
      </w:pPr>
      <w:r>
        <w:rPr>
          <w:b/>
        </w:rPr>
        <w:t xml:space="preserve">Discussion : </w:t>
      </w:r>
      <w:r>
        <w:t>Description de la manière dont le contrôle devrait être mis en œuvre.</w:t>
      </w:r>
    </w:p>
    <w:p w:rsidR="00E83D99" w:rsidRDefault="007C5F4C">
      <w:pPr>
        <w:numPr>
          <w:ilvl w:val="0"/>
          <w:numId w:val="1"/>
        </w:numPr>
        <w:ind w:right="-360"/>
      </w:pPr>
      <w:r>
        <w:rPr>
          <w:b/>
        </w:rPr>
        <w:t xml:space="preserve">Améliorations du contrôle : </w:t>
      </w:r>
      <w:r>
        <w:t>Liste de suggestions pour améliorer l'efficacité du contrôle.</w:t>
      </w:r>
    </w:p>
    <w:p w:rsidR="00E83D99" w:rsidRDefault="00E83D99">
      <w:pPr>
        <w:ind w:left="-360" w:right="-360"/>
      </w:pPr>
    </w:p>
    <w:tbl>
      <w:tblPr>
        <w:tblStyle w:val="a1"/>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8865"/>
      </w:tblGrid>
      <w:tr w:rsidR="00E83D99">
        <w:trPr>
          <w:trHeight w:val="420"/>
        </w:trPr>
        <w:tc>
          <w:tcPr>
            <w:tcW w:w="1200" w:type="dxa"/>
            <w:vMerge w:val="restart"/>
            <w:shd w:val="clear" w:color="auto" w:fill="auto"/>
            <w:tcMar>
              <w:top w:w="100" w:type="dxa"/>
              <w:left w:w="100" w:type="dxa"/>
              <w:bottom w:w="100" w:type="dxa"/>
              <w:right w:w="100" w:type="dxa"/>
            </w:tcMar>
          </w:tcPr>
          <w:p w:rsidR="00E83D99" w:rsidRDefault="007C5F4C">
            <w:pPr>
              <w:widowControl w:val="0"/>
              <w:pBdr>
                <w:top w:val="nil"/>
                <w:left w:val="nil"/>
                <w:bottom w:val="nil"/>
                <w:right w:val="nil"/>
                <w:between w:val="nil"/>
              </w:pBdr>
              <w:spacing w:line="240" w:lineRule="auto"/>
              <w:ind w:right="-360"/>
              <w:rPr>
                <w:b/>
              </w:rPr>
            </w:pPr>
            <w:r>
              <w:rPr>
                <w:b/>
              </w:rPr>
              <w:t>AC-6</w:t>
            </w:r>
          </w:p>
        </w:tc>
        <w:tc>
          <w:tcPr>
            <w:tcW w:w="8865" w:type="dxa"/>
            <w:shd w:val="clear" w:color="auto" w:fill="auto"/>
            <w:tcMar>
              <w:top w:w="100" w:type="dxa"/>
              <w:left w:w="100" w:type="dxa"/>
              <w:bottom w:w="100" w:type="dxa"/>
              <w:right w:w="100" w:type="dxa"/>
            </w:tcMar>
          </w:tcPr>
          <w:p w:rsidR="00E83D99" w:rsidRDefault="007C5F4C">
            <w:pPr>
              <w:ind w:right="15"/>
            </w:pPr>
            <w:r>
              <w:rPr>
                <w:b/>
              </w:rPr>
              <w:t>Le moindre privilège</w:t>
            </w:r>
          </w:p>
        </w:tc>
      </w:tr>
      <w:tr w:rsidR="00E83D99">
        <w:trPr>
          <w:trHeight w:val="420"/>
        </w:trPr>
        <w:tc>
          <w:tcPr>
            <w:tcW w:w="1200" w:type="dxa"/>
            <w:vMerge/>
            <w:shd w:val="clear" w:color="auto" w:fill="auto"/>
            <w:tcMar>
              <w:top w:w="100" w:type="dxa"/>
              <w:left w:w="100" w:type="dxa"/>
              <w:bottom w:w="100" w:type="dxa"/>
              <w:right w:w="100" w:type="dxa"/>
            </w:tcMar>
          </w:tcPr>
          <w:p w:rsidR="00E83D99" w:rsidRDefault="00E83D99">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rsidR="00E83D99" w:rsidRDefault="007C5F4C">
            <w:pPr>
              <w:ind w:right="15"/>
              <w:rPr>
                <w:i/>
              </w:rPr>
            </w:pPr>
            <w:proofErr w:type="gramStart"/>
            <w:r>
              <w:t>Contrôle:</w:t>
            </w:r>
            <w:proofErr w:type="gramEnd"/>
          </w:p>
          <w:p w:rsidR="00E83D99" w:rsidRDefault="007C5F4C">
            <w:pPr>
              <w:ind w:right="15"/>
            </w:pPr>
            <w:r>
              <w:t xml:space="preserve">Seuls </w:t>
            </w:r>
            <w:r>
              <w:t>les accès et autorisations minimaux requis pour accomplir une tâche ou une fonction doivent être fournis aux utilisateurs.</w:t>
            </w:r>
          </w:p>
        </w:tc>
      </w:tr>
      <w:tr w:rsidR="00E83D99">
        <w:trPr>
          <w:trHeight w:val="420"/>
        </w:trPr>
        <w:tc>
          <w:tcPr>
            <w:tcW w:w="1200" w:type="dxa"/>
            <w:vMerge/>
            <w:shd w:val="clear" w:color="auto" w:fill="auto"/>
            <w:tcMar>
              <w:top w:w="100" w:type="dxa"/>
              <w:left w:w="100" w:type="dxa"/>
              <w:bottom w:w="100" w:type="dxa"/>
              <w:right w:w="100" w:type="dxa"/>
            </w:tcMar>
          </w:tcPr>
          <w:p w:rsidR="00E83D99" w:rsidRDefault="00E83D99">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rsidR="00E83D99" w:rsidRDefault="007C5F4C">
            <w:pPr>
              <w:ind w:right="15"/>
            </w:pPr>
            <w:proofErr w:type="gramStart"/>
            <w:r>
              <w:t>Discussion:</w:t>
            </w:r>
            <w:proofErr w:type="gramEnd"/>
          </w:p>
          <w:p w:rsidR="00E83D99" w:rsidRDefault="007C5F4C">
            <w:pPr>
              <w:ind w:right="15"/>
            </w:pPr>
            <w:r>
              <w:t>Les processus, les comptes utilisateurs et les rôles doivent être appliqués selon les besoins afin de garantir le princ</w:t>
            </w:r>
            <w:r>
              <w:t>ipe du moindre privilège. L'objectif est d'empêcher un utilisateur d'exercer des privilèges supérieurs à ceux nécessaires à la réalisation des objectifs de l'entreprise.</w:t>
            </w:r>
          </w:p>
        </w:tc>
      </w:tr>
      <w:tr w:rsidR="00E83D99">
        <w:trPr>
          <w:trHeight w:val="420"/>
        </w:trPr>
        <w:tc>
          <w:tcPr>
            <w:tcW w:w="1200" w:type="dxa"/>
            <w:vMerge/>
            <w:shd w:val="clear" w:color="auto" w:fill="auto"/>
            <w:tcMar>
              <w:top w:w="100" w:type="dxa"/>
              <w:left w:w="100" w:type="dxa"/>
              <w:bottom w:w="100" w:type="dxa"/>
              <w:right w:w="100" w:type="dxa"/>
            </w:tcMar>
          </w:tcPr>
          <w:p w:rsidR="00E83D99" w:rsidRDefault="00E83D99">
            <w:pPr>
              <w:widowControl w:val="0"/>
              <w:pBdr>
                <w:top w:val="nil"/>
                <w:left w:val="nil"/>
                <w:bottom w:val="nil"/>
                <w:right w:val="nil"/>
                <w:between w:val="nil"/>
              </w:pBdr>
              <w:spacing w:line="240" w:lineRule="auto"/>
              <w:ind w:left="-360" w:right="-360"/>
            </w:pPr>
          </w:p>
        </w:tc>
        <w:tc>
          <w:tcPr>
            <w:tcW w:w="8865" w:type="dxa"/>
            <w:shd w:val="clear" w:color="auto" w:fill="auto"/>
            <w:tcMar>
              <w:top w:w="100" w:type="dxa"/>
              <w:left w:w="100" w:type="dxa"/>
              <w:bottom w:w="100" w:type="dxa"/>
              <w:right w:w="100" w:type="dxa"/>
            </w:tcMar>
          </w:tcPr>
          <w:p w:rsidR="00E83D99" w:rsidRDefault="007C5F4C">
            <w:pPr>
              <w:ind w:right="15"/>
            </w:pPr>
            <w:r>
              <w:t>Améliorations des commandes :</w:t>
            </w:r>
          </w:p>
          <w:p w:rsidR="00E83D99" w:rsidRDefault="007C5F4C">
            <w:pPr>
              <w:numPr>
                <w:ilvl w:val="0"/>
                <w:numId w:val="3"/>
              </w:numPr>
              <w:ind w:right="-360"/>
            </w:pPr>
            <w:r>
              <w:t>Limiter l'accès aux ressources sensibles en fonction du rôle de l'utilisateur.</w:t>
            </w:r>
          </w:p>
          <w:p w:rsidR="00E83D99" w:rsidRDefault="007C5F4C">
            <w:pPr>
              <w:numPr>
                <w:ilvl w:val="0"/>
                <w:numId w:val="3"/>
              </w:numPr>
              <w:ind w:right="-360"/>
            </w:pPr>
            <w:r>
              <w:t>Révoquer automatiquement l'accès aux informations après un certain délai.</w:t>
            </w:r>
          </w:p>
          <w:p w:rsidR="00E83D99" w:rsidRDefault="007C5F4C">
            <w:pPr>
              <w:numPr>
                <w:ilvl w:val="0"/>
                <w:numId w:val="3"/>
              </w:numPr>
              <w:ind w:right="-360"/>
            </w:pPr>
            <w:r>
              <w:t>Conservez les journaux d'activité des comptes utilisateurs provisionnés.</w:t>
            </w:r>
          </w:p>
          <w:p w:rsidR="00E83D99" w:rsidRDefault="007C5F4C">
            <w:pPr>
              <w:numPr>
                <w:ilvl w:val="0"/>
                <w:numId w:val="3"/>
              </w:numPr>
              <w:ind w:right="-360"/>
            </w:pPr>
            <w:r>
              <w:t>Auditez régulièrement les priv</w:t>
            </w:r>
            <w:r>
              <w:t>ilèges des utilisateurs.</w:t>
            </w:r>
          </w:p>
        </w:tc>
      </w:tr>
    </w:tbl>
    <w:p w:rsidR="00E83D99" w:rsidRDefault="00E83D99">
      <w:pPr>
        <w:ind w:left="-360" w:right="-360"/>
      </w:pPr>
    </w:p>
    <w:p w:rsidR="00E83D99" w:rsidRDefault="007C5F4C">
      <w:pPr>
        <w:ind w:left="-360" w:right="-360"/>
      </w:pPr>
      <w:r>
        <w:rPr>
          <w:b/>
        </w:rPr>
        <w:t xml:space="preserve">Remarque : </w:t>
      </w:r>
      <w:r>
        <w:t>Dans la catégorie des contrôles d'accès, SP 800-53 liste le sixième contrôle de moindre privilège, c'est-à-dire AC-6.</w:t>
      </w:r>
    </w:p>
    <w:sectPr w:rsidR="00E83D99">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5F4C" w:rsidRDefault="007C5F4C">
      <w:pPr>
        <w:spacing w:line="240" w:lineRule="auto"/>
      </w:pPr>
      <w:r>
        <w:separator/>
      </w:r>
    </w:p>
  </w:endnote>
  <w:endnote w:type="continuationSeparator" w:id="0">
    <w:p w:rsidR="007C5F4C" w:rsidRDefault="007C5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3D99" w:rsidRDefault="007C5F4C">
    <w:pPr>
      <w:ind w:left="-360" w:right="-360"/>
      <w:jc w:val="right"/>
    </w:pPr>
    <w:r>
      <w:pict>
        <v:rect id="_x0000_i1026" style="width:0;height:1.5pt" o:hralign="center" o:hrstd="t" o:hr="t" fillcolor="#a0a0a0" stroked="f"/>
      </w:pict>
    </w:r>
  </w:p>
  <w:p w:rsidR="00E83D99" w:rsidRDefault="007C5F4C">
    <w:pPr>
      <w:ind w:left="-360" w:right="-360"/>
      <w:jc w:val="right"/>
    </w:pPr>
    <w:r>
      <w:fldChar w:fldCharType="begin"/>
    </w:r>
    <w:r>
      <w:instrText>PAGE</w:instrText>
    </w:r>
    <w:r w:rsidR="007511D1">
      <w:fldChar w:fldCharType="separate"/>
    </w:r>
    <w:r w:rsidR="007511D1">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5F4C" w:rsidRDefault="007C5F4C">
      <w:pPr>
        <w:spacing w:line="240" w:lineRule="auto"/>
      </w:pPr>
      <w:r>
        <w:separator/>
      </w:r>
    </w:p>
  </w:footnote>
  <w:footnote w:type="continuationSeparator" w:id="0">
    <w:p w:rsidR="007C5F4C" w:rsidRDefault="007C5F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9039A"/>
    <w:multiLevelType w:val="multilevel"/>
    <w:tmpl w:val="C214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D41D1B"/>
    <w:multiLevelType w:val="multilevel"/>
    <w:tmpl w:val="950EA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FF3E85"/>
    <w:multiLevelType w:val="multilevel"/>
    <w:tmpl w:val="64C8D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D99"/>
    <w:rsid w:val="007511D1"/>
    <w:rsid w:val="007C5F4C"/>
    <w:rsid w:val="00E83D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2C2463"/>
  <w15:docId w15:val="{FE5B5636-B888-4059-B6BD-709C833B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oogle Sans" w:eastAsia="Google Sans" w:hAnsi="Google Sans" w:cs="Google Sans"/>
        <w:sz w:val="22"/>
        <w:szCs w:val="22"/>
        <w:lang w:val="fr" w:eastAsia="fr-FR"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641</Words>
  <Characters>3526</Characters>
  <Application>Microsoft Office Word</Application>
  <DocSecurity>0</DocSecurity>
  <Lines>29</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SOULAMA</cp:lastModifiedBy>
  <cp:revision>2</cp:revision>
  <dcterms:created xsi:type="dcterms:W3CDTF">2026-06-18T11:28:00Z</dcterms:created>
  <dcterms:modified xsi:type="dcterms:W3CDTF">2026-06-18T11:29:00Z</dcterms:modified>
</cp:coreProperties>
</file>