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t xml:space="preserve"/>
      </w:r>
    </w:p>
    <w:p>
      <w:pPr>
        <w:spacing w:after="60" w:before="0"/>
        <w:jc w:val="center"/>
      </w:pPr>
      <w:r>
        <w:rPr>
          <w:rFonts w:ascii="Arial" w:cs="Arial" w:eastAsia="Arial" w:hAnsi="Arial"/>
          <w:b/>
          <w:bCs/>
          <w:color w:val="8B0000"/>
          <w:spacing w:val="60"/>
          <w:sz w:val="56"/>
          <w:szCs w:val="56"/>
        </w:rPr>
        <w:t xml:space="preserve">MARKET PULSE</w:t>
      </w:r>
    </w:p>
    <w:p>
      <w:pPr>
        <w:spacing w:after="40" w:before="0"/>
        <w:jc w:val="center"/>
      </w:pPr>
      <w:r>
        <w:rPr>
          <w:rFonts w:ascii="Arial" w:cs="Arial" w:eastAsia="Arial" w:hAnsi="Arial"/>
          <w:color w:val="4A4A4A"/>
          <w:spacing w:val="40"/>
          <w:sz w:val="21"/>
          <w:szCs w:val="21"/>
        </w:rPr>
        <w:t xml:space="preserve">EKONOMI BISNIS WATCH — EDISI KHUSUS MINGGU KEDUA APRIL 2026</w:t>
      </w:r>
    </w:p>
    <w:p>
      <w:pPr>
        <w:pBdr>
          <w:bottom w:val="single" w:color="8B0000" w:sz="6" w:space="1"/>
        </w:pBdr>
        <w:spacing w:after="0" w:before="0"/>
      </w:pPr>
      <w:r>
        <w:t xml:space="preserve"/>
      </w:r>
    </w:p>
    <w:p>
      <w:pPr>
        <w:spacing w:after="60" w:before="60"/>
      </w:pPr>
      <w:r>
        <w:t xml:space="preserve"/>
      </w:r>
    </w:p>
    <w:p>
      <w:pPr>
        <w:spacing w:after="60" w:before="0"/>
        <w:jc w:val="center"/>
      </w:pPr>
      <w:r>
        <w:rPr>
          <w:rFonts w:ascii="Arial" w:cs="Arial" w:eastAsia="Arial" w:hAnsi="Arial"/>
          <w:b/>
          <w:bCs/>
          <w:color w:val="1E1E1E"/>
          <w:sz w:val="27"/>
          <w:szCs w:val="27"/>
        </w:rPr>
        <w:t xml:space="preserve">ENAM INDIKATOR KRITIS YANG MENENTUKAN ARAH EKONOMI INDONESIA</w:t>
      </w:r>
    </w:p>
    <w:p>
      <w:pPr>
        <w:spacing w:after="100" w:before="0"/>
        <w:jc w:val="center"/>
      </w:pPr>
      <w:r>
        <w:rPr>
          <w:rFonts w:ascii="Arial" w:cs="Arial" w:eastAsia="Arial" w:hAnsi="Arial"/>
          <w:i/>
          <w:iCs/>
          <w:color w:val="4A4A4A"/>
          <w:sz w:val="21"/>
          <w:szCs w:val="21"/>
        </w:rPr>
        <w:t xml:space="preserve">Dibaca bersama untuk memahami tekanan yang sedang menumpuk dan arah yang mungkin diambil.</w:t>
      </w:r>
    </w:p>
    <w:p>
      <w:pPr>
        <w:spacing w:after="8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8B0000" w:sz="6"/>
              <w:left w:val="single" w:color="8B0000" w:sz="2"/>
              <w:bottom w:val="single" w:color="8B0000" w:sz="2"/>
              <w:right w:val="single" w:color="8B0000" w:sz="2"/>
            </w:tcBorders>
            <w:shd w:fill="FFF5F5" w:val="clear"/>
            <w:tcMar>
              <w:top w:type="dxa" w:w="120"/>
              <w:left w:type="dxa" w:w="160"/>
              <w:bottom w:type="dxa" w:w="120"/>
              <w:right w:type="dxa" w:w="160"/>
            </w:tcMar>
          </w:tcPr>
          <w:p>
            <w:pPr>
              <w:spacing w:after="80" w:before="0"/>
            </w:pPr>
            <w:r>
              <w:rPr>
                <w:rFonts w:ascii="Arial" w:cs="Arial" w:eastAsia="Arial" w:hAnsi="Arial"/>
                <w:b/>
                <w:bCs/>
                <w:color w:val="8B0000"/>
                <w:spacing w:val="30"/>
                <w:sz w:val="20"/>
                <w:szCs w:val="20"/>
              </w:rPr>
              <w:t xml:space="preserve">MARKET PULSE</w:t>
            </w:r>
          </w:p>
          <w:p>
            <w:pPr>
              <w:spacing w:after="100" w:before="0"/>
            </w:pPr>
            <w:r>
              <w:rPr>
                <w:rFonts w:ascii="Arial" w:cs="Arial" w:eastAsia="Arial" w:hAnsi="Arial"/>
                <w:color w:val="1E1E1E"/>
                <w:sz w:val="21"/>
                <w:szCs w:val="21"/>
              </w:rPr>
              <w:t xml:space="preserve">Enam indikator kritis minggu kedua April 2026 — dibaca bersama untuk memahami tekanan yang sedang menumpuk.</w:t>
            </w:r>
          </w:p>
        </w:tc>
      </w:tr>
    </w:tbl>
    <w:p>
      <w:pPr>
        <w:spacing w:after="6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980"/>
        <w:gridCol w:w="4980"/>
      </w:tblGrid>
      <w:tr>
        <w:tc>
          <w:tcPr>
            <w:tcW w:type="dxa" w:w="498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4980"/>
              <w:tblBorders>
                <w:top w:val="single" w:color="auto" w:sz="4"/>
                <w:left w:val="single" w:color="auto" w:sz="4"/>
                <w:bottom w:val="single" w:color="auto" w:sz="4"/>
                <w:right w:val="single" w:color="auto" w:sz="4"/>
                <w:insideH w:val="single" w:color="auto" w:sz="4"/>
                <w:insideV w:val="single" w:color="auto" w:sz="4"/>
              </w:tblBorders>
            </w:tblPr>
            <w:tblGrid>
              <w:gridCol w:w="4980"/>
            </w:tblGrid>
            <w:tr>
              <w:tc>
                <w:tcPr>
                  <w:tcW w:type="dxa" w:w="4980"/>
                  <w:tcBorders>
                    <w:top w:val="single" w:color="DDDDDD" w:sz="2"/>
                    <w:left w:val="single" w:color="DDDDDD" w:sz="2"/>
                    <w:bottom w:val="single" w:color="DDDDDD" w:sz="2"/>
                    <w:right w:val="single" w:color="DDDDDD" w:sz="2"/>
                  </w:tcBorders>
                  <w:shd w:fill="FDEDEC" w:val="clear"/>
                  <w:tcMar>
                    <w:top w:type="dxa" w:w="160"/>
                    <w:left w:type="dxa" w:w="200"/>
                    <w:bottom w:type="dxa" w:w="160"/>
                    <w:right w:type="dxa" w:w="200"/>
                  </w:tcMar>
                </w:tcPr>
                <w:p>
                  <w:pPr>
                    <w:spacing w:after="60" w:before="0"/>
                  </w:pPr>
                  <w:r>
                    <w:rPr>
                      <w:rFonts w:ascii="Arial" w:cs="Arial" w:eastAsia="Arial" w:hAnsi="Arial"/>
                      <w:b/>
                      <w:bCs/>
                      <w:color w:val="8B0000"/>
                      <w:sz w:val="52"/>
                      <w:szCs w:val="52"/>
                    </w:rPr>
                    <w:t xml:space="preserve">7.458</w:t>
                  </w:r>
                </w:p>
                <w:p>
                  <w:pPr>
                    <w:spacing w:after="30" w:before="0"/>
                  </w:pPr>
                  <w:r>
                    <w:rPr>
                      <w:rFonts w:ascii="Arial" w:cs="Arial" w:eastAsia="Arial" w:hAnsi="Arial"/>
                      <w:b/>
                      <w:bCs/>
                      <w:color w:val="4A4A4A"/>
                      <w:spacing w:val="30"/>
                      <w:sz w:val="16"/>
                      <w:szCs w:val="16"/>
                    </w:rPr>
                    <w:t xml:space="preserve">IHSG (10 APR) — REBOUND DARI 6.942</w:t>
                  </w:r>
                </w:p>
                <w:p>
                  <w:pPr>
                    <w:spacing w:after="0" w:before="0"/>
                  </w:pPr>
                  <w:r>
                    <w:rPr>
                      <w:rFonts w:ascii="Arial" w:cs="Arial" w:eastAsia="Arial" w:hAnsi="Arial"/>
                      <w:color w:val="C0392B"/>
                      <w:sz w:val="17"/>
                      <w:szCs w:val="17"/>
                    </w:rPr>
                    <w:t xml:space="preserve">Naik +7,3% dari terendah pekan ini</w:t>
                  </w:r>
                </w:p>
              </w:tc>
            </w:tr>
          </w:tbl>
          <w:p/>
        </w:tc>
        <w:tc>
          <w:tcPr>
            <w:tcW w:type="dxa" w:w="498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4980"/>
              <w:tblBorders>
                <w:top w:val="single" w:color="auto" w:sz="4"/>
                <w:left w:val="single" w:color="auto" w:sz="4"/>
                <w:bottom w:val="single" w:color="auto" w:sz="4"/>
                <w:right w:val="single" w:color="auto" w:sz="4"/>
                <w:insideH w:val="single" w:color="auto" w:sz="4"/>
                <w:insideV w:val="single" w:color="auto" w:sz="4"/>
              </w:tblBorders>
            </w:tblPr>
            <w:tblGrid>
              <w:gridCol w:w="4980"/>
            </w:tblGrid>
            <w:tr>
              <w:tc>
                <w:tcPr>
                  <w:tcW w:type="dxa" w:w="4980"/>
                  <w:tcBorders>
                    <w:top w:val="single" w:color="DDDDDD" w:sz="2"/>
                    <w:left w:val="single" w:color="DDDDDD" w:sz="2"/>
                    <w:bottom w:val="single" w:color="DDDDDD" w:sz="2"/>
                    <w:right w:val="single" w:color="DDDDDD" w:sz="2"/>
                  </w:tcBorders>
                  <w:shd w:fill="FDEDEC" w:val="clear"/>
                  <w:tcMar>
                    <w:top w:type="dxa" w:w="160"/>
                    <w:left w:type="dxa" w:w="200"/>
                    <w:bottom w:type="dxa" w:w="160"/>
                    <w:right w:type="dxa" w:w="200"/>
                  </w:tcMar>
                </w:tcPr>
                <w:p>
                  <w:pPr>
                    <w:spacing w:after="60" w:before="0"/>
                  </w:pPr>
                  <w:r>
                    <w:rPr>
                      <w:rFonts w:ascii="Arial" w:cs="Arial" w:eastAsia="Arial" w:hAnsi="Arial"/>
                      <w:b/>
                      <w:bCs/>
                      <w:color w:val="8B0000"/>
                      <w:sz w:val="52"/>
                      <w:szCs w:val="52"/>
                    </w:rPr>
                    <w:t xml:space="preserve">Rp17.105</w:t>
                  </w:r>
                </w:p>
                <w:p>
                  <w:pPr>
                    <w:spacing w:after="30" w:before="0"/>
                  </w:pPr>
                  <w:r>
                    <w:rPr>
                      <w:rFonts w:ascii="Arial" w:cs="Arial" w:eastAsia="Arial" w:hAnsi="Arial"/>
                      <w:b/>
                      <w:bCs/>
                      <w:color w:val="4A4A4A"/>
                      <w:spacing w:val="30"/>
                      <w:sz w:val="16"/>
                      <w:szCs w:val="16"/>
                    </w:rPr>
                    <w:t xml:space="preserve">RUPIAH/USD — LEVEL TERTINGGI (7 APR)</w:t>
                  </w:r>
                </w:p>
                <w:p>
                  <w:pPr>
                    <w:spacing w:after="0" w:before="0"/>
                  </w:pPr>
                  <w:r>
                    <w:rPr>
                      <w:rFonts w:ascii="Arial" w:cs="Arial" w:eastAsia="Arial" w:hAnsi="Arial"/>
                      <w:color w:val="C0392B"/>
                      <w:sz w:val="17"/>
                      <w:szCs w:val="17"/>
                    </w:rPr>
                    <w:t xml:space="preserve">Sedikit menguat ke Rp16.999 pasca gencatan senjata</w:t>
                  </w:r>
                </w:p>
              </w:tc>
            </w:tr>
          </w:tbl>
          <w:p/>
        </w:tc>
      </w:tr>
    </w:tbl>
    <w:p>
      <w:pPr>
        <w:spacing w:after="6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980"/>
        <w:gridCol w:w="4980"/>
      </w:tblGrid>
      <w:tr>
        <w:tc>
          <w:tcPr>
            <w:tcW w:type="dxa" w:w="498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4980"/>
              <w:tblBorders>
                <w:top w:val="single" w:color="auto" w:sz="4"/>
                <w:left w:val="single" w:color="auto" w:sz="4"/>
                <w:bottom w:val="single" w:color="auto" w:sz="4"/>
                <w:right w:val="single" w:color="auto" w:sz="4"/>
                <w:insideH w:val="single" w:color="auto" w:sz="4"/>
                <w:insideV w:val="single" w:color="auto" w:sz="4"/>
              </w:tblBorders>
            </w:tblPr>
            <w:tblGrid>
              <w:gridCol w:w="4980"/>
            </w:tblGrid>
            <w:tr>
              <w:tc>
                <w:tcPr>
                  <w:tcW w:type="dxa" w:w="4980"/>
                  <w:tcBorders>
                    <w:top w:val="single" w:color="DDDDDD" w:sz="2"/>
                    <w:left w:val="single" w:color="DDDDDD" w:sz="2"/>
                    <w:bottom w:val="single" w:color="DDDDDD" w:sz="2"/>
                    <w:right w:val="single" w:color="DDDDDD" w:sz="2"/>
                  </w:tcBorders>
                  <w:shd w:fill="FEF9E7" w:val="clear"/>
                  <w:tcMar>
                    <w:top w:type="dxa" w:w="160"/>
                    <w:left w:type="dxa" w:w="200"/>
                    <w:bottom w:type="dxa" w:w="160"/>
                    <w:right w:type="dxa" w:w="200"/>
                  </w:tcMar>
                </w:tcPr>
                <w:p>
                  <w:pPr>
                    <w:spacing w:after="60" w:before="0"/>
                  </w:pPr>
                  <w:r>
                    <w:rPr>
                      <w:rFonts w:ascii="Arial" w:cs="Arial" w:eastAsia="Arial" w:hAnsi="Arial"/>
                      <w:b/>
                      <w:bCs/>
                      <w:color w:val="7B4F10"/>
                      <w:sz w:val="44"/>
                      <w:szCs w:val="44"/>
                    </w:rPr>
                    <w:t xml:space="preserve">$95–97/bbl</w:t>
                  </w:r>
                </w:p>
                <w:p>
                  <w:pPr>
                    <w:spacing w:after="30" w:before="0"/>
                  </w:pPr>
                  <w:r>
                    <w:rPr>
                      <w:rFonts w:ascii="Arial" w:cs="Arial" w:eastAsia="Arial" w:hAnsi="Arial"/>
                      <w:b/>
                      <w:bCs/>
                      <w:color w:val="4A4A4A"/>
                      <w:spacing w:val="30"/>
                      <w:sz w:val="16"/>
                      <w:szCs w:val="16"/>
                    </w:rPr>
                    <w:t xml:space="preserve">MINYAK BRENT — VOLATIL PASCA GENCATAN</w:t>
                  </w:r>
                </w:p>
                <w:p>
                  <w:pPr>
                    <w:spacing w:after="0" w:before="0"/>
                  </w:pPr>
                  <w:r>
                    <w:rPr>
                      <w:rFonts w:ascii="Arial" w:cs="Arial" w:eastAsia="Arial" w:hAnsi="Arial"/>
                      <w:color w:val="7B4F10"/>
                      <w:sz w:val="17"/>
                      <w:szCs w:val="17"/>
                    </w:rPr>
                    <w:t xml:space="preserve">Anjlok 13% saat gencatan, naik lagi +2% saat Iran tuding AS berkhianat</w:t>
                  </w:r>
                </w:p>
              </w:tc>
            </w:tr>
          </w:tbl>
          <w:p/>
        </w:tc>
        <w:tc>
          <w:tcPr>
            <w:tcW w:type="dxa" w:w="498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4980"/>
              <w:tblBorders>
                <w:top w:val="single" w:color="auto" w:sz="4"/>
                <w:left w:val="single" w:color="auto" w:sz="4"/>
                <w:bottom w:val="single" w:color="auto" w:sz="4"/>
                <w:right w:val="single" w:color="auto" w:sz="4"/>
                <w:insideH w:val="single" w:color="auto" w:sz="4"/>
                <w:insideV w:val="single" w:color="auto" w:sz="4"/>
              </w:tblBorders>
            </w:tblPr>
            <w:tblGrid>
              <w:gridCol w:w="4980"/>
            </w:tblGrid>
            <w:tr>
              <w:tc>
                <w:tcPr>
                  <w:tcW w:type="dxa" w:w="4980"/>
                  <w:tcBorders>
                    <w:top w:val="single" w:color="DDDDDD" w:sz="2"/>
                    <w:left w:val="single" w:color="DDDDDD" w:sz="2"/>
                    <w:bottom w:val="single" w:color="DDDDDD" w:sz="2"/>
                    <w:right w:val="single" w:color="DDDDDD" w:sz="2"/>
                  </w:tcBorders>
                  <w:shd w:fill="EBF5FB" w:val="clear"/>
                  <w:tcMar>
                    <w:top w:type="dxa" w:w="160"/>
                    <w:left w:type="dxa" w:w="200"/>
                    <w:bottom w:type="dxa" w:w="160"/>
                    <w:right w:type="dxa" w:w="200"/>
                  </w:tcMar>
                </w:tcPr>
                <w:p>
                  <w:pPr>
                    <w:spacing w:after="60" w:before="0"/>
                  </w:pPr>
                  <w:r>
                    <w:rPr>
                      <w:rFonts w:ascii="Arial" w:cs="Arial" w:eastAsia="Arial" w:hAnsi="Arial"/>
                      <w:b/>
                      <w:bCs/>
                      <w:color w:val="1A3060"/>
                      <w:sz w:val="52"/>
                      <w:szCs w:val="52"/>
                    </w:rPr>
                    <w:t xml:space="preserve">3,48%</w:t>
                  </w:r>
                </w:p>
                <w:p>
                  <w:pPr>
                    <w:spacing w:after="30" w:before="0"/>
                  </w:pPr>
                  <w:r>
                    <w:rPr>
                      <w:rFonts w:ascii="Arial" w:cs="Arial" w:eastAsia="Arial" w:hAnsi="Arial"/>
                      <w:b/>
                      <w:bCs/>
                      <w:color w:val="4A4A4A"/>
                      <w:spacing w:val="30"/>
                      <w:sz w:val="16"/>
                      <w:szCs w:val="16"/>
                    </w:rPr>
                    <w:t xml:space="preserve">INFLASI YOY MARET 2026 — DATA BPS</w:t>
                  </w:r>
                </w:p>
                <w:p>
                  <w:pPr>
                    <w:spacing w:after="0" w:before="0"/>
                  </w:pPr>
                  <w:r>
                    <w:rPr>
                      <w:rFonts w:ascii="Arial" w:cs="Arial" w:eastAsia="Arial" w:hAnsi="Arial"/>
                      <w:color w:val="1A3060"/>
                      <w:sz w:val="17"/>
                      <w:szCs w:val="17"/>
                    </w:rPr>
                    <w:t xml:space="preserve">Turun dari 4,76% Februari — mendekati batas atas target BI 3,5%</w:t>
                  </w:r>
                </w:p>
              </w:tc>
            </w:tr>
          </w:tbl>
          <w:p/>
        </w:tc>
      </w:tr>
    </w:tbl>
    <w:p>
      <w:pPr>
        <w:spacing w:after="6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980"/>
        <w:gridCol w:w="4980"/>
      </w:tblGrid>
      <w:tr>
        <w:tc>
          <w:tcPr>
            <w:tcW w:type="dxa" w:w="498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4980"/>
              <w:tblBorders>
                <w:top w:val="single" w:color="auto" w:sz="4"/>
                <w:left w:val="single" w:color="auto" w:sz="4"/>
                <w:bottom w:val="single" w:color="auto" w:sz="4"/>
                <w:right w:val="single" w:color="auto" w:sz="4"/>
                <w:insideH w:val="single" w:color="auto" w:sz="4"/>
                <w:insideV w:val="single" w:color="auto" w:sz="4"/>
              </w:tblBorders>
            </w:tblPr>
            <w:tblGrid>
              <w:gridCol w:w="4980"/>
            </w:tblGrid>
            <w:tr>
              <w:tc>
                <w:tcPr>
                  <w:tcW w:type="dxa" w:w="4980"/>
                  <w:tcBorders>
                    <w:top w:val="single" w:color="DDDDDD" w:sz="2"/>
                    <w:left w:val="single" w:color="DDDDDD" w:sz="2"/>
                    <w:bottom w:val="single" w:color="DDDDDD" w:sz="2"/>
                    <w:right w:val="single" w:color="DDDDDD" w:sz="2"/>
                  </w:tcBorders>
                  <w:shd w:fill="FDEDEC" w:val="clear"/>
                  <w:tcMar>
                    <w:top w:type="dxa" w:w="160"/>
                    <w:left w:type="dxa" w:w="200"/>
                    <w:bottom w:type="dxa" w:w="160"/>
                    <w:right w:type="dxa" w:w="200"/>
                  </w:tcMar>
                </w:tcPr>
                <w:p>
                  <w:pPr>
                    <w:spacing w:after="60" w:before="0"/>
                  </w:pPr>
                  <w:r>
                    <w:rPr>
                      <w:rFonts w:ascii="Arial" w:cs="Arial" w:eastAsia="Arial" w:hAnsi="Arial"/>
                      <w:b/>
                      <w:bCs/>
                      <w:color w:val="8B0000"/>
                      <w:sz w:val="44"/>
                      <w:szCs w:val="44"/>
                    </w:rPr>
                    <w:t xml:space="preserve">Rp23,34T</w:t>
                  </w:r>
                </w:p>
                <w:p>
                  <w:pPr>
                    <w:spacing w:after="30" w:before="0"/>
                  </w:pPr>
                  <w:r>
                    <w:rPr>
                      <w:rFonts w:ascii="Arial" w:cs="Arial" w:eastAsia="Arial" w:hAnsi="Arial"/>
                      <w:b/>
                      <w:bCs/>
                      <w:color w:val="4A4A4A"/>
                      <w:spacing w:val="30"/>
                      <w:sz w:val="16"/>
                      <w:szCs w:val="16"/>
                    </w:rPr>
                    <w:t xml:space="preserve">NET SELL ASING — Q1 2026 DI IHSG</w:t>
                  </w:r>
                </w:p>
                <w:p>
                  <w:pPr>
                    <w:spacing w:after="0" w:before="0"/>
                  </w:pPr>
                  <w:r>
                    <w:rPr>
                      <w:rFonts w:ascii="Arial" w:cs="Arial" w:eastAsia="Arial" w:hAnsi="Arial"/>
                      <w:color w:val="C0392B"/>
                      <w:sz w:val="17"/>
                      <w:szCs w:val="17"/>
                    </w:rPr>
                    <w:t xml:space="preserve">Capital outflow terbesar sejak krisis 2020</w:t>
                  </w:r>
                </w:p>
              </w:tc>
            </w:tr>
          </w:tbl>
          <w:p/>
        </w:tc>
        <w:tc>
          <w:tcPr>
            <w:tcW w:type="dxa" w:w="498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4980"/>
              <w:tblBorders>
                <w:top w:val="single" w:color="auto" w:sz="4"/>
                <w:left w:val="single" w:color="auto" w:sz="4"/>
                <w:bottom w:val="single" w:color="auto" w:sz="4"/>
                <w:right w:val="single" w:color="auto" w:sz="4"/>
                <w:insideH w:val="single" w:color="auto" w:sz="4"/>
                <w:insideV w:val="single" w:color="auto" w:sz="4"/>
              </w:tblBorders>
            </w:tblPr>
            <w:tblGrid>
              <w:gridCol w:w="4980"/>
            </w:tblGrid>
            <w:tr>
              <w:tc>
                <w:tcPr>
                  <w:tcW w:type="dxa" w:w="4980"/>
                  <w:tcBorders>
                    <w:top w:val="single" w:color="DDDDDD" w:sz="2"/>
                    <w:left w:val="single" w:color="DDDDDD" w:sz="2"/>
                    <w:bottom w:val="single" w:color="DDDDDD" w:sz="2"/>
                    <w:right w:val="single" w:color="DDDDDD" w:sz="2"/>
                  </w:tcBorders>
                  <w:shd w:fill="FEF9E7" w:val="clear"/>
                  <w:tcMar>
                    <w:top w:type="dxa" w:w="160"/>
                    <w:left w:type="dxa" w:w="200"/>
                    <w:bottom w:type="dxa" w:w="160"/>
                    <w:right w:type="dxa" w:w="200"/>
                  </w:tcMar>
                </w:tcPr>
                <w:p>
                  <w:pPr>
                    <w:spacing w:after="60" w:before="0"/>
                  </w:pPr>
                  <w:r>
                    <w:rPr>
                      <w:rFonts w:ascii="Arial" w:cs="Arial" w:eastAsia="Arial" w:hAnsi="Arial"/>
                      <w:b/>
                      <w:bCs/>
                      <w:color w:val="7B4F10"/>
                      <w:sz w:val="38"/>
                      <w:szCs w:val="38"/>
                    </w:rPr>
                    <w:t xml:space="preserve">5,11% → 4,7%</w:t>
                  </w:r>
                </w:p>
                <w:p>
                  <w:pPr>
                    <w:spacing w:after="30" w:before="0"/>
                  </w:pPr>
                  <w:r>
                    <w:rPr>
                      <w:rFonts w:ascii="Arial" w:cs="Arial" w:eastAsia="Arial" w:hAnsi="Arial"/>
                      <w:b/>
                      <w:bCs/>
                      <w:color w:val="4A4A4A"/>
                      <w:spacing w:val="30"/>
                      <w:sz w:val="16"/>
                      <w:szCs w:val="16"/>
                    </w:rPr>
                    <w:t xml:space="preserve">PDB 2025 AKTUAL → PROYEKSI BANK DUNIA 2026</w:t>
                  </w:r>
                </w:p>
                <w:p>
                  <w:pPr>
                    <w:spacing w:after="0" w:before="0"/>
                  </w:pPr>
                  <w:r>
                    <w:rPr>
                      <w:rFonts w:ascii="Arial" w:cs="Arial" w:eastAsia="Arial" w:hAnsi="Arial"/>
                      <w:color w:val="7B4F10"/>
                      <w:sz w:val="17"/>
                      <w:szCs w:val="17"/>
                    </w:rPr>
                    <w:t xml:space="preserve">Bank Dunia pangkas proyeksi 2026 — dampak perang Hormuz</w:t>
                  </w:r>
                </w:p>
              </w:tc>
            </w:tr>
          </w:tbl>
          <w:p/>
        </w:tc>
      </w:tr>
    </w:tbl>
    <w:p>
      <w:pPr>
        <w:spacing w:after="80" w:before="160"/>
      </w:pPr>
      <w:r>
        <w:t xml:space="preserve"/>
      </w:r>
    </w:p>
    <w:p>
      <w:pPr>
        <w:spacing w:after="60" w:before="0"/>
      </w:pPr>
      <w:r>
        <w:rPr>
          <w:rFonts w:ascii="Arial" w:cs="Arial" w:eastAsia="Arial" w:hAnsi="Arial"/>
          <w:b/>
          <w:bCs/>
          <w:color w:val="8B0000"/>
          <w:spacing w:val="50"/>
          <w:sz w:val="17"/>
          <w:szCs w:val="17"/>
        </w:rPr>
        <w:t xml:space="preserve">LAPORAN MENDALAM — ENAM INDIKATOR</w:t>
      </w:r>
    </w:p>
    <w:p>
      <w:pPr>
        <w:pBdr>
          <w:bottom w:val="single" w:color="CCCCCC" w:sz="2" w:space="1"/>
        </w:pBdr>
        <w:spacing w:after="0" w:before="0"/>
      </w:pPr>
      <w:r>
        <w:t xml:space="preserve"/>
      </w:r>
    </w:p>
    <w:p>
      <w:pPr>
        <w:spacing w:after="0" w:before="80"/>
      </w:pPr>
      <w:r>
        <w:rPr>
          <w:rFonts w:ascii="Arial" w:cs="Arial" w:eastAsia="Arial" w:hAnsi="Arial"/>
          <w:i/>
          <w:iCs/>
          <w:color w:val="4A4A4A"/>
          <w:sz w:val="20"/>
          <w:szCs w:val="20"/>
        </w:rPr>
        <w:t xml:space="preserve">Detail analisis, konteks, dan implikasi dari setiap indikator tersaji di halaman berikut.</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0000" w:sz="4"/>
              <w:right w:val="none" w:color="FFFFFF" w:sz="0"/>
            </w:tcBorders>
            <w:tcMar>
              <w:top w:type="dxa" w:w="0"/>
              <w:left w:type="dxa" w:w="0"/>
              <w:bottom w:type="dxa" w:w="80"/>
              <w:right w:type="dxa" w:w="0"/>
            </w:tcMar>
          </w:tcPr>
          <w:p>
            <w:pPr>
              <w:spacing w:after="40" w:before="0"/>
            </w:pPr>
            <w:r>
              <w:rPr>
                <w:rFonts w:ascii="Arial" w:cs="Arial" w:eastAsia="Arial" w:hAnsi="Arial"/>
                <w:b/>
                <w:bCs/>
                <w:color w:val="8B0000"/>
                <w:spacing w:val="30"/>
                <w:sz w:val="17"/>
                <w:szCs w:val="17"/>
              </w:rPr>
              <w:t xml:space="preserve">LAPORAN 01  </w:t>
            </w:r>
            <w:r>
              <w:rPr>
                <w:rFonts w:ascii="Arial" w:cs="Arial" w:eastAsia="Arial" w:hAnsi="Arial"/>
                <w:b/>
                <w:bCs/>
                <w:color w:val="8B0000"/>
                <w:sz w:val="17"/>
                <w:szCs w:val="17"/>
              </w:rPr>
              <w:t xml:space="preserve">MARKET PULSE  |  </w:t>
            </w:r>
            <w:r>
              <w:rPr>
                <w:rFonts w:ascii="Arial" w:cs="Arial" w:eastAsia="Arial" w:hAnsi="Arial"/>
                <w:color w:val="888888"/>
                <w:spacing w:val="20"/>
                <w:sz w:val="17"/>
                <w:szCs w:val="17"/>
              </w:rPr>
              <w:t xml:space="preserve">PASAR SAHAM</w:t>
            </w:r>
          </w:p>
        </w:tc>
      </w:tr>
    </w:tbl>
    <w:p>
      <w:pPr>
        <w:spacing w:after="60" w:before="80"/>
      </w:pPr>
      <w:r>
        <w:t xml:space="preserve"/>
      </w:r>
    </w:p>
    <w:p>
      <w:pPr>
        <w:spacing w:after="60" w:before="0"/>
      </w:pPr>
      <w:r>
        <w:rPr>
          <w:rFonts w:ascii="Arial" w:cs="Arial" w:eastAsia="Arial" w:hAnsi="Arial"/>
          <w:b/>
          <w:bCs/>
          <w:color w:val="8B0000"/>
          <w:spacing w:val="50"/>
          <w:sz w:val="17"/>
          <w:szCs w:val="17"/>
        </w:rPr>
        <w:t xml:space="preserve">INDIKATOR 1 — IHSG APRIL 2026</w:t>
      </w:r>
    </w:p>
    <w:p>
      <w:pPr>
        <w:spacing w:after="100" w:before="80"/>
      </w:pPr>
      <w:r>
        <w:rPr>
          <w:rFonts w:ascii="Arial" w:cs="Arial" w:eastAsia="Arial" w:hAnsi="Arial"/>
          <w:b/>
          <w:bCs/>
          <w:color w:val="1E1E1E"/>
          <w:sz w:val="34"/>
          <w:szCs w:val="34"/>
        </w:rPr>
        <w:t xml:space="preserve">IHSG: Roller Coaster Satu Minggu — Dari 6.942 ke 7.458, Volatilitas Tertinggi dalam Setahun</w:t>
      </w:r>
    </w:p>
    <w:p>
      <w:pPr>
        <w:spacing w:after="100" w:before="60"/>
        <w:jc w:val="both"/>
      </w:pPr>
      <w:r>
        <w:rPr>
          <w:rFonts w:ascii="Arial" w:cs="Arial" w:eastAsia="Arial" w:hAnsi="Arial"/>
          <w:color w:val="1E1E1E"/>
          <w:sz w:val="22"/>
          <w:szCs w:val="22"/>
        </w:rPr>
        <w:t xml:space="preserve">Pekan kedua April 2026 menjadi salah satu minggu paling dramatis dalam sejarah Bursa Efek Indonesia dalam beberapa tahun terakhir. IHSG memulai Senin 6 April dengan turun 1,20% ke level 6.942 — masih bergerak dalam bayang-bayang tekanan perang Iran-AS yang telah menekan indeks sepanjang Maret 2026. Namun kemudian terjadi perubahan besar.</w:t>
      </w:r>
    </w:p>
    <w:p>
      <w:pPr>
        <w:spacing w:after="100" w:before="60"/>
        <w:jc w:val="both"/>
      </w:pPr>
      <w:r>
        <w:rPr>
          <w:rFonts w:ascii="Arial" w:cs="Arial" w:eastAsia="Arial" w:hAnsi="Arial"/>
          <w:color w:val="1E1E1E"/>
          <w:sz w:val="22"/>
          <w:szCs w:val="22"/>
        </w:rPr>
        <w:t xml:space="preserve">Rabu 8 April 2026 malam: Trump mengumumkan gencatan senjata dua minggu dengan Iran. Kamis pagi 9 April, IHSG melonjak 4,42% — kenaikan harian terbesar dalam berbulan-bulan — ke level 7.279. Seluruh sektor hijau. Sektor barang baku memimpin dengan kenaikan 8,79%. Investor asing net buy Rp632 miliar. Jumat 10 April, IHSG melanjutkan penguatan ke 7.458, naik 2,07%.</w:t>
      </w:r>
    </w:p>
    <w:p>
      <w:pPr>
        <w:spacing w:after="80" w:before="160"/>
      </w:pPr>
      <w:r>
        <w:rPr>
          <w:rFonts w:ascii="Arial" w:cs="Arial" w:eastAsia="Arial" w:hAnsi="Arial"/>
          <w:b/>
          <w:bCs/>
          <w:color w:val="2C5282"/>
          <w:sz w:val="24"/>
          <w:szCs w:val="24"/>
        </w:rPr>
        <w:t xml:space="preserve">Roller Coaster dalam Angka</w:t>
      </w:r>
    </w:p>
    <w:p>
      <w:pPr>
        <w:spacing w:after="100" w:before="60"/>
        <w:jc w:val="both"/>
      </w:pPr>
      <w:r>
        <w:rPr>
          <w:rFonts w:ascii="Arial" w:cs="Arial" w:eastAsia="Arial" w:hAnsi="Arial"/>
          <w:color w:val="1E1E1E"/>
          <w:sz w:val="22"/>
          <w:szCs w:val="22"/>
        </w:rPr>
        <w:t xml:space="preserve">Dari level terendah Senin (6.942) ke level tertinggi Jumat (7.458), IHSG bergerak naik 516 poin atau +7,4% dalam lima hari perdagangan. Ini adalah salah satu pembalikan mingguan terkuat dalam dua tahun terakhir. Namun analis mengingatkan: volatilitas ini adalah dua sisi dari satu pisau. Yang naik karena sentimen geopolitik juga bisa turun dengan cepat jika gencatan senjata goyah.</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"IHSG yang melonjak signifikan tidak lepas dari munculnya sentimen positif global yang bersifat jangka pendek, terutama kabar meredanya tensi geopolitik antara AS dan Iran."</w:t>
            </w:r>
          </w:p>
          <w:p>
            <w:pPr>
              <w:spacing w:after="0" w:before="0"/>
            </w:pPr>
            <w:r>
              <w:rPr>
                <w:rFonts w:ascii="Arial" w:cs="Arial" w:eastAsia="Arial" w:hAnsi="Arial"/>
                <w:i/>
                <w:iCs/>
                <w:color w:val="888888"/>
                <w:sz w:val="19"/>
                <w:szCs w:val="19"/>
              </w:rPr>
              <w:t xml:space="preserve">— Hendra Wardana, analis pasar modal, kepada Antara</w:t>
            </w:r>
          </w:p>
        </w:tc>
      </w:tr>
    </w:tbl>
    <w:p>
      <w:pPr>
        <w:spacing w:after="100" w:before="60"/>
        <w:jc w:val="both"/>
      </w:pPr>
      <w:r>
        <w:rPr>
          <w:rFonts w:ascii="Arial" w:cs="Arial" w:eastAsia="Arial" w:hAnsi="Arial"/>
          <w:color w:val="1E1E1E"/>
          <w:sz w:val="22"/>
          <w:szCs w:val="22"/>
        </w:rPr>
        <w:t xml:space="preserve">Konteks yang lebih luas: sepanjang Maret 2026, IHSG terkoreksi 14,42% secara bulanan — penurunan bulanan terbesar sejak pandemi 2020 — akibat kombinasi perang, capital outflow asing, dan pelemahan rupiah. Penutupan Maret di 7.048 setelah sebelumnya sempat menyentuh area 6.500-an di tengah puncak ketegangan Hormuz.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DEDEC"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DATA IHSG PEKAN 6–10 APRIL 2026</w:t>
            </w:r>
          </w:p>
          <w:p>
            <w:pPr>
              <w:pStyle w:val="ListParagraph"/>
              <w:numPr>
                <w:ilvl w:val="0"/>
                <w:numId w:val="2"/>
              </w:numPr>
              <w:spacing w:after="40" w:before="40"/>
            </w:pPr>
            <w:r>
              <w:rPr>
                <w:rFonts w:ascii="Arial" w:cs="Arial" w:eastAsia="Arial" w:hAnsi="Arial"/>
                <w:color w:val="1E1E1E"/>
                <w:sz w:val="21"/>
                <w:szCs w:val="21"/>
              </w:rPr>
              <w:t xml:space="preserve">Senin 6 April: IHSG ditutup -1,20% ke 6.942 (terendah pekan ini)</w:t>
            </w:r>
          </w:p>
          <w:p>
            <w:pPr>
              <w:pStyle w:val="ListParagraph"/>
              <w:numPr>
                <w:ilvl w:val="0"/>
                <w:numId w:val="2"/>
              </w:numPr>
              <w:spacing w:after="40" w:before="40"/>
            </w:pPr>
            <w:r>
              <w:rPr>
                <w:rFonts w:ascii="Arial" w:cs="Arial" w:eastAsia="Arial" w:hAnsi="Arial"/>
                <w:color w:val="1E1E1E"/>
                <w:sz w:val="21"/>
                <w:szCs w:val="21"/>
              </w:rPr>
              <w:t xml:space="preserve">Rabu 8 April: IHSG melonjak +4,42% ke 7.279 — semua sektor hijau, barang baku +8,79%</w:t>
            </w:r>
          </w:p>
          <w:p>
            <w:pPr>
              <w:pStyle w:val="ListParagraph"/>
              <w:numPr>
                <w:ilvl w:val="0"/>
                <w:numId w:val="2"/>
              </w:numPr>
              <w:spacing w:after="40" w:before="40"/>
            </w:pPr>
            <w:r>
              <w:rPr>
                <w:rFonts w:ascii="Arial" w:cs="Arial" w:eastAsia="Arial" w:hAnsi="Arial"/>
                <w:color w:val="1E1E1E"/>
                <w:sz w:val="21"/>
                <w:szCs w:val="21"/>
              </w:rPr>
              <w:t xml:space="preserve">Kamis 9 April: IHSG bertahan di 7.307 (+0,39%) meski Iran tuding AS berkhianat</w:t>
            </w:r>
          </w:p>
          <w:p>
            <w:pPr>
              <w:pStyle w:val="ListParagraph"/>
              <w:numPr>
                <w:ilvl w:val="0"/>
                <w:numId w:val="2"/>
              </w:numPr>
              <w:spacing w:after="40" w:before="40"/>
            </w:pPr>
            <w:r>
              <w:rPr>
                <w:rFonts w:ascii="Arial" w:cs="Arial" w:eastAsia="Arial" w:hAnsi="Arial"/>
                <w:color w:val="1E1E1E"/>
                <w:sz w:val="21"/>
                <w:szCs w:val="21"/>
              </w:rPr>
              <w:t xml:space="preserve">Jumat 10 April: IHSG ditutup +2,07% ke 7.458 — level tertinggi sejak pra-perang</w:t>
            </w:r>
          </w:p>
          <w:p>
            <w:pPr>
              <w:pStyle w:val="ListParagraph"/>
              <w:numPr>
                <w:ilvl w:val="0"/>
                <w:numId w:val="2"/>
              </w:numPr>
              <w:spacing w:after="40" w:before="40"/>
            </w:pPr>
            <w:r>
              <w:rPr>
                <w:rFonts w:ascii="Arial" w:cs="Arial" w:eastAsia="Arial" w:hAnsi="Arial"/>
                <w:color w:val="1E1E1E"/>
                <w:sz w:val="21"/>
                <w:szCs w:val="21"/>
              </w:rPr>
              <w:t xml:space="preserve">Pergerakan mingguan: +7,4% dari terendah ke tertinggi — volatilitas tertinggi dalam setahun</w:t>
            </w:r>
          </w:p>
          <w:p>
            <w:pPr>
              <w:pStyle w:val="ListParagraph"/>
              <w:numPr>
                <w:ilvl w:val="0"/>
                <w:numId w:val="2"/>
              </w:numPr>
              <w:spacing w:after="40" w:before="40"/>
            </w:pPr>
            <w:r>
              <w:rPr>
                <w:rFonts w:ascii="Arial" w:cs="Arial" w:eastAsia="Arial" w:hAnsi="Arial"/>
                <w:color w:val="1E1E1E"/>
                <w:sz w:val="21"/>
                <w:szCs w:val="21"/>
              </w:rPr>
              <w:t xml:space="preserve">Maret 2026: IHSG terkoreksi -14,42% secara bulanan — dampak langsung perang Hormuz</w:t>
            </w:r>
          </w:p>
          <w:p>
            <w:pPr>
              <w:pStyle w:val="ListParagraph"/>
              <w:numPr>
                <w:ilvl w:val="0"/>
                <w:numId w:val="2"/>
              </w:numPr>
              <w:spacing w:after="40" w:before="40"/>
            </w:pPr>
            <w:r>
              <w:rPr>
                <w:rFonts w:ascii="Arial" w:cs="Arial" w:eastAsia="Arial" w:hAnsi="Arial"/>
                <w:color w:val="1E1E1E"/>
                <w:sz w:val="21"/>
                <w:szCs w:val="21"/>
              </w:rPr>
              <w:t xml:space="preserve">Net sell asing Q1 2026: Rp23,34 triliun — arus keluar modal terbesar dalam beberapa tahun</w:t>
            </w:r>
          </w:p>
          <w:p>
            <w:pPr>
              <w:pStyle w:val="ListParagraph"/>
              <w:numPr>
                <w:ilvl w:val="0"/>
                <w:numId w:val="2"/>
              </w:numPr>
              <w:spacing w:after="40" w:before="40"/>
            </w:pPr>
            <w:r>
              <w:rPr>
                <w:rFonts w:ascii="Arial" w:cs="Arial" w:eastAsia="Arial" w:hAnsi="Arial"/>
                <w:color w:val="1E1E1E"/>
                <w:sz w:val="21"/>
                <w:szCs w:val="21"/>
              </w:rPr>
              <w:t xml:space="preserve">OJK: kapitalisasi pasar menyusut dari Rp12.516 triliun (awal Q1) dengan tekanan likuiditas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REBOUND IHSG — SENTIMEN, BUKAN FUNDAMENTAL</w:t>
            </w:r>
          </w:p>
          <w:p>
            <w:pPr>
              <w:spacing w:after="0" w:before="0"/>
              <w:jc w:val="both"/>
            </w:pPr>
            <w:r>
              <w:rPr>
                <w:rFonts w:ascii="Arial" w:cs="Arial" w:eastAsia="Arial" w:hAnsi="Arial"/>
                <w:i/>
                <w:iCs/>
                <w:color w:val="1E1E1E"/>
                <w:sz w:val="21"/>
                <w:szCs w:val="21"/>
              </w:rPr>
              <w:t xml:space="preserve">IHSG 7.458 di penutupan Jumat adalah angka yang terlihat menggembirakan, tapi konteksnya harus dibaca hati-hati. Penguatan itu hampir seluruhnya didorong oleh satu sentimen tunggal: gencatan senjata AS-Iran. Ketika gencatan senjata itu mulai goyah — Iran menuduh AS berkhianat, Selat Hormuz belum sepenuhnya terbuka — IHSG menunjukkan tanda-tanda keraguan. Selama akar masalah geopolitik belum terselesaikan secara fundamental, IHSG akan terus bergerak seperti barometer ketegangan Timur Tengah, bukan cerminan kinerja ekonomi domestik yang sesungguhnya.</w:t>
            </w:r>
          </w:p>
        </w:tc>
      </w:tr>
    </w:tbl>
    <w:p>
      <w:pPr>
        <w:spacing w:after="80" w:before="8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1 dari 6  |  Market Pulse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0000" w:sz="4"/>
              <w:right w:val="none" w:color="FFFFFF" w:sz="0"/>
            </w:tcBorders>
            <w:tcMar>
              <w:top w:type="dxa" w:w="0"/>
              <w:left w:type="dxa" w:w="0"/>
              <w:bottom w:type="dxa" w:w="80"/>
              <w:right w:type="dxa" w:w="0"/>
            </w:tcMar>
          </w:tcPr>
          <w:p>
            <w:pPr>
              <w:spacing w:after="40" w:before="0"/>
            </w:pPr>
            <w:r>
              <w:rPr>
                <w:rFonts w:ascii="Arial" w:cs="Arial" w:eastAsia="Arial" w:hAnsi="Arial"/>
                <w:b/>
                <w:bCs/>
                <w:color w:val="8B0000"/>
                <w:spacing w:val="30"/>
                <w:sz w:val="17"/>
                <w:szCs w:val="17"/>
              </w:rPr>
              <w:t xml:space="preserve">LAPORAN 02  </w:t>
            </w:r>
            <w:r>
              <w:rPr>
                <w:rFonts w:ascii="Arial" w:cs="Arial" w:eastAsia="Arial" w:hAnsi="Arial"/>
                <w:b/>
                <w:bCs/>
                <w:color w:val="8B0000"/>
                <w:sz w:val="17"/>
                <w:szCs w:val="17"/>
              </w:rPr>
              <w:t xml:space="preserve">MARKET PULSE  |  </w:t>
            </w:r>
            <w:r>
              <w:rPr>
                <w:rFonts w:ascii="Arial" w:cs="Arial" w:eastAsia="Arial" w:hAnsi="Arial"/>
                <w:color w:val="888888"/>
                <w:spacing w:val="20"/>
                <w:sz w:val="17"/>
                <w:szCs w:val="17"/>
              </w:rPr>
              <w:t xml:space="preserve">NILAI TUKAR RUPIAH</w:t>
            </w:r>
          </w:p>
        </w:tc>
      </w:tr>
    </w:tbl>
    <w:p>
      <w:pPr>
        <w:spacing w:after="60" w:before="80"/>
      </w:pPr>
      <w:r>
        <w:t xml:space="preserve"/>
      </w:r>
    </w:p>
    <w:p>
      <w:pPr>
        <w:spacing w:after="60" w:before="0"/>
      </w:pPr>
      <w:r>
        <w:rPr>
          <w:rFonts w:ascii="Arial" w:cs="Arial" w:eastAsia="Arial" w:hAnsi="Arial"/>
          <w:b/>
          <w:bCs/>
          <w:color w:val="8B0000"/>
          <w:spacing w:val="50"/>
          <w:sz w:val="17"/>
          <w:szCs w:val="17"/>
        </w:rPr>
        <w:t xml:space="preserve">INDIKATOR 2 — RUPIAH/USD APRIL 2026</w:t>
      </w:r>
    </w:p>
    <w:p>
      <w:pPr>
        <w:spacing w:after="100" w:before="80"/>
      </w:pPr>
      <w:r>
        <w:rPr>
          <w:rFonts w:ascii="Arial" w:cs="Arial" w:eastAsia="Arial" w:hAnsi="Arial"/>
          <w:b/>
          <w:bCs/>
          <w:color w:val="1E1E1E"/>
          <w:sz w:val="34"/>
          <w:szCs w:val="34"/>
        </w:rPr>
        <w:t xml:space="preserve">Rupiah Sentuh Rp17.105 — Terlemah dalam Sejarah — Lalu Menguat Tipis Pasca Gencatan Senjata</w:t>
      </w:r>
    </w:p>
    <w:p>
      <w:pPr>
        <w:spacing w:after="100" w:before="60"/>
        <w:jc w:val="both"/>
      </w:pPr>
      <w:r>
        <w:rPr>
          <w:rFonts w:ascii="Arial" w:cs="Arial" w:eastAsia="Arial" w:hAnsi="Arial"/>
          <w:color w:val="1E1E1E"/>
          <w:sz w:val="22"/>
          <w:szCs w:val="22"/>
        </w:rPr>
        <w:t xml:space="preserve">Selasa 7 April 2026: rupiah ditutup di level Rp17.105 per dolar AS — level terlemah sepanjang sejarah Indonesia. Ini bukan sekadar angka. Ini adalah rekor yang mencatat betapa dalamnya dampak krisis Hormuz pada kepercayaan pasar terhadap rupiah. Selat Hormuz yang tersumbat, arus keluar modal asing yang masif, dan cadangan devisa yang menyusut ke level terendah dalam hampir dua tahun menjadi faktor pemicunya.</w:t>
      </w:r>
    </w:p>
    <w:p>
      <w:pPr>
        <w:spacing w:after="100" w:before="60"/>
        <w:jc w:val="both"/>
      </w:pPr>
      <w:r>
        <w:rPr>
          <w:rFonts w:ascii="Arial" w:cs="Arial" w:eastAsia="Arial" w:hAnsi="Arial"/>
          <w:color w:val="1E1E1E"/>
          <w:sz w:val="22"/>
          <w:szCs w:val="22"/>
        </w:rPr>
        <w:t xml:space="preserve">Rabu pagi 8 April, setelah Trump mengumumkan gencatan senjata: rupiah menguat 0,62% ke Rp16.999 dalam waktu kurang dari satu jam sejak pembukaan pasar. Kurs Jisdor Bank Indonesia tercatat Rp17.092. Penguatan berlanjut meski gencatan senjata masih rapuh — pasar memilih optimisme jangka pendek.</w:t>
      </w:r>
    </w:p>
    <w:p>
      <w:pPr>
        <w:spacing w:after="80" w:before="160"/>
      </w:pPr>
      <w:r>
        <w:rPr>
          <w:rFonts w:ascii="Arial" w:cs="Arial" w:eastAsia="Arial" w:hAnsi="Arial"/>
          <w:b/>
          <w:bCs/>
          <w:color w:val="2C5282"/>
          <w:sz w:val="24"/>
          <w:szCs w:val="24"/>
        </w:rPr>
        <w:t xml:space="preserve">Mengapa Rp17.000 Bukan Sekadar Angka Psikologis</w:t>
      </w:r>
    </w:p>
    <w:p>
      <w:pPr>
        <w:spacing w:after="100" w:before="60"/>
        <w:jc w:val="both"/>
      </w:pPr>
      <w:r>
        <w:rPr>
          <w:rFonts w:ascii="Arial" w:cs="Arial" w:eastAsia="Arial" w:hAnsi="Arial"/>
          <w:color w:val="1E1E1E"/>
          <w:sz w:val="22"/>
          <w:szCs w:val="22"/>
        </w:rPr>
        <w:t xml:space="preserve">Level Rp17.000 per dolar AS adalah ambang batas psikologis yang memiliki dampak konkret dan berantai. Pertama, biaya impor melonjak langsung — dan Indonesia adalah net importer minyak, bahan baku industri, dan pangan tertentu. Kedua, beban utang luar negeri dalam dolar — baik pemerintah maupun korporasi — meningkat dalam mata uang rupiah. Ketiga, kepercayaan investor asing berkurang: mata uang yang lemah adalah sinyal risiko yang membuat modal semakin enggan masuk.</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"Menstabilkan rupiah dan mengekang volatilitas yang berlebihan adalah prioritas utama Bank Indonesia. Kelemahan mata uang sebagian besar didorong oleh faktor global."</w:t>
            </w:r>
          </w:p>
          <w:p>
            <w:pPr>
              <w:spacing w:after="0" w:before="0"/>
            </w:pPr>
            <w:r>
              <w:rPr>
                <w:rFonts w:ascii="Arial" w:cs="Arial" w:eastAsia="Arial" w:hAnsi="Arial"/>
                <w:i/>
                <w:iCs/>
                <w:color w:val="888888"/>
                <w:sz w:val="19"/>
                <w:szCs w:val="19"/>
              </w:rPr>
              <w:t xml:space="preserve">— Bank Indonesia, pernyataan resmi, April 2026</w:t>
            </w:r>
          </w:p>
        </w:tc>
      </w:tr>
    </w:tbl>
    <w:p>
      <w:pPr>
        <w:spacing w:after="100" w:before="60"/>
        <w:jc w:val="both"/>
      </w:pPr>
      <w:r>
        <w:rPr>
          <w:rFonts w:ascii="Arial" w:cs="Arial" w:eastAsia="Arial" w:hAnsi="Arial"/>
          <w:color w:val="1E1E1E"/>
          <w:sz w:val="22"/>
          <w:szCs w:val="22"/>
        </w:rPr>
        <w:t xml:space="preserve">Bank Indonesia sudah melakukan intervensi di pasar valuta asing dan menegaskan siap menggunakan semua alat kebijakan yang tersedia. Tapi dengan cadangan devisa yang telah menyusut ke titik terendah hampir dua tahun, ruang intervensi BI pun semakin terbatas. Sementara proyeksi BI sebelumnya untuk rerata kurs 2026 di kisaran Rp16.000-16.500 kini tampak semakin sulit dicapai selama ketidakpastian Hormuz belum hilang.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DEDEC"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DATA RUPIAH PEKAN 6–10 APRIL 2026</w:t>
            </w:r>
          </w:p>
          <w:p>
            <w:pPr>
              <w:pStyle w:val="ListParagraph"/>
              <w:numPr>
                <w:ilvl w:val="0"/>
                <w:numId w:val="2"/>
              </w:numPr>
              <w:spacing w:after="40" w:before="40"/>
            </w:pPr>
            <w:r>
              <w:rPr>
                <w:rFonts w:ascii="Arial" w:cs="Arial" w:eastAsia="Arial" w:hAnsi="Arial"/>
                <w:color w:val="1E1E1E"/>
                <w:sz w:val="21"/>
                <w:szCs w:val="21"/>
              </w:rPr>
              <w:t xml:space="preserve">Selasa 7 April: rupiah ditutup Rp17.105/USD — level terlemah sepanjang sejarah</w:t>
            </w:r>
          </w:p>
          <w:p>
            <w:pPr>
              <w:pStyle w:val="ListParagraph"/>
              <w:numPr>
                <w:ilvl w:val="0"/>
                <w:numId w:val="2"/>
              </w:numPr>
              <w:spacing w:after="40" w:before="40"/>
            </w:pPr>
            <w:r>
              <w:rPr>
                <w:rFonts w:ascii="Arial" w:cs="Arial" w:eastAsia="Arial" w:hAnsi="Arial"/>
                <w:color w:val="1E1E1E"/>
                <w:sz w:val="21"/>
                <w:szCs w:val="21"/>
              </w:rPr>
              <w:t xml:space="preserve">Rabu 8 April: penguatan ke Rp16.999 usai gencatan senjata diumumkan (+0,62%)</w:t>
            </w:r>
          </w:p>
          <w:p>
            <w:pPr>
              <w:pStyle w:val="ListParagraph"/>
              <w:numPr>
                <w:ilvl w:val="0"/>
                <w:numId w:val="2"/>
              </w:numPr>
              <w:spacing w:after="40" w:before="40"/>
            </w:pPr>
            <w:r>
              <w:rPr>
                <w:rFonts w:ascii="Arial" w:cs="Arial" w:eastAsia="Arial" w:hAnsi="Arial"/>
                <w:color w:val="1E1E1E"/>
                <w:sz w:val="21"/>
                <w:szCs w:val="21"/>
              </w:rPr>
              <w:t xml:space="preserve">Kurs Jisdor BI 8 April: Rp17.092 — masih jauh dari proyeksi rerata BI Rp16.000-16.500</w:t>
            </w:r>
          </w:p>
          <w:p>
            <w:pPr>
              <w:pStyle w:val="ListParagraph"/>
              <w:numPr>
                <w:ilvl w:val="0"/>
                <w:numId w:val="2"/>
              </w:numPr>
              <w:spacing w:after="40" w:before="40"/>
            </w:pPr>
            <w:r>
              <w:rPr>
                <w:rFonts w:ascii="Arial" w:cs="Arial" w:eastAsia="Arial" w:hAnsi="Arial"/>
                <w:color w:val="1E1E1E"/>
                <w:sz w:val="21"/>
                <w:szCs w:val="21"/>
              </w:rPr>
              <w:t xml:space="preserve">Kamis 10 April: rupiah diperdagangkan sekitar Rp17.070 — bertahan di atas level kunci 17.000</w:t>
            </w:r>
          </w:p>
          <w:p>
            <w:pPr>
              <w:pStyle w:val="ListParagraph"/>
              <w:numPr>
                <w:ilvl w:val="0"/>
                <w:numId w:val="2"/>
              </w:numPr>
              <w:spacing w:after="40" w:before="40"/>
            </w:pPr>
            <w:r>
              <w:rPr>
                <w:rFonts w:ascii="Arial" w:cs="Arial" w:eastAsia="Arial" w:hAnsi="Arial"/>
                <w:color w:val="1E1E1E"/>
                <w:sz w:val="21"/>
                <w:szCs w:val="21"/>
              </w:rPr>
              <w:t xml:space="preserve">Cadangan devisa Maret 2026: mendekati titik terendah dalam hampir dua tahun</w:t>
            </w:r>
          </w:p>
          <w:p>
            <w:pPr>
              <w:pStyle w:val="ListParagraph"/>
              <w:numPr>
                <w:ilvl w:val="0"/>
                <w:numId w:val="2"/>
              </w:numPr>
              <w:spacing w:after="40" w:before="40"/>
            </w:pPr>
            <w:r>
              <w:rPr>
                <w:rFonts w:ascii="Arial" w:cs="Arial" w:eastAsia="Arial" w:hAnsi="Arial"/>
                <w:color w:val="1E1E1E"/>
                <w:sz w:val="21"/>
                <w:szCs w:val="21"/>
              </w:rPr>
              <w:t xml:space="preserve">Surplus perdagangan Februari: menyempit — penyangga eksternal melemah</w:t>
            </w:r>
          </w:p>
          <w:p>
            <w:pPr>
              <w:pStyle w:val="ListParagraph"/>
              <w:numPr>
                <w:ilvl w:val="0"/>
                <w:numId w:val="2"/>
              </w:numPr>
              <w:spacing w:after="40" w:before="40"/>
            </w:pPr>
            <w:r>
              <w:rPr>
                <w:rFonts w:ascii="Arial" w:cs="Arial" w:eastAsia="Arial" w:hAnsi="Arial"/>
                <w:color w:val="1E1E1E"/>
                <w:sz w:val="21"/>
                <w:szCs w:val="21"/>
              </w:rPr>
              <w:t xml:space="preserve">Faktor tekanan: kenaikan harga minyak dunia, outflow modal asing, ketidakpastian geopolitik</w:t>
            </w:r>
          </w:p>
          <w:p>
            <w:pPr>
              <w:pStyle w:val="ListParagraph"/>
              <w:numPr>
                <w:ilvl w:val="0"/>
                <w:numId w:val="2"/>
              </w:numPr>
              <w:spacing w:after="40" w:before="40"/>
            </w:pPr>
            <w:r>
              <w:rPr>
                <w:rFonts w:ascii="Arial" w:cs="Arial" w:eastAsia="Arial" w:hAnsi="Arial"/>
                <w:color w:val="1E1E1E"/>
                <w:sz w:val="21"/>
                <w:szCs w:val="21"/>
              </w:rPr>
              <w:t xml:space="preserve">Proyeksi analis: rupiah masih rentan, fluktuatif Rp17.000-17.100 selama gencatan rapuh</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PENGUATAN SEMU — RUPIAH BUTUH LEBIH DARI SENTIMEN</w:t>
            </w:r>
          </w:p>
          <w:p>
            <w:pPr>
              <w:spacing w:after="0" w:before="0"/>
              <w:jc w:val="both"/>
            </w:pPr>
            <w:r>
              <w:rPr>
                <w:rFonts w:ascii="Arial" w:cs="Arial" w:eastAsia="Arial" w:hAnsi="Arial"/>
                <w:i/>
                <w:iCs/>
                <w:color w:val="1E1E1E"/>
                <w:sz w:val="21"/>
                <w:szCs w:val="21"/>
              </w:rPr>
              <w:t xml:space="preserve">Rupiah yang sentuh Rp17.105 dan kemudian 'menguat' ke Rp16.999 adalah narasi yang perlu dibaca dengan cermat. Penguatan ke level 16.000-an bukan karena fundamental Indonesia membaik — cadangan devisa justru menyusut, surplus perdagangan menyempit, dan kepercayaan investor asing masih rendah. Penguatan itu semata karena sentimen gencatan senjata. Begitu sentimen berubah, rupiah akan kembali tertekan. Bank Indonesia tidak bisa terus-menerus mengandalkan intervensi dengan cadangan yang semakin tipis. Yang dibutuhkan adalah pemulihan kepercayaan yang berakar pada kondisi geopolitik yang lebih stabil dan fundamental domestik yang menguat.</w:t>
            </w:r>
          </w:p>
        </w:tc>
      </w:tr>
    </w:tbl>
    <w:p>
      <w:pPr>
        <w:spacing w:after="80" w:before="8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2 dari 6  |  Market Pulse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0000" w:sz="4"/>
              <w:right w:val="none" w:color="FFFFFF" w:sz="0"/>
            </w:tcBorders>
            <w:tcMar>
              <w:top w:type="dxa" w:w="0"/>
              <w:left w:type="dxa" w:w="0"/>
              <w:bottom w:type="dxa" w:w="80"/>
              <w:right w:type="dxa" w:w="0"/>
            </w:tcMar>
          </w:tcPr>
          <w:p>
            <w:pPr>
              <w:spacing w:after="40" w:before="0"/>
            </w:pPr>
            <w:r>
              <w:rPr>
                <w:rFonts w:ascii="Arial" w:cs="Arial" w:eastAsia="Arial" w:hAnsi="Arial"/>
                <w:b/>
                <w:bCs/>
                <w:color w:val="8B0000"/>
                <w:spacing w:val="30"/>
                <w:sz w:val="17"/>
                <w:szCs w:val="17"/>
              </w:rPr>
              <w:t xml:space="preserve">LAPORAN 03  </w:t>
            </w:r>
            <w:r>
              <w:rPr>
                <w:rFonts w:ascii="Arial" w:cs="Arial" w:eastAsia="Arial" w:hAnsi="Arial"/>
                <w:b/>
                <w:bCs/>
                <w:color w:val="8B0000"/>
                <w:sz w:val="17"/>
                <w:szCs w:val="17"/>
              </w:rPr>
              <w:t xml:space="preserve">MARKET PULSE  |  </w:t>
            </w:r>
            <w:r>
              <w:rPr>
                <w:rFonts w:ascii="Arial" w:cs="Arial" w:eastAsia="Arial" w:hAnsi="Arial"/>
                <w:color w:val="888888"/>
                <w:spacing w:val="20"/>
                <w:sz w:val="17"/>
                <w:szCs w:val="17"/>
              </w:rPr>
              <w:t xml:space="preserve">ENERGI &amp; GEOPOLITIK</w:t>
            </w:r>
          </w:p>
        </w:tc>
      </w:tr>
    </w:tbl>
    <w:p>
      <w:pPr>
        <w:spacing w:after="60" w:before="80"/>
      </w:pPr>
      <w:r>
        <w:t xml:space="preserve"/>
      </w:r>
    </w:p>
    <w:p>
      <w:pPr>
        <w:spacing w:after="60" w:before="0"/>
      </w:pPr>
      <w:r>
        <w:rPr>
          <w:rFonts w:ascii="Arial" w:cs="Arial" w:eastAsia="Arial" w:hAnsi="Arial"/>
          <w:b/>
          <w:bCs/>
          <w:color w:val="8B0000"/>
          <w:spacing w:val="50"/>
          <w:sz w:val="17"/>
          <w:szCs w:val="17"/>
        </w:rPr>
        <w:t xml:space="preserve">INDIKATOR 3 — HARGA MINYAK &amp; SELAT HORMUZ</w:t>
      </w:r>
    </w:p>
    <w:p>
      <w:pPr>
        <w:spacing w:after="100" w:before="80"/>
      </w:pPr>
      <w:r>
        <w:rPr>
          <w:rFonts w:ascii="Arial" w:cs="Arial" w:eastAsia="Arial" w:hAnsi="Arial"/>
          <w:b/>
          <w:bCs/>
          <w:color w:val="1E1E1E"/>
          <w:sz w:val="34"/>
          <w:szCs w:val="34"/>
        </w:rPr>
        <w:t xml:space="preserve">Minyak Brent: Anjlok 13% dalam Sehari, Naik Lagi 2% Esoknya — Volatilitas yang Mencerminkan Gencatan Rapuh</w:t>
      </w:r>
    </w:p>
    <w:p>
      <w:pPr>
        <w:spacing w:after="100" w:before="60"/>
        <w:jc w:val="both"/>
      </w:pPr>
      <w:r>
        <w:rPr>
          <w:rFonts w:ascii="Arial" w:cs="Arial" w:eastAsia="Arial" w:hAnsi="Arial"/>
          <w:color w:val="1E1E1E"/>
          <w:sz w:val="22"/>
          <w:szCs w:val="22"/>
        </w:rPr>
        <w:t xml:space="preserve">Selasa 7 April 2026, tengah malam Washington: Trump menyetujui gencatan senjata dua minggu dengan Iran, kurang dari dua jam sebelum tenggat waktu militer habis. Trump sempat memperingatkan 'seluruh peradaban akan mati malam ini' jika Iran tidak membuka Selat Hormuz. Gencatan senjata mencakup ketentuan Iran wajib membuka jalur pelayaran di selat yang selama ini menjadi pembuluh darah energi dunia.</w:t>
      </w:r>
    </w:p>
    <w:p>
      <w:pPr>
        <w:spacing w:after="100" w:before="60"/>
        <w:jc w:val="both"/>
      </w:pPr>
      <w:r>
        <w:rPr>
          <w:rFonts w:ascii="Arial" w:cs="Arial" w:eastAsia="Arial" w:hAnsi="Arial"/>
          <w:color w:val="1E1E1E"/>
          <w:sz w:val="22"/>
          <w:szCs w:val="22"/>
        </w:rPr>
        <w:t xml:space="preserve">Dampak langsung: minyak Brent anjlok 13,6% menjadi $94,43 per barel dalam hitungan jam. Minyak WTI turun 14,3% ke $96,82. Ini adalah penurunan harian terbesar dalam berbulan-bulan — mencerminkan betapa besar tekanan yang sudah dibangun selama Selat Hormuz tersumbat sejak akhir Februari 2026. Pasar saham global melonjak. Rupiah menguat. IHSG terbang.</w:t>
      </w:r>
    </w:p>
    <w:p>
      <w:pPr>
        <w:spacing w:after="80" w:before="160"/>
      </w:pPr>
      <w:r>
        <w:rPr>
          <w:rFonts w:ascii="Arial" w:cs="Arial" w:eastAsia="Arial" w:hAnsi="Arial"/>
          <w:b/>
          <w:bCs/>
          <w:color w:val="2C5282"/>
          <w:sz w:val="24"/>
          <w:szCs w:val="24"/>
        </w:rPr>
        <w:t xml:space="preserve">Gencatan yang Langsung Goyah</w:t>
      </w:r>
    </w:p>
    <w:p>
      <w:pPr>
        <w:spacing w:after="100" w:before="60"/>
        <w:jc w:val="both"/>
      </w:pPr>
      <w:r>
        <w:rPr>
          <w:rFonts w:ascii="Arial" w:cs="Arial" w:eastAsia="Arial" w:hAnsi="Arial"/>
          <w:color w:val="1E1E1E"/>
          <w:sz w:val="22"/>
          <w:szCs w:val="22"/>
        </w:rPr>
        <w:t xml:space="preserve">Tapi euforia berlangsung singkat. Kamis 9 April: Iran menuding AS berkhianat. Pembicara parlemen Iran Mohammad Bagher Ghalibaf menyebut tiga pelanggaran: serangan Israel di Lebanon yang terus berlanjut, masuknya drone ke wilayah udara Iran, dan penolakan hak Iran memperkaya uranium. Harga minyak Brent langsung naik kembali 2,08% ke $96,83. WTI naik 2,86% ke $97,27.</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"Harus ada perdamaian yang benar-benar langgeng untuk mengubah keadaan. Orang-orang sebenarnya tidak mengambil risiko."</w:t>
            </w:r>
          </w:p>
          <w:p>
            <w:pPr>
              <w:spacing w:after="0" w:before="0"/>
            </w:pPr>
            <w:r>
              <w:rPr>
                <w:rFonts w:ascii="Arial" w:cs="Arial" w:eastAsia="Arial" w:hAnsi="Arial"/>
                <w:i/>
                <w:iCs/>
                <w:color w:val="888888"/>
                <w:sz w:val="19"/>
                <w:szCs w:val="19"/>
              </w:rPr>
              <w:t xml:space="preserve">— Martin Whetton, kepala strategi pasar Westpac, kepada Reuters</w:t>
            </w:r>
          </w:p>
        </w:tc>
      </w:tr>
    </w:tbl>
    <w:p>
      <w:pPr>
        <w:spacing w:after="100" w:before="60"/>
        <w:jc w:val="both"/>
      </w:pPr>
      <w:r>
        <w:rPr>
          <w:rFonts w:ascii="Arial" w:cs="Arial" w:eastAsia="Arial" w:hAnsi="Arial"/>
          <w:color w:val="1E1E1E"/>
          <w:sz w:val="22"/>
          <w:szCs w:val="22"/>
        </w:rPr>
        <w:t xml:space="preserve">Yang lebih mengkhawatirkan: Selat Hormuz belum benar-benar pulih. Angkatan Laut Iran memperingatkan kapal-kapal bahwa pelayaran tanpa izin 'akan ditargetkan dan dihancurkan.' Hanya segelintir kapal yang berhasil melintas sejak gencatan — jauh di bawah rata-rata 130 kapal per hari sebelum konflik. Perusahaan maritim Windward memperkirakan dibutuhkan setidaknya 10 hari untuk mengurai antrean kapal, bahkan berbulan-bulan untuk kembali normal.</w:t>
      </w:r>
    </w:p>
    <w:p>
      <w:pPr>
        <w:spacing w:after="100" w:before="60"/>
        <w:jc w:val="both"/>
      </w:pPr>
      <w:r>
        <w:rPr>
          <w:rFonts w:ascii="Arial" w:cs="Arial" w:eastAsia="Arial" w:hAnsi="Arial"/>
          <w:color w:val="1E1E1E"/>
          <w:sz w:val="22"/>
          <w:szCs w:val="22"/>
        </w:rPr>
        <w:t xml:space="preserve">Bagi Indonesia: sebagai net importer minyak, setiap kenaikan $10 per barel harga minyak global menambah tekanan fiskal melalui subsidi energi yang harus ditanggung APBN. Nilai impor migas dari Timur Tengah pada Februari 2026 mencapai $447,9 juta. Jika harga minyak bertahan di atas $90/barel dengan rupiah di Rp17.000, kenaikan harga BBM subsidi hampir tidak bisa dihindari — dengan konsekuensi inflasi yang signifikan.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4F10" w:sz="2"/>
              <w:left w:val="single" w:color="7B4F10" w:sz="2"/>
              <w:bottom w:val="single" w:color="7B4F10" w:sz="2"/>
              <w:right w:val="single" w:color="7B4F10" w:sz="2"/>
            </w:tcBorders>
            <w:shd w:fill="FEF9E7" w:val="clear"/>
            <w:tcMar>
              <w:top w:type="dxa" w:w="140"/>
              <w:left w:type="dxa" w:w="200"/>
              <w:bottom w:type="dxa" w:w="140"/>
              <w:right w:type="dxa" w:w="200"/>
            </w:tcMar>
          </w:tcPr>
          <w:p>
            <w:pPr>
              <w:spacing w:after="80" w:before="0"/>
            </w:pPr>
            <w:r>
              <w:rPr>
                <w:rFonts w:ascii="Arial" w:cs="Arial" w:eastAsia="Arial" w:hAnsi="Arial"/>
                <w:b/>
                <w:bCs/>
                <w:color w:val="7B4F10"/>
                <w:spacing w:val="30"/>
                <w:sz w:val="19"/>
                <w:szCs w:val="19"/>
              </w:rPr>
              <w:t xml:space="preserve">DATA MINYAK &amp; HORMUZ PEKAN 6–10 APRIL 2026</w:t>
            </w:r>
          </w:p>
          <w:p>
            <w:pPr>
              <w:pStyle w:val="ListParagraph"/>
              <w:numPr>
                <w:ilvl w:val="0"/>
                <w:numId w:val="2"/>
              </w:numPr>
              <w:spacing w:after="40" w:before="40"/>
            </w:pPr>
            <w:r>
              <w:rPr>
                <w:rFonts w:ascii="Arial" w:cs="Arial" w:eastAsia="Arial" w:hAnsi="Arial"/>
                <w:color w:val="1E1E1E"/>
                <w:sz w:val="21"/>
                <w:szCs w:val="21"/>
              </w:rPr>
              <w:t xml:space="preserve">Konteks: Selat Hormuz tersumbat sejak akhir Februari 2026 — 20% pasokan minyak dunia terhambat</w:t>
            </w:r>
          </w:p>
          <w:p>
            <w:pPr>
              <w:pStyle w:val="ListParagraph"/>
              <w:numPr>
                <w:ilvl w:val="0"/>
                <w:numId w:val="2"/>
              </w:numPr>
              <w:spacing w:after="40" w:before="40"/>
            </w:pPr>
            <w:r>
              <w:rPr>
                <w:rFonts w:ascii="Arial" w:cs="Arial" w:eastAsia="Arial" w:hAnsi="Arial"/>
                <w:color w:val="1E1E1E"/>
                <w:sz w:val="21"/>
                <w:szCs w:val="21"/>
              </w:rPr>
              <w:t xml:space="preserve">Puncak harga: minyak sempat melebihi $100/barel saat Hormuz penuh tersumbat</w:t>
            </w:r>
          </w:p>
          <w:p>
            <w:pPr>
              <w:pStyle w:val="ListParagraph"/>
              <w:numPr>
                <w:ilvl w:val="0"/>
                <w:numId w:val="2"/>
              </w:numPr>
              <w:spacing w:after="40" w:before="40"/>
            </w:pPr>
            <w:r>
              <w:rPr>
                <w:rFonts w:ascii="Arial" w:cs="Arial" w:eastAsia="Arial" w:hAnsi="Arial"/>
                <w:color w:val="1E1E1E"/>
                <w:sz w:val="21"/>
                <w:szCs w:val="21"/>
              </w:rPr>
              <w:t xml:space="preserve">8 April (gencatan): Brent anjlok 13,6% ke $94,43; WTI turun 14,3% ke $96,82</w:t>
            </w:r>
          </w:p>
          <w:p>
            <w:pPr>
              <w:pStyle w:val="ListParagraph"/>
              <w:numPr>
                <w:ilvl w:val="0"/>
                <w:numId w:val="2"/>
              </w:numPr>
              <w:spacing w:after="40" w:before="40"/>
            </w:pPr>
            <w:r>
              <w:rPr>
                <w:rFonts w:ascii="Arial" w:cs="Arial" w:eastAsia="Arial" w:hAnsi="Arial"/>
                <w:color w:val="1E1E1E"/>
                <w:sz w:val="21"/>
                <w:szCs w:val="21"/>
              </w:rPr>
              <w:t xml:space="preserve">9 April (gencatan goyah): Brent naik kembali +2,08% ke $96,83; WTI +2,86% ke $97,27</w:t>
            </w:r>
          </w:p>
          <w:p>
            <w:pPr>
              <w:pStyle w:val="ListParagraph"/>
              <w:numPr>
                <w:ilvl w:val="0"/>
                <w:numId w:val="2"/>
              </w:numPr>
              <w:spacing w:after="40" w:before="40"/>
            </w:pPr>
            <w:r>
              <w:rPr>
                <w:rFonts w:ascii="Arial" w:cs="Arial" w:eastAsia="Arial" w:hAnsi="Arial"/>
                <w:color w:val="1E1E1E"/>
                <w:sz w:val="21"/>
                <w:szCs w:val="21"/>
              </w:rPr>
              <w:t xml:space="preserve">Selat Hormuz: belum pulih — hanya segelintir kapal melintas vs rata-rata 130/hari sebelum konflik</w:t>
            </w:r>
          </w:p>
          <w:p>
            <w:pPr>
              <w:pStyle w:val="ListParagraph"/>
              <w:numPr>
                <w:ilvl w:val="0"/>
                <w:numId w:val="2"/>
              </w:numPr>
              <w:spacing w:after="40" w:before="40"/>
            </w:pPr>
            <w:r>
              <w:rPr>
                <w:rFonts w:ascii="Arial" w:cs="Arial" w:eastAsia="Arial" w:hAnsi="Arial"/>
                <w:color w:val="1E1E1E"/>
                <w:sz w:val="21"/>
                <w:szCs w:val="21"/>
              </w:rPr>
              <w:t xml:space="preserve">Iran AL: peringatan bahwa kapal tanpa izin 'akan ditargetkan dan dihancurkan'</w:t>
            </w:r>
          </w:p>
          <w:p>
            <w:pPr>
              <w:pStyle w:val="ListParagraph"/>
              <w:numPr>
                <w:ilvl w:val="0"/>
                <w:numId w:val="2"/>
              </w:numPr>
              <w:spacing w:after="40" w:before="40"/>
            </w:pPr>
            <w:r>
              <w:rPr>
                <w:rFonts w:ascii="Arial" w:cs="Arial" w:eastAsia="Arial" w:hAnsi="Arial"/>
                <w:color w:val="1E1E1E"/>
                <w:sz w:val="21"/>
                <w:szCs w:val="21"/>
              </w:rPr>
              <w:t xml:space="preserve">Estimasi Windward: butuh 10 hari+ untuk urai antrean kapal setelah jalur buka normal</w:t>
            </w:r>
          </w:p>
          <w:p>
            <w:pPr>
              <w:pStyle w:val="ListParagraph"/>
              <w:numPr>
                <w:ilvl w:val="0"/>
                <w:numId w:val="2"/>
              </w:numPr>
              <w:spacing w:after="40" w:before="40"/>
            </w:pPr>
            <w:r>
              <w:rPr>
                <w:rFonts w:ascii="Arial" w:cs="Arial" w:eastAsia="Arial" w:hAnsi="Arial"/>
                <w:color w:val="1E1E1E"/>
                <w:sz w:val="21"/>
                <w:szCs w:val="21"/>
              </w:rPr>
              <w:t xml:space="preserve">Dampak Indonesia: impor migas dari Timur Tengah Februari 2026 senilai $447,9 juta</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HORMUZ MENENTUKAN NASIB EKONOMI INDONESIA 2026</w:t>
            </w:r>
          </w:p>
          <w:p>
            <w:pPr>
              <w:spacing w:after="0" w:before="0"/>
              <w:jc w:val="both"/>
            </w:pPr>
            <w:r>
              <w:rPr>
                <w:rFonts w:ascii="Arial" w:cs="Arial" w:eastAsia="Arial" w:hAnsi="Arial"/>
                <w:i/>
                <w:iCs/>
                <w:color w:val="1E1E1E"/>
                <w:sz w:val="21"/>
                <w:szCs w:val="21"/>
              </w:rPr>
              <w:t xml:space="preserve">Volatilitas minyak pekan ini — turun 13% dalam sehari, naik 2% esoknya — adalah gambaran paling jelas dari apa yang dimaksud 'gencatan senjata yang rapuh.' Pasar bereaksi terhadap berita, bukan pada kondisi yang berubah secara fundamental. Selat Hormuz belum terbuka penuh, aktor intelektual penyiraman Andrie Yunus belum diadili, dan negosiasi AS-Iran di Islamabad masih berlangsung tanpa jaminan kepastian. Bagi Indonesia, implikasinya sangat konkret: setiap kenaikan kembali harga minyak ke level $100+ akan meningkatkan tekanan pada subsidi energi, mendorong inflasi, melemahkan rupiah lebih lanjut, dan memperlambat pertumbuhan ekonomi 2026 — persis seperti yang sudah diproyeksikan Bank Dunia.</w:t>
            </w:r>
          </w:p>
        </w:tc>
      </w:tr>
    </w:tbl>
    <w:p>
      <w:pPr>
        <w:spacing w:after="80" w:before="8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3 dari 6  |  Market Pulse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0000" w:sz="4"/>
              <w:right w:val="none" w:color="FFFFFF" w:sz="0"/>
            </w:tcBorders>
            <w:tcMar>
              <w:top w:type="dxa" w:w="0"/>
              <w:left w:type="dxa" w:w="0"/>
              <w:bottom w:type="dxa" w:w="80"/>
              <w:right w:type="dxa" w:w="0"/>
            </w:tcMar>
          </w:tcPr>
          <w:p>
            <w:pPr>
              <w:spacing w:after="40" w:before="0"/>
            </w:pPr>
            <w:r>
              <w:rPr>
                <w:rFonts w:ascii="Arial" w:cs="Arial" w:eastAsia="Arial" w:hAnsi="Arial"/>
                <w:b/>
                <w:bCs/>
                <w:color w:val="8B0000"/>
                <w:spacing w:val="30"/>
                <w:sz w:val="17"/>
                <w:szCs w:val="17"/>
              </w:rPr>
              <w:t xml:space="preserve">LAPORAN 04  </w:t>
            </w:r>
            <w:r>
              <w:rPr>
                <w:rFonts w:ascii="Arial" w:cs="Arial" w:eastAsia="Arial" w:hAnsi="Arial"/>
                <w:b/>
                <w:bCs/>
                <w:color w:val="8B0000"/>
                <w:sz w:val="17"/>
                <w:szCs w:val="17"/>
              </w:rPr>
              <w:t xml:space="preserve">MARKET PULSE  |  </w:t>
            </w:r>
            <w:r>
              <w:rPr>
                <w:rFonts w:ascii="Arial" w:cs="Arial" w:eastAsia="Arial" w:hAnsi="Arial"/>
                <w:color w:val="888888"/>
                <w:spacing w:val="20"/>
                <w:sz w:val="17"/>
                <w:szCs w:val="17"/>
              </w:rPr>
              <w:t xml:space="preserve">INFLASI &amp; HARGA KONSUMEN</w:t>
            </w:r>
          </w:p>
        </w:tc>
      </w:tr>
    </w:tbl>
    <w:p>
      <w:pPr>
        <w:spacing w:after="60" w:before="80"/>
      </w:pPr>
      <w:r>
        <w:t xml:space="preserve"/>
      </w:r>
    </w:p>
    <w:p>
      <w:pPr>
        <w:spacing w:after="60" w:before="0"/>
      </w:pPr>
      <w:r>
        <w:rPr>
          <w:rFonts w:ascii="Arial" w:cs="Arial" w:eastAsia="Arial" w:hAnsi="Arial"/>
          <w:b/>
          <w:bCs/>
          <w:color w:val="8B0000"/>
          <w:spacing w:val="50"/>
          <w:sz w:val="17"/>
          <w:szCs w:val="17"/>
        </w:rPr>
        <w:t xml:space="preserve">INDIKATOR 4 — INFLASI MARET 2026 (BPS)</w:t>
      </w:r>
    </w:p>
    <w:p>
      <w:pPr>
        <w:spacing w:after="100" w:before="80"/>
      </w:pPr>
      <w:r>
        <w:rPr>
          <w:rFonts w:ascii="Arial" w:cs="Arial" w:eastAsia="Arial" w:hAnsi="Arial"/>
          <w:b/>
          <w:bCs/>
          <w:color w:val="1E1E1E"/>
          <w:sz w:val="34"/>
          <w:szCs w:val="34"/>
        </w:rPr>
        <w:t xml:space="preserve">Inflasi 3,48% — Mereda dari 4,76% Februari, tapi Masih di Batas Atas Target BI dan Risiko ke Depan Mengancam</w:t>
      </w:r>
    </w:p>
    <w:p>
      <w:pPr>
        <w:spacing w:after="100" w:before="60"/>
        <w:jc w:val="both"/>
      </w:pPr>
      <w:r>
        <w:rPr>
          <w:rFonts w:ascii="Arial" w:cs="Arial" w:eastAsia="Arial" w:hAnsi="Arial"/>
          <w:color w:val="1E1E1E"/>
          <w:sz w:val="22"/>
          <w:szCs w:val="22"/>
        </w:rPr>
        <w:t xml:space="preserve">1 April 2026: Badan Pusat Statistik (BPS) merilis data inflasi Maret. Hasilnya: inflasi tahunan (year-on-year) tercatat 3,48% — turun dari 4,76% pada Februari 2026 yang sempat menjadi tertinggi sejak Maret 2023. Angka ini di bawah ekspektasi pasar sebesar 3,60% dan masih dalam rentang target Bank Indonesia 1,5%-3,5%, meski berada di ujung atasnya.</w:t>
      </w:r>
    </w:p>
    <w:p>
      <w:pPr>
        <w:spacing w:after="100" w:before="60"/>
        <w:jc w:val="both"/>
      </w:pPr>
      <w:r>
        <w:rPr>
          <w:rFonts w:ascii="Arial" w:cs="Arial" w:eastAsia="Arial" w:hAnsi="Arial"/>
          <w:color w:val="1E1E1E"/>
          <w:sz w:val="22"/>
          <w:szCs w:val="22"/>
        </w:rPr>
        <w:t xml:space="preserve">Penyebab penurunan inflasi dari Februari ke Maret: berkurangnya efek low base effect dari diskon tarif listrik yang berlaku Januari-Februari 2025. Inflasi perumahan, air, listrik, dan bahan bakar turun dramatis dari 16,19% (Februari) ke 7,24% (Maret) — mencerminkan normalisasi basis perbandingan. Namun beberapa komponen masih memberikan tekanan.</w:t>
      </w:r>
    </w:p>
    <w:p>
      <w:pPr>
        <w:spacing w:after="80" w:before="160"/>
      </w:pPr>
      <w:r>
        <w:rPr>
          <w:rFonts w:ascii="Arial" w:cs="Arial" w:eastAsia="Arial" w:hAnsi="Arial"/>
          <w:b/>
          <w:bCs/>
          <w:color w:val="2C5282"/>
          <w:sz w:val="24"/>
          <w:szCs w:val="24"/>
        </w:rPr>
        <w:t xml:space="preserve">Komponen yang Masih Bergejolak</w:t>
      </w:r>
    </w:p>
    <w:p>
      <w:pPr>
        <w:spacing w:after="100" w:before="60"/>
        <w:jc w:val="both"/>
      </w:pPr>
      <w:r>
        <w:rPr>
          <w:rFonts w:ascii="Arial" w:cs="Arial" w:eastAsia="Arial" w:hAnsi="Arial"/>
          <w:color w:val="1E1E1E"/>
          <w:sz w:val="22"/>
          <w:szCs w:val="22"/>
        </w:rPr>
        <w:t xml:space="preserve">Kelompok perawatan pribadi dan jasa lainnya mencatat inflasi 15,32% dengan andil 1,02% — utamanya didorong harga emas perhiasan yang terus melonjak akibat emas sebagai aset lindung nilai di tengah perang. Kelompok makanan, minuman, dan tembakau berkontribusi andil inflasi 0,32% secara bulanan, dengan komoditas pendorong: ikan segar, daging ayam, beras, telur, cabai rawit, minyak goreng, dan daging sapi.</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"Ketegangan yang berlarut-larut mendorong kenaikan harga minyak yang menekan komponen inflasi harga diatur pemerintah pada komoditas BBM subsidi yang harus ditanggung APBN."</w:t>
            </w:r>
          </w:p>
          <w:p>
            <w:pPr>
              <w:spacing w:after="0" w:before="0"/>
            </w:pPr>
            <w:r>
              <w:rPr>
                <w:rFonts w:ascii="Arial" w:cs="Arial" w:eastAsia="Arial" w:hAnsi="Arial"/>
                <w:i/>
                <w:iCs/>
                <w:color w:val="888888"/>
                <w:sz w:val="19"/>
                <w:szCs w:val="19"/>
              </w:rPr>
              <w:t xml:space="preserve">— Ekonom BPS, dalam konferensi pers April 2026</w:t>
            </w:r>
          </w:p>
        </w:tc>
      </w:tr>
    </w:tbl>
    <w:p>
      <w:pPr>
        <w:spacing w:after="100" w:before="60"/>
        <w:jc w:val="both"/>
      </w:pPr>
      <w:r>
        <w:rPr>
          <w:rFonts w:ascii="Arial" w:cs="Arial" w:eastAsia="Arial" w:hAnsi="Arial"/>
          <w:color w:val="1E1E1E"/>
          <w:sz w:val="22"/>
          <w:szCs w:val="22"/>
        </w:rPr>
        <w:t xml:space="preserve">Inflasi inti (core inflation) tercatat 2,52% — turun dari 2,63% di Februari dan di bawah ekspektasi 2,63%. Ini adalah kabar baik yang menunjukkan tekanan inflasi dari permintaan domestik masih moderat. Secara spasial, seluruh 38 provinsi mengalami inflasi tahunan. Aceh tertinggi dengan 5,31%, Lampung terendah 1,16%.</w:t>
      </w:r>
    </w:p>
    <w:p>
      <w:pPr>
        <w:spacing w:after="80" w:before="160"/>
      </w:pPr>
      <w:r>
        <w:rPr>
          <w:rFonts w:ascii="Arial" w:cs="Arial" w:eastAsia="Arial" w:hAnsi="Arial"/>
          <w:b/>
          <w:bCs/>
          <w:color w:val="2C5282"/>
          <w:sz w:val="24"/>
          <w:szCs w:val="24"/>
        </w:rPr>
        <w:t xml:space="preserve">Risiko ke Depan: Minyak, Rupiah, dan BBM Subsidi</w:t>
      </w:r>
    </w:p>
    <w:p>
      <w:pPr>
        <w:spacing w:after="100" w:before="60"/>
        <w:jc w:val="both"/>
      </w:pPr>
      <w:r>
        <w:rPr>
          <w:rFonts w:ascii="Arial" w:cs="Arial" w:eastAsia="Arial" w:hAnsi="Arial"/>
          <w:color w:val="1E1E1E"/>
          <w:sz w:val="22"/>
          <w:szCs w:val="22"/>
        </w:rPr>
        <w:t xml:space="preserve">Meski inflasi Maret mereda, para ekonom memperingatkan bahwa tekanan ke depan bisa meningkat signifikan. Jika harga minyak mentah Brent bertahan di kisaran $80-100/barel dan kurs rupiah di Rp17.000/USD, kenaikan harga BBM subsidi hampir tidak bisa dihindari. Dampak estimasinya: kenaikan inflasi 1,42-3,06 poin persentase — yang bisa membawa inflasi akhir 2026 melampaui batas 3,5% target BI.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BF5FB"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INFLASI MARET 2026 — BPS</w:t>
            </w:r>
          </w:p>
          <w:p>
            <w:pPr>
              <w:pStyle w:val="ListParagraph"/>
              <w:numPr>
                <w:ilvl w:val="0"/>
                <w:numId w:val="2"/>
              </w:numPr>
              <w:spacing w:after="40" w:before="40"/>
            </w:pPr>
            <w:r>
              <w:rPr>
                <w:rFonts w:ascii="Arial" w:cs="Arial" w:eastAsia="Arial" w:hAnsi="Arial"/>
                <w:color w:val="1E1E1E"/>
                <w:sz w:val="21"/>
                <w:szCs w:val="21"/>
              </w:rPr>
              <w:t xml:space="preserve">Inflasi YoY Maret 2026: 3,48% (turun dari 4,76% Februari) — data BPS 1 April 2026</w:t>
            </w:r>
          </w:p>
          <w:p>
            <w:pPr>
              <w:pStyle w:val="ListParagraph"/>
              <w:numPr>
                <w:ilvl w:val="0"/>
                <w:numId w:val="2"/>
              </w:numPr>
              <w:spacing w:after="40" w:before="40"/>
            </w:pPr>
            <w:r>
              <w:rPr>
                <w:rFonts w:ascii="Arial" w:cs="Arial" w:eastAsia="Arial" w:hAnsi="Arial"/>
                <w:color w:val="1E1E1E"/>
                <w:sz w:val="21"/>
                <w:szCs w:val="21"/>
              </w:rPr>
              <w:t xml:space="preserve">Inflasi bulanan MoM Maret: 0,41% (lebih rendah dari 0,68% Februari)</w:t>
            </w:r>
          </w:p>
          <w:p>
            <w:pPr>
              <w:pStyle w:val="ListParagraph"/>
              <w:numPr>
                <w:ilvl w:val="0"/>
                <w:numId w:val="2"/>
              </w:numPr>
              <w:spacing w:after="40" w:before="40"/>
            </w:pPr>
            <w:r>
              <w:rPr>
                <w:rFonts w:ascii="Arial" w:cs="Arial" w:eastAsia="Arial" w:hAnsi="Arial"/>
                <w:color w:val="1E1E1E"/>
                <w:sz w:val="21"/>
                <w:szCs w:val="21"/>
              </w:rPr>
              <w:t xml:space="preserve">Inflasi inti Maret: 2,52% — di bawah proyeksi 2,63%</w:t>
            </w:r>
          </w:p>
          <w:p>
            <w:pPr>
              <w:pStyle w:val="ListParagraph"/>
              <w:numPr>
                <w:ilvl w:val="0"/>
                <w:numId w:val="2"/>
              </w:numPr>
              <w:spacing w:after="40" w:before="40"/>
            </w:pPr>
            <w:r>
              <w:rPr>
                <w:rFonts w:ascii="Arial" w:cs="Arial" w:eastAsia="Arial" w:hAnsi="Arial"/>
                <w:color w:val="1E1E1E"/>
                <w:sz w:val="21"/>
                <w:szCs w:val="21"/>
              </w:rPr>
              <w:t xml:space="preserve">Penyumbang terbesar YoY: perumahan+listrik (7,24%, andil 1,08%) + emas perhiasan (15,32%)</w:t>
            </w:r>
          </w:p>
          <w:p>
            <w:pPr>
              <w:pStyle w:val="ListParagraph"/>
              <w:numPr>
                <w:ilvl w:val="0"/>
                <w:numId w:val="2"/>
              </w:numPr>
              <w:spacing w:after="40" w:before="40"/>
            </w:pPr>
            <w:r>
              <w:rPr>
                <w:rFonts w:ascii="Arial" w:cs="Arial" w:eastAsia="Arial" w:hAnsi="Arial"/>
                <w:color w:val="1E1E1E"/>
                <w:sz w:val="21"/>
                <w:szCs w:val="21"/>
              </w:rPr>
              <w:t xml:space="preserve">Penyumbang terbesar MoM: makanan, minuman, tembakau (andil 0,32%)</w:t>
            </w:r>
          </w:p>
          <w:p>
            <w:pPr>
              <w:pStyle w:val="ListParagraph"/>
              <w:numPr>
                <w:ilvl w:val="0"/>
                <w:numId w:val="2"/>
              </w:numPr>
              <w:spacing w:after="40" w:before="40"/>
            </w:pPr>
            <w:r>
              <w:rPr>
                <w:rFonts w:ascii="Arial" w:cs="Arial" w:eastAsia="Arial" w:hAnsi="Arial"/>
                <w:color w:val="1E1E1E"/>
                <w:sz w:val="21"/>
                <w:szCs w:val="21"/>
              </w:rPr>
              <w:t xml:space="preserve">Tertinggi per provinsi: Aceh 5,31%; Terendah: Lampung 1,16%</w:t>
            </w:r>
          </w:p>
          <w:p>
            <w:pPr>
              <w:pStyle w:val="ListParagraph"/>
              <w:numPr>
                <w:ilvl w:val="0"/>
                <w:numId w:val="2"/>
              </w:numPr>
              <w:spacing w:after="40" w:before="40"/>
            </w:pPr>
            <w:r>
              <w:rPr>
                <w:rFonts w:ascii="Arial" w:cs="Arial" w:eastAsia="Arial" w:hAnsi="Arial"/>
                <w:color w:val="1E1E1E"/>
                <w:sz w:val="21"/>
                <w:szCs w:val="21"/>
              </w:rPr>
              <w:t xml:space="preserve">Target inflasi BI 2026: 1,5%-3,5% — Maret di batas atas</w:t>
            </w:r>
          </w:p>
          <w:p>
            <w:pPr>
              <w:pStyle w:val="ListParagraph"/>
              <w:numPr>
                <w:ilvl w:val="0"/>
                <w:numId w:val="2"/>
              </w:numPr>
              <w:spacing w:after="40" w:before="40"/>
            </w:pPr>
            <w:r>
              <w:rPr>
                <w:rFonts w:ascii="Arial" w:cs="Arial" w:eastAsia="Arial" w:hAnsi="Arial"/>
                <w:color w:val="1E1E1E"/>
                <w:sz w:val="21"/>
                <w:szCs w:val="21"/>
              </w:rPr>
              <w:t xml:space="preserve">Risiko: minyak tinggi + rupiah lemah = potensi kenaikan BBM → inflasi bisa +1,42-3,06 poin</w:t>
            </w:r>
          </w:p>
          <w:p>
            <w:pPr>
              <w:pStyle w:val="ListParagraph"/>
              <w:numPr>
                <w:ilvl w:val="0"/>
                <w:numId w:val="2"/>
              </w:numPr>
              <w:spacing w:after="40" w:before="40"/>
            </w:pPr>
            <w:r>
              <w:rPr>
                <w:rFonts w:ascii="Arial" w:cs="Arial" w:eastAsia="Arial" w:hAnsi="Arial"/>
                <w:color w:val="1E1E1E"/>
                <w:sz w:val="21"/>
                <w:szCs w:val="21"/>
              </w:rPr>
              <w:t xml:space="preserve">Proyeksi pasca-Lebaran (April 2026): inflasi diperkirakan melandai secara musiman</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INFLASI MEREDA, TAPI RISIKO TERBESAR BELUM DATANG</w:t>
            </w:r>
          </w:p>
          <w:p>
            <w:pPr>
              <w:spacing w:after="0" w:before="0"/>
              <w:jc w:val="both"/>
            </w:pPr>
            <w:r>
              <w:rPr>
                <w:rFonts w:ascii="Arial" w:cs="Arial" w:eastAsia="Arial" w:hAnsi="Arial"/>
                <w:i/>
                <w:iCs/>
                <w:color w:val="1E1E1E"/>
                <w:sz w:val="21"/>
                <w:szCs w:val="21"/>
              </w:rPr>
              <w:t xml:space="preserve">Inflasi 3,48% adalah angka yang sekilas terlihat aman — tapi ia berada di batas atas target BI, dan ia belum memperhitungkan dampak penuh dari krisis Hormuz. Emas perhiasan menyumbang inflasi signifikan — bukan karena permintaan konsumsi meningkat, tapi karena emas adalah aset pelarian di tengah ketidakpastian perang. Jika harga minyak dunia tidak turun secara berkelanjutan dan rupiah tidak menguat secara fundamental, tekanan inflasi semester dua 2026 bisa jauh lebih tinggi dari yang saat ini terlihat. Bank Indonesia akan sangat sulit memangkas suku bunga dalam kondisi seperti ini — yang artinya ruang stimulus moneter untuk pertumbuhan juga semakin sempit.</w:t>
            </w:r>
          </w:p>
        </w:tc>
      </w:tr>
    </w:tbl>
    <w:p>
      <w:pPr>
        <w:spacing w:after="80" w:before="8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4 dari 6  |  Market Pulse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0000" w:sz="4"/>
              <w:right w:val="none" w:color="FFFFFF" w:sz="0"/>
            </w:tcBorders>
            <w:tcMar>
              <w:top w:type="dxa" w:w="0"/>
              <w:left w:type="dxa" w:w="0"/>
              <w:bottom w:type="dxa" w:w="80"/>
              <w:right w:type="dxa" w:w="0"/>
            </w:tcMar>
          </w:tcPr>
          <w:p>
            <w:pPr>
              <w:spacing w:after="40" w:before="0"/>
            </w:pPr>
            <w:r>
              <w:rPr>
                <w:rFonts w:ascii="Arial" w:cs="Arial" w:eastAsia="Arial" w:hAnsi="Arial"/>
                <w:b/>
                <w:bCs/>
                <w:color w:val="8B0000"/>
                <w:spacing w:val="30"/>
                <w:sz w:val="17"/>
                <w:szCs w:val="17"/>
              </w:rPr>
              <w:t xml:space="preserve">LAPORAN 05  </w:t>
            </w:r>
            <w:r>
              <w:rPr>
                <w:rFonts w:ascii="Arial" w:cs="Arial" w:eastAsia="Arial" w:hAnsi="Arial"/>
                <w:b/>
                <w:bCs/>
                <w:color w:val="8B0000"/>
                <w:sz w:val="17"/>
                <w:szCs w:val="17"/>
              </w:rPr>
              <w:t xml:space="preserve">MARKET PULSE  |  </w:t>
            </w:r>
            <w:r>
              <w:rPr>
                <w:rFonts w:ascii="Arial" w:cs="Arial" w:eastAsia="Arial" w:hAnsi="Arial"/>
                <w:color w:val="888888"/>
                <w:spacing w:val="20"/>
                <w:sz w:val="17"/>
                <w:szCs w:val="17"/>
              </w:rPr>
              <w:t xml:space="preserve">ARUS MODAL &amp; BURSA</w:t>
            </w:r>
          </w:p>
        </w:tc>
      </w:tr>
    </w:tbl>
    <w:p>
      <w:pPr>
        <w:spacing w:after="60" w:before="80"/>
      </w:pPr>
      <w:r>
        <w:t xml:space="preserve"/>
      </w:r>
    </w:p>
    <w:p>
      <w:pPr>
        <w:spacing w:after="60" w:before="0"/>
      </w:pPr>
      <w:r>
        <w:rPr>
          <w:rFonts w:ascii="Arial" w:cs="Arial" w:eastAsia="Arial" w:hAnsi="Arial"/>
          <w:b/>
          <w:bCs/>
          <w:color w:val="8B0000"/>
          <w:spacing w:val="50"/>
          <w:sz w:val="17"/>
          <w:szCs w:val="17"/>
        </w:rPr>
        <w:t xml:space="preserve">INDIKATOR 5 — NET SELL ASING &amp; KAPITAL FLIGHT</w:t>
      </w:r>
    </w:p>
    <w:p>
      <w:pPr>
        <w:spacing w:after="100" w:before="80"/>
      </w:pPr>
      <w:r>
        <w:rPr>
          <w:rFonts w:ascii="Arial" w:cs="Arial" w:eastAsia="Arial" w:hAnsi="Arial"/>
          <w:b/>
          <w:bCs/>
          <w:color w:val="1E1E1E"/>
          <w:sz w:val="34"/>
          <w:szCs w:val="34"/>
        </w:rPr>
        <w:t xml:space="preserve">Rp23,34 Triliun Net Sell Asing di Kuartal I 2026 — Capital Flight Terbesar dalam Beberapa Tahun</w:t>
      </w:r>
    </w:p>
    <w:p>
      <w:pPr>
        <w:spacing w:after="100" w:before="60"/>
        <w:jc w:val="both"/>
      </w:pPr>
      <w:r>
        <w:rPr>
          <w:rFonts w:ascii="Arial" w:cs="Arial" w:eastAsia="Arial" w:hAnsi="Arial"/>
          <w:color w:val="1E1E1E"/>
          <w:sz w:val="22"/>
          <w:szCs w:val="22"/>
        </w:rPr>
        <w:t xml:space="preserve">Laporan OJK mengungkap data yang sangat mengkhawatirkan: sepanjang Q1 2026 (Januari-Maret), investor asing mencatatkan net sell di pasar saham Indonesia senilai Rp23,34 triliun — terutama dipengaruhi transaksi di pasar negosiasi. Ini adalah arus keluar modal terbesar dalam beberapa tahun terakhir, mencerminkan kombinasi sentimen negatif global dan domestik yang menghantam kepercayaan investor asing secara bersamaan.</w:t>
      </w:r>
    </w:p>
    <w:p>
      <w:pPr>
        <w:spacing w:after="100" w:before="60"/>
        <w:jc w:val="both"/>
      </w:pPr>
      <w:r>
        <w:rPr>
          <w:rFonts w:ascii="Arial" w:cs="Arial" w:eastAsia="Arial" w:hAnsi="Arial"/>
          <w:color w:val="1E1E1E"/>
          <w:sz w:val="22"/>
          <w:szCs w:val="22"/>
        </w:rPr>
        <w:t xml:space="preserve">Konteks: selama Maret 2026, ketika ketegangan Hormuz mencapai puncaknya dan harga minyak melonjak di atas $100/barel, asing menjual secara agresif. Kapitalisasi pasar BEI menyusut dari Rp12.516 triliun (awal Q1) menjadi Rp12.305 triliun, dengan rata-rata nilai transaksi harian anjlok 36,69%.</w:t>
      </w:r>
    </w:p>
    <w:p>
      <w:pPr>
        <w:spacing w:after="80" w:before="160"/>
      </w:pPr>
      <w:r>
        <w:rPr>
          <w:rFonts w:ascii="Arial" w:cs="Arial" w:eastAsia="Arial" w:hAnsi="Arial"/>
          <w:b/>
          <w:bCs/>
          <w:color w:val="2C5282"/>
          <w:sz w:val="24"/>
          <w:szCs w:val="24"/>
        </w:rPr>
        <w:t xml:space="preserve">Mengapa Asing Keluar?</w:t>
      </w:r>
    </w:p>
    <w:p>
      <w:pPr>
        <w:spacing w:after="100" w:before="60"/>
        <w:jc w:val="both"/>
      </w:pPr>
      <w:r>
        <w:rPr>
          <w:rFonts w:ascii="Arial" w:cs="Arial" w:eastAsia="Arial" w:hAnsi="Arial"/>
          <w:color w:val="1E1E1E"/>
          <w:sz w:val="22"/>
          <w:szCs w:val="22"/>
        </w:rPr>
        <w:t xml:space="preserve">Ada tiga lapisan alasan. Pertama, sentimen risk-off global: investor internasional memindahkan dana ke aset aman (obligasi AS, emas, dolar) ketika ketidakpastian geopolitik meningkat. Kedua, tekanan spesifik Indonesia: rupiah yang melemah ke Rp17.000+ berarti keuntungan investasi dalam dolar tergerus, sehingga return investasi di Indonesia menjadi kurang menarik. Ketiga, revisi proyeksi pertumbuhan: Bank Dunia memangkas proyeksi PDB Indonesia 2026 ke 4,7% pada 8 April — sinyal negatif yang meningkatkan persepsi risiko.</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"Kami mempertahankan pandangan bahwa perang akan berlanjut hingga Juni. Implikasinya adalah kerugian dolar mungkin hanya bersifat sementara."</w:t>
            </w:r>
          </w:p>
          <w:p>
            <w:pPr>
              <w:spacing w:after="0" w:before="0"/>
            </w:pPr>
            <w:r>
              <w:rPr>
                <w:rFonts w:ascii="Arial" w:cs="Arial" w:eastAsia="Arial" w:hAnsi="Arial"/>
                <w:i/>
                <w:iCs/>
                <w:color w:val="888888"/>
                <w:sz w:val="19"/>
                <w:szCs w:val="19"/>
              </w:rPr>
              <w:t xml:space="preserve">— Carol Kong, ahli strategi mata uang Commonwealth Bank of Australia</w:t>
            </w:r>
          </w:p>
        </w:tc>
      </w:tr>
    </w:tbl>
    <w:p>
      <w:pPr>
        <w:spacing w:after="100" w:before="60"/>
        <w:jc w:val="both"/>
      </w:pPr>
      <w:r>
        <w:rPr>
          <w:rFonts w:ascii="Arial" w:cs="Arial" w:eastAsia="Arial" w:hAnsi="Arial"/>
          <w:color w:val="1E1E1E"/>
          <w:sz w:val="22"/>
          <w:szCs w:val="22"/>
        </w:rPr>
        <w:t xml:space="preserve">Sisi positifnya: saat gencatan senjata diumumkan 8 April, ada sinyal kehidupan. IHSG melonjak 4,42% dengan investor asing kembali net buy Rp632 miliar dalam satu hari — menunjukkan bahwa modal asing tidak pergi permanen, tapi menunggu kepastian. Jika gencatan senjata berlanjut dan menjadi perdamaian yang lebih permanen, ada ruang untuk pemulihan arus masuk modal yang signifikan.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DEDEC"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DATA ARUS MODAL Q1 2026</w:t>
            </w:r>
          </w:p>
          <w:p>
            <w:pPr>
              <w:pStyle w:val="ListParagraph"/>
              <w:numPr>
                <w:ilvl w:val="0"/>
                <w:numId w:val="2"/>
              </w:numPr>
              <w:spacing w:after="40" w:before="40"/>
            </w:pPr>
            <w:r>
              <w:rPr>
                <w:rFonts w:ascii="Arial" w:cs="Arial" w:eastAsia="Arial" w:hAnsi="Arial"/>
                <w:color w:val="1E1E1E"/>
                <w:sz w:val="21"/>
                <w:szCs w:val="21"/>
              </w:rPr>
              <w:t xml:space="preserve">Net sell asing Q1 2026: Rp23,34 triliun — arus keluar modal terbesar dalam beberapa tahun</w:t>
            </w:r>
          </w:p>
          <w:p>
            <w:pPr>
              <w:pStyle w:val="ListParagraph"/>
              <w:numPr>
                <w:ilvl w:val="0"/>
                <w:numId w:val="2"/>
              </w:numPr>
              <w:spacing w:after="40" w:before="40"/>
            </w:pPr>
            <w:r>
              <w:rPr>
                <w:rFonts w:ascii="Arial" w:cs="Arial" w:eastAsia="Arial" w:hAnsi="Arial"/>
                <w:color w:val="1E1E1E"/>
                <w:sz w:val="21"/>
                <w:szCs w:val="21"/>
              </w:rPr>
              <w:t xml:space="preserve">Penyebab: kombinasi perang Hormuz, rupiah melemah, revisi proyeksi pertumbuhan</w:t>
            </w:r>
          </w:p>
          <w:p>
            <w:pPr>
              <w:pStyle w:val="ListParagraph"/>
              <w:numPr>
                <w:ilvl w:val="0"/>
                <w:numId w:val="2"/>
              </w:numPr>
              <w:spacing w:after="40" w:before="40"/>
            </w:pPr>
            <w:r>
              <w:rPr>
                <w:rFonts w:ascii="Arial" w:cs="Arial" w:eastAsia="Arial" w:hAnsi="Arial"/>
                <w:color w:val="1E1E1E"/>
                <w:sz w:val="21"/>
                <w:szCs w:val="21"/>
              </w:rPr>
              <w:t xml:space="preserve">Kapitalisasi pasar BEI: menyusut dari Rp12.516T menjadi Rp12.305T di Q1</w:t>
            </w:r>
          </w:p>
          <w:p>
            <w:pPr>
              <w:pStyle w:val="ListParagraph"/>
              <w:numPr>
                <w:ilvl w:val="0"/>
                <w:numId w:val="2"/>
              </w:numPr>
              <w:spacing w:after="40" w:before="40"/>
            </w:pPr>
            <w:r>
              <w:rPr>
                <w:rFonts w:ascii="Arial" w:cs="Arial" w:eastAsia="Arial" w:hAnsi="Arial"/>
                <w:color w:val="1E1E1E"/>
                <w:sz w:val="21"/>
                <w:szCs w:val="21"/>
              </w:rPr>
              <w:t xml:space="preserve">Rata-rata transaksi harian Maret: anjlok 36,69% dari Rp23,32T ke Rp14,77T</w:t>
            </w:r>
          </w:p>
          <w:p>
            <w:pPr>
              <w:pStyle w:val="ListParagraph"/>
              <w:numPr>
                <w:ilvl w:val="0"/>
                <w:numId w:val="2"/>
              </w:numPr>
              <w:spacing w:after="40" w:before="40"/>
            </w:pPr>
            <w:r>
              <w:rPr>
                <w:rFonts w:ascii="Arial" w:cs="Arial" w:eastAsia="Arial" w:hAnsi="Arial"/>
                <w:color w:val="1E1E1E"/>
                <w:sz w:val="21"/>
                <w:szCs w:val="21"/>
              </w:rPr>
              <w:t xml:space="preserve">8 April (gencatan): asing net buy Rp632 miliar — sinyal modal bisa kembali jika stabil</w:t>
            </w:r>
          </w:p>
          <w:p>
            <w:pPr>
              <w:pStyle w:val="ListParagraph"/>
              <w:numPr>
                <w:ilvl w:val="0"/>
                <w:numId w:val="2"/>
              </w:numPr>
              <w:spacing w:after="40" w:before="40"/>
            </w:pPr>
            <w:r>
              <w:rPr>
                <w:rFonts w:ascii="Arial" w:cs="Arial" w:eastAsia="Arial" w:hAnsi="Arial"/>
                <w:color w:val="1E1E1E"/>
                <w:sz w:val="21"/>
                <w:szCs w:val="21"/>
              </w:rPr>
              <w:t xml:space="preserve">Bank Dunia 8 April: pangkas proyeksi PDB Indonesia 2026 ke 4,7% — sinyal risiko</w:t>
            </w:r>
          </w:p>
          <w:p>
            <w:pPr>
              <w:pStyle w:val="ListParagraph"/>
              <w:numPr>
                <w:ilvl w:val="0"/>
                <w:numId w:val="2"/>
              </w:numPr>
              <w:spacing w:after="40" w:before="40"/>
            </w:pPr>
            <w:r>
              <w:rPr>
                <w:rFonts w:ascii="Arial" w:cs="Arial" w:eastAsia="Arial" w:hAnsi="Arial"/>
                <w:color w:val="1E1E1E"/>
                <w:sz w:val="21"/>
                <w:szCs w:val="21"/>
              </w:rPr>
              <w:t xml:space="preserve">Cadangan devisa Maret 2026: mendekati titik terendah hampir dua tahun</w:t>
            </w:r>
          </w:p>
          <w:p>
            <w:pPr>
              <w:pStyle w:val="ListParagraph"/>
              <w:numPr>
                <w:ilvl w:val="0"/>
                <w:numId w:val="2"/>
              </w:numPr>
              <w:spacing w:after="40" w:before="40"/>
            </w:pPr>
            <w:r>
              <w:rPr>
                <w:rFonts w:ascii="Arial" w:cs="Arial" w:eastAsia="Arial" w:hAnsi="Arial"/>
                <w:color w:val="1E1E1E"/>
                <w:sz w:val="21"/>
                <w:szCs w:val="21"/>
              </w:rPr>
              <w:t xml:space="preserve">Risiko lanjutan: jika gencatan gagal, capital flight bisa berlanjut dengan intensitas lebih tinggi</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OUTFLOW ASING — MASALAH PERSEPSI, BUKAN HANYA FUNDAMENTAL</w:t>
            </w:r>
          </w:p>
          <w:p>
            <w:pPr>
              <w:spacing w:after="0" w:before="0"/>
              <w:jc w:val="both"/>
            </w:pPr>
            <w:r>
              <w:rPr>
                <w:rFonts w:ascii="Arial" w:cs="Arial" w:eastAsia="Arial" w:hAnsi="Arial"/>
                <w:i/>
                <w:iCs/>
                <w:color w:val="1E1E1E"/>
                <w:sz w:val="21"/>
                <w:szCs w:val="21"/>
              </w:rPr>
              <w:t xml:space="preserve">Rp23,34 triliun dalam satu kuartal adalah angka yang tidak bisa diabaikan. Outflow asing dalam skala ini melemahkan rupiah, menekan IHSG, mengurangi likuiditas pasar, dan mempersulit penggalangan dana bagi korporasi. Yang perlu digarisbawahi: asing tidak pergi karena ekonomi Indonesia memburuk secara fundamental — laporan keuangan perbankan dan konsumsi domestik masih relatif solid. Mereka pergi karena ketidakpastian eksternal yang tinggi dan kurangnya kepercayaan jangka pendek. Ini adalah masalah yang bisa pulih dengan cepat jika situasi geopolitik membaik — tapi juga bisa bertahan lama jika perang berlanjut seperti proyeksi sebagian analis.</w:t>
            </w:r>
          </w:p>
        </w:tc>
      </w:tr>
    </w:tbl>
    <w:p>
      <w:pPr>
        <w:spacing w:after="80" w:before="8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5 dari 6  |  Market Pulse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0000" w:sz="4"/>
              <w:right w:val="none" w:color="FFFFFF" w:sz="0"/>
            </w:tcBorders>
            <w:tcMar>
              <w:top w:type="dxa" w:w="0"/>
              <w:left w:type="dxa" w:w="0"/>
              <w:bottom w:type="dxa" w:w="80"/>
              <w:right w:type="dxa" w:w="0"/>
            </w:tcMar>
          </w:tcPr>
          <w:p>
            <w:pPr>
              <w:spacing w:after="40" w:before="0"/>
            </w:pPr>
            <w:r>
              <w:rPr>
                <w:rFonts w:ascii="Arial" w:cs="Arial" w:eastAsia="Arial" w:hAnsi="Arial"/>
                <w:b/>
                <w:bCs/>
                <w:color w:val="8B0000"/>
                <w:spacing w:val="30"/>
                <w:sz w:val="17"/>
                <w:szCs w:val="17"/>
              </w:rPr>
              <w:t xml:space="preserve">LAPORAN 06  </w:t>
            </w:r>
            <w:r>
              <w:rPr>
                <w:rFonts w:ascii="Arial" w:cs="Arial" w:eastAsia="Arial" w:hAnsi="Arial"/>
                <w:b/>
                <w:bCs/>
                <w:color w:val="8B0000"/>
                <w:sz w:val="17"/>
                <w:szCs w:val="17"/>
              </w:rPr>
              <w:t xml:space="preserve">MARKET PULSE  |  </w:t>
            </w:r>
            <w:r>
              <w:rPr>
                <w:rFonts w:ascii="Arial" w:cs="Arial" w:eastAsia="Arial" w:hAnsi="Arial"/>
                <w:color w:val="888888"/>
                <w:spacing w:val="20"/>
                <w:sz w:val="17"/>
                <w:szCs w:val="17"/>
              </w:rPr>
              <w:t xml:space="preserve">PERTUMBUHAN EKONOMI</w:t>
            </w:r>
          </w:p>
        </w:tc>
      </w:tr>
    </w:tbl>
    <w:p>
      <w:pPr>
        <w:spacing w:after="60" w:before="80"/>
      </w:pPr>
      <w:r>
        <w:t xml:space="preserve"/>
      </w:r>
    </w:p>
    <w:p>
      <w:pPr>
        <w:spacing w:after="60" w:before="0"/>
      </w:pPr>
      <w:r>
        <w:rPr>
          <w:rFonts w:ascii="Arial" w:cs="Arial" w:eastAsia="Arial" w:hAnsi="Arial"/>
          <w:b/>
          <w:bCs/>
          <w:color w:val="8B0000"/>
          <w:spacing w:val="50"/>
          <w:sz w:val="17"/>
          <w:szCs w:val="17"/>
        </w:rPr>
        <w:t xml:space="preserve">INDIKATOR 6 — PDB &amp; PROYEKSI PERTUMBUHAN 2025–2026</w:t>
      </w:r>
    </w:p>
    <w:p>
      <w:pPr>
        <w:spacing w:after="100" w:before="80"/>
      </w:pPr>
      <w:r>
        <w:rPr>
          <w:rFonts w:ascii="Arial" w:cs="Arial" w:eastAsia="Arial" w:hAnsi="Arial"/>
          <w:b/>
          <w:bCs/>
          <w:color w:val="1E1E1E"/>
          <w:sz w:val="34"/>
          <w:szCs w:val="34"/>
        </w:rPr>
        <w:t xml:space="preserve">PDB 2025 Tumbuh 5,11% — tapi Bank Dunia Pangkas Proyeksi 2026 ke 4,7% karena Perang Hormuz</w:t>
      </w:r>
    </w:p>
    <w:p>
      <w:pPr>
        <w:spacing w:after="100" w:before="60"/>
        <w:jc w:val="both"/>
      </w:pPr>
      <w:r>
        <w:rPr>
          <w:rFonts w:ascii="Arial" w:cs="Arial" w:eastAsia="Arial" w:hAnsi="Arial"/>
          <w:color w:val="1E1E1E"/>
          <w:sz w:val="22"/>
          <w:szCs w:val="22"/>
        </w:rPr>
        <w:t xml:space="preserve">5 Februari 2026, BPS merilis: ekonomi Indonesia sepanjang 2025 tumbuh 5,11%. Angka ini berada di bawah target APBN 5,2%, tapi tetap merupakan pertumbuhan tahunan terkuat dalam tiga tahun — bahkan di tengah bencana alam yang menghantam tiga provinsi. Kuartal IV 2025 khususnya mencatat pertumbuhan 5,39% — tertinggi sejak pandemi Covid-19. Ini adalah fondasi yang relatif kuat.</w:t>
      </w:r>
    </w:p>
    <w:p>
      <w:pPr>
        <w:spacing w:after="100" w:before="60"/>
        <w:jc w:val="both"/>
      </w:pPr>
      <w:r>
        <w:rPr>
          <w:rFonts w:ascii="Arial" w:cs="Arial" w:eastAsia="Arial" w:hAnsi="Arial"/>
          <w:color w:val="1E1E1E"/>
          <w:sz w:val="22"/>
          <w:szCs w:val="22"/>
        </w:rPr>
        <w:t xml:space="preserve">Tapi kemudian perang Hormuz mengubah proyeksi ke depan. Pada 8 April 2026, Bank Dunia merilis East Asia and Pacific Economic Update yang memangkas proyeksi pertumbuhan Indonesia 2026 menjadi 4,7% — turun dari proyeksi sebelumnya 4,8-5,0%. Alasannya: hambatan dari kenaikan harga minyak dan sentimen penghindaran risiko (capital outflow). Ini jauh di bawah target pemerintah 5,4%.</w:t>
      </w:r>
    </w:p>
    <w:p>
      <w:pPr>
        <w:spacing w:after="80" w:before="160"/>
      </w:pPr>
      <w:r>
        <w:rPr>
          <w:rFonts w:ascii="Arial" w:cs="Arial" w:eastAsia="Arial" w:hAnsi="Arial"/>
          <w:b/>
          <w:bCs/>
          <w:color w:val="2C5282"/>
          <w:sz w:val="24"/>
          <w:szCs w:val="24"/>
        </w:rPr>
        <w:t xml:space="preserve">Purbaya Menolak: Proyeksi Bank Dunia Terlalu Pesimis</w:t>
      </w:r>
    </w:p>
    <w:p>
      <w:pPr>
        <w:spacing w:after="100" w:before="60"/>
        <w:jc w:val="both"/>
      </w:pPr>
      <w:r>
        <w:rPr>
          <w:rFonts w:ascii="Arial" w:cs="Arial" w:eastAsia="Arial" w:hAnsi="Arial"/>
          <w:color w:val="1E1E1E"/>
          <w:sz w:val="22"/>
          <w:szCs w:val="22"/>
        </w:rPr>
        <w:t xml:space="preserve">Menteri Keuangan Purbaya Yudhi Sadewa langsung merespons: Bank Dunia keliru. Menurutnya, pertumbuhan ekonomi Indonesia di Q1 2026 saja diperkirakan tumbuh sekitar 5,5-5,6% — jauh di atas proyeksi Bank Dunia secara tahunan. Purbaya menilai Bank Dunia tidak memperhitungkan langkah-langkah dukungan kebijakan yang sudah disiapkan pemerintah. Proyeksi Bank Dunia mengasumsikan harga minyak tinggi bersifat permanen, sementara pemerintah menilai itu sementara.</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"Pertumbuhan ekonomi Indonesia diproyeksikan melambat menjadi 4,7 persen karena hambatan dari kenaikan harga minyak dan sentimen penghindaran risiko."</w:t>
            </w:r>
          </w:p>
          <w:p>
            <w:pPr>
              <w:spacing w:after="0" w:before="0"/>
            </w:pPr>
            <w:r>
              <w:rPr>
                <w:rFonts w:ascii="Arial" w:cs="Arial" w:eastAsia="Arial" w:hAnsi="Arial"/>
                <w:i/>
                <w:iCs/>
                <w:color w:val="888888"/>
                <w:sz w:val="19"/>
                <w:szCs w:val="19"/>
              </w:rPr>
              <w:t xml:space="preserve">— East Asia and Pacific Economic Update, Bank Dunia, 8 April 2026</w:t>
            </w:r>
          </w:p>
        </w:tc>
      </w:tr>
    </w:tbl>
    <w:p>
      <w:pPr>
        <w:spacing w:after="100" w:before="60"/>
        <w:jc w:val="both"/>
      </w:pPr>
      <w:r>
        <w:rPr>
          <w:rFonts w:ascii="Arial" w:cs="Arial" w:eastAsia="Arial" w:hAnsi="Arial"/>
          <w:color w:val="1E1E1E"/>
          <w:sz w:val="22"/>
          <w:szCs w:val="22"/>
        </w:rPr>
        <w:t xml:space="preserve">Di antara dua posisi ini, realitasnya tergantung pada satu variabel kunci: seberapa lama krisis Hormuz berlanjut. Jika gencatan senjata bertahan dan jalur energi pulih penuh dalam beberapa minggu ke depan, dampak perang terhadap pertumbuhan Indonesia mungkin lebih kecil dari yang dikhawatirkan Bank Dunia. Jika perang berlanjut hingga Juli atau lebih lama, seperti proyeksi sebagian analis, maka 4,7% bukan hanya mungkin — tapi bisa lebih rendah dari itu.</w:t>
      </w:r>
    </w:p>
    <w:p>
      <w:pPr>
        <w:spacing w:after="100" w:before="60"/>
        <w:jc w:val="both"/>
      </w:pPr>
      <w:r>
        <w:rPr>
          <w:rFonts w:ascii="Arial" w:cs="Arial" w:eastAsia="Arial" w:hAnsi="Arial"/>
          <w:color w:val="1E1E1E"/>
          <w:sz w:val="22"/>
          <w:szCs w:val="22"/>
        </w:rPr>
        <w:t xml:space="preserve">Secara regional, Asia Timur dan Pasifik secara keseluruhan juga diproyeksikan melambat: dari 5% pada 2025 menjadi 4,2% pada 2026. Tiongkok diperkirakan tumbuh 4,2%. Indonesia dengan 4,7% sebenarnya masih di atas rata-rata kawasan — tapi jauh dari target ambisius 5,4% pemerintah.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4F10" w:sz="2"/>
              <w:left w:val="single" w:color="7B4F10" w:sz="2"/>
              <w:bottom w:val="single" w:color="7B4F10" w:sz="2"/>
              <w:right w:val="single" w:color="7B4F10" w:sz="2"/>
            </w:tcBorders>
            <w:shd w:fill="FEF9E7" w:val="clear"/>
            <w:tcMar>
              <w:top w:type="dxa" w:w="140"/>
              <w:left w:type="dxa" w:w="200"/>
              <w:bottom w:type="dxa" w:w="140"/>
              <w:right w:type="dxa" w:w="200"/>
            </w:tcMar>
          </w:tcPr>
          <w:p>
            <w:pPr>
              <w:spacing w:after="80" w:before="0"/>
            </w:pPr>
            <w:r>
              <w:rPr>
                <w:rFonts w:ascii="Arial" w:cs="Arial" w:eastAsia="Arial" w:hAnsi="Arial"/>
                <w:b/>
                <w:bCs/>
                <w:color w:val="7B4F10"/>
                <w:spacing w:val="30"/>
                <w:sz w:val="19"/>
                <w:szCs w:val="19"/>
              </w:rPr>
              <w:t xml:space="preserve">DATA PDB &amp; PROYEKSI PERTUMBUHAN 2025–2026</w:t>
            </w:r>
          </w:p>
          <w:p>
            <w:pPr>
              <w:pStyle w:val="ListParagraph"/>
              <w:numPr>
                <w:ilvl w:val="0"/>
                <w:numId w:val="2"/>
              </w:numPr>
              <w:spacing w:after="40" w:before="40"/>
            </w:pPr>
            <w:r>
              <w:rPr>
                <w:rFonts w:ascii="Arial" w:cs="Arial" w:eastAsia="Arial" w:hAnsi="Arial"/>
                <w:color w:val="1E1E1E"/>
                <w:sz w:val="21"/>
                <w:szCs w:val="21"/>
              </w:rPr>
              <w:t xml:space="preserve">PDB 2025 aktual (BPS 5 Feb 2026): tumbuh 5,11% — di bawah target 5,2% tapi terkuat 3 tahun</w:t>
            </w:r>
          </w:p>
          <w:p>
            <w:pPr>
              <w:pStyle w:val="ListParagraph"/>
              <w:numPr>
                <w:ilvl w:val="0"/>
                <w:numId w:val="2"/>
              </w:numPr>
              <w:spacing w:after="40" w:before="40"/>
            </w:pPr>
            <w:r>
              <w:rPr>
                <w:rFonts w:ascii="Arial" w:cs="Arial" w:eastAsia="Arial" w:hAnsi="Arial"/>
                <w:color w:val="1E1E1E"/>
                <w:sz w:val="21"/>
                <w:szCs w:val="21"/>
              </w:rPr>
              <w:t xml:space="preserve">Q4 2025: tumbuh 5,39% YoY — tertinggi sejak pandemi Covid-19</w:t>
            </w:r>
          </w:p>
          <w:p>
            <w:pPr>
              <w:pStyle w:val="ListParagraph"/>
              <w:numPr>
                <w:ilvl w:val="0"/>
                <w:numId w:val="2"/>
              </w:numPr>
              <w:spacing w:after="40" w:before="40"/>
            </w:pPr>
            <w:r>
              <w:rPr>
                <w:rFonts w:ascii="Arial" w:cs="Arial" w:eastAsia="Arial" w:hAnsi="Arial"/>
                <w:color w:val="1E1E1E"/>
                <w:sz w:val="21"/>
                <w:szCs w:val="21"/>
              </w:rPr>
              <w:t xml:space="preserve">Nilai PDB 2025 pada harga berlaku: Rp23.821,1 triliun</w:t>
            </w:r>
          </w:p>
          <w:p>
            <w:pPr>
              <w:pStyle w:val="ListParagraph"/>
              <w:numPr>
                <w:ilvl w:val="0"/>
                <w:numId w:val="2"/>
              </w:numPr>
              <w:spacing w:after="40" w:before="40"/>
            </w:pPr>
            <w:r>
              <w:rPr>
                <w:rFonts w:ascii="Arial" w:cs="Arial" w:eastAsia="Arial" w:hAnsi="Arial"/>
                <w:color w:val="1E1E1E"/>
                <w:sz w:val="21"/>
                <w:szCs w:val="21"/>
              </w:rPr>
              <w:t xml:space="preserve">Proyeksi Bank Dunia 2026 (update 8 April): 4,7% — revisi turun dari 4,8-5,0%</w:t>
            </w:r>
          </w:p>
          <w:p>
            <w:pPr>
              <w:pStyle w:val="ListParagraph"/>
              <w:numPr>
                <w:ilvl w:val="0"/>
                <w:numId w:val="2"/>
              </w:numPr>
              <w:spacing w:after="40" w:before="40"/>
            </w:pPr>
            <w:r>
              <w:rPr>
                <w:rFonts w:ascii="Arial" w:cs="Arial" w:eastAsia="Arial" w:hAnsi="Arial"/>
                <w:color w:val="1E1E1E"/>
                <w:sz w:val="21"/>
                <w:szCs w:val="21"/>
              </w:rPr>
              <w:t xml:space="preserve">Alasan revisi: kenaikan harga minyak + capital outflow akibat perang Hormuz</w:t>
            </w:r>
          </w:p>
          <w:p>
            <w:pPr>
              <w:pStyle w:val="ListParagraph"/>
              <w:numPr>
                <w:ilvl w:val="0"/>
                <w:numId w:val="2"/>
              </w:numPr>
              <w:spacing w:after="40" w:before="40"/>
            </w:pPr>
            <w:r>
              <w:rPr>
                <w:rFonts w:ascii="Arial" w:cs="Arial" w:eastAsia="Arial" w:hAnsi="Arial"/>
                <w:color w:val="1E1E1E"/>
                <w:sz w:val="21"/>
                <w:szCs w:val="21"/>
              </w:rPr>
              <w:t xml:space="preserve">Target pemerintah 2026: 5,4% — kini tampak sulit dicapai tanpa pemulihan Hormuz cepat</w:t>
            </w:r>
          </w:p>
          <w:p>
            <w:pPr>
              <w:pStyle w:val="ListParagraph"/>
              <w:numPr>
                <w:ilvl w:val="0"/>
                <w:numId w:val="2"/>
              </w:numPr>
              <w:spacing w:after="40" w:before="40"/>
            </w:pPr>
            <w:r>
              <w:rPr>
                <w:rFonts w:ascii="Arial" w:cs="Arial" w:eastAsia="Arial" w:hAnsi="Arial"/>
                <w:color w:val="1E1E1E"/>
                <w:sz w:val="21"/>
                <w:szCs w:val="21"/>
              </w:rPr>
              <w:t xml:space="preserve">Respons Menkeu Purbaya: Bank Dunia keliru — Q1 2026 diperkirakan 5,5-5,6%</w:t>
            </w:r>
          </w:p>
          <w:p>
            <w:pPr>
              <w:pStyle w:val="ListParagraph"/>
              <w:numPr>
                <w:ilvl w:val="0"/>
                <w:numId w:val="2"/>
              </w:numPr>
              <w:spacing w:after="40" w:before="40"/>
            </w:pPr>
            <w:r>
              <w:rPr>
                <w:rFonts w:ascii="Arial" w:cs="Arial" w:eastAsia="Arial" w:hAnsi="Arial"/>
                <w:color w:val="1E1E1E"/>
                <w:sz w:val="21"/>
                <w:szCs w:val="21"/>
              </w:rPr>
              <w:t xml:space="preserve">Proyeksi Asia Timur-Pasifik 2026: melambat ke 4,2% (Tiongkok 4,2%)</w:t>
            </w:r>
          </w:p>
          <w:p>
            <w:pPr>
              <w:pStyle w:val="ListParagraph"/>
              <w:numPr>
                <w:ilvl w:val="0"/>
                <w:numId w:val="2"/>
              </w:numPr>
              <w:spacing w:after="40" w:before="40"/>
            </w:pPr>
            <w:r>
              <w:rPr>
                <w:rFonts w:ascii="Arial" w:cs="Arial" w:eastAsia="Arial" w:hAnsi="Arial"/>
                <w:color w:val="1E1E1E"/>
                <w:sz w:val="21"/>
                <w:szCs w:val="21"/>
              </w:rPr>
              <w:t xml:space="preserve">Kunci: durasi krisis Hormuz menentukan apakah 4,7% atau lebih rendah yang terealisasi</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5,11% KEMARIN, 4,7% MUNGKIN BESOK — PERANG MENENTUKAN</w:t>
            </w:r>
          </w:p>
          <w:p>
            <w:pPr>
              <w:spacing w:after="0" w:before="0"/>
              <w:jc w:val="both"/>
            </w:pPr>
            <w:r>
              <w:rPr>
                <w:rFonts w:ascii="Arial" w:cs="Arial" w:eastAsia="Arial" w:hAnsi="Arial"/>
                <w:i/>
                <w:iCs/>
                <w:color w:val="1E1E1E"/>
                <w:sz w:val="21"/>
                <w:szCs w:val="21"/>
              </w:rPr>
              <w:t xml:space="preserve">5,11% di 2025 adalah angka yang baik — tapi angka itu dicapai sebelum perang Hormuz. Proyeksi 2026 yang dipangkas ke 4,7% oleh Bank Dunia mencerminkan dampak nyata dari gangguan energi global terhadap negara net importer minyak seperti Indonesia. Purbaya benar bahwa Bank Dunia mungkin terlalu pesimis dalam jangka pendek — tapi Bank Dunia juga benar bahwa jika perang berlanjut, downside risk itu nyata. Yang menjadi pertaruhan adalah bukan hanya angka pertumbuhan, tapi komposisinya: pertumbuhan yang rendah dengan inflasi tinggi (stagflation risk) jauh lebih berbahaya dari pertumbuhan rendah dengan inflasi rendah. Dan risiko stagflasi itulah yang saat ini paling perlu diantisipasi.</w:t>
            </w:r>
          </w:p>
        </w:tc>
      </w:tr>
    </w:tbl>
    <w:p>
      <w:pPr>
        <w:spacing w:after="80" w:before="8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6 dari 6  |  Market Pulse — Senopati Strategic Intelligence  |  12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10080"/>
      </w:tabs>
      <w:spacing w:after="0" w:before="80"/>
    </w:pPr>
    <w:r>
      <w:rPr>
        <w:rFonts w:ascii="Arial" w:cs="Arial" w:eastAsia="Arial" w:hAnsi="Arial"/>
        <w:color w:val="888888"/>
        <w:sz w:val="16"/>
        <w:szCs w:val="16"/>
      </w:rPr>
      <w:t xml:space="preserve">SENOPATI STRATEGIC INTELLIGENCE — UNTUK KALANGAN TERBATAS  </w:t>
    </w:r>
    <w:r>
      <w:rPr>
        <w:rFonts w:ascii="Arial" w:cs="Arial" w:eastAsia="Arial" w:hAnsi="Arial"/>
        <w:sz w:val="16"/>
        <w:szCs w:val="16"/>
      </w:rPr>
      <w:t xml:space="preserve">	</w:t>
    </w:r>
    <w:r>
      <w:rPr>
        <w:rFonts w:ascii="Arial" w:cs="Arial" w:eastAsia="Arial" w:hAnsi="Arial"/>
        <w:color w:val="888888"/>
        <w:sz w:val="16"/>
        <w:szCs w:val="16"/>
      </w:rPr>
      <w:t xml:space="preserve">Confidential — Distribusi Terbatas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1"/>
      </w:pBdr>
      <w:tabs>
        <w:tab w:val="right" w:pos="10080"/>
      </w:tabs>
      <w:spacing w:after="100" w:before="0"/>
    </w:pPr>
    <w:r>
      <w:rPr>
        <w:rFonts w:ascii="Arial" w:cs="Arial" w:eastAsia="Arial" w:hAnsi="Arial"/>
        <w:b/>
        <w:bCs/>
        <w:color w:val="8B0000"/>
        <w:sz w:val="17"/>
        <w:szCs w:val="17"/>
      </w:rPr>
      <w:t xml:space="preserve">MARKET PULSE — EKONOMI BISNIS WATCH </w:t>
    </w:r>
    <w:r>
      <w:rPr>
        <w:rFonts w:ascii="Arial" w:cs="Arial" w:eastAsia="Arial" w:hAnsi="Arial"/>
        <w:sz w:val="17"/>
        <w:szCs w:val="17"/>
      </w:rPr>
      <w:t xml:space="preserve">	</w:t>
    </w:r>
    <w:r>
      <w:rPr>
        <w:rFonts w:ascii="Arial" w:cs="Arial" w:eastAsia="Arial" w:hAnsi="Arial"/>
        <w:color w:val="888888"/>
        <w:sz w:val="17"/>
        <w:szCs w:val="17"/>
      </w:rPr>
      <w:t xml:space="preserve">MINGGU KEDUA APRIL 2026  |  SENOPATI STRATEGIC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E1E1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2026-04-13T03:56:22.527Z</dcterms:created>
  <dcterms:modified xsi:type="dcterms:W3CDTF">2026-04-13T03:56:22.528Z</dcterms:modified>
</cp:coreProperties>
</file>

<file path=docProps/custom.xml><?xml version="1.0" encoding="utf-8"?>
<Properties xmlns="http://schemas.openxmlformats.org/officeDocument/2006/custom-properties" xmlns:vt="http://schemas.openxmlformats.org/officeDocument/2006/docPropsVTypes"/>
</file>