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pPr>
      <w:r>
        <w:t xml:space="preserve"/>
      </w:r>
    </w:p>
    <w:p>
      <w:pPr>
        <w:spacing w:after="60" w:before="0"/>
        <w:jc w:val="center"/>
      </w:pPr>
      <w:r>
        <w:rPr>
          <w:rFonts w:ascii="Arial" w:cs="Arial" w:eastAsia="Arial" w:hAnsi="Arial"/>
          <w:b/>
          <w:bCs/>
          <w:color w:val="4A1060"/>
          <w:spacing w:val="60"/>
          <w:sz w:val="52"/>
          <w:szCs w:val="52"/>
        </w:rPr>
        <w:t xml:space="preserve">HUKUM &amp; HAM WATCH</w:t>
      </w:r>
    </w:p>
    <w:p>
      <w:pPr>
        <w:spacing w:after="40" w:before="0"/>
        <w:jc w:val="center"/>
      </w:pPr>
      <w:r>
        <w:rPr>
          <w:rFonts w:ascii="Arial" w:cs="Arial" w:eastAsia="Arial" w:hAnsi="Arial"/>
          <w:color w:val="4A4A4A"/>
          <w:spacing w:val="50"/>
          <w:sz w:val="23"/>
          <w:szCs w:val="23"/>
        </w:rPr>
        <w:t xml:space="preserve">LAPORAN INTELIJEN HUKUM &amp; HAM — EDISI KHUSUS</w:t>
      </w:r>
    </w:p>
    <w:p>
      <w:pPr>
        <w:pBdr>
          <w:bottom w:val="single" w:color="4A1060" w:sz="6" w:space="1"/>
        </w:pBdr>
        <w:spacing w:after="0" w:before="0"/>
      </w:pPr>
      <w:r>
        <w:t xml:space="preserve"/>
      </w:r>
    </w:p>
    <w:p>
      <w:pPr>
        <w:spacing w:after="60" w:before="60"/>
      </w:pPr>
      <w:r>
        <w:t xml:space="preserve"/>
      </w:r>
    </w:p>
    <w:p>
      <w:pPr>
        <w:spacing w:after="40" w:before="0"/>
        <w:jc w:val="center"/>
      </w:pPr>
      <w:r>
        <w:rPr>
          <w:rFonts w:ascii="Arial" w:cs="Arial" w:eastAsia="Arial" w:hAnsi="Arial"/>
          <w:b/>
          <w:bCs/>
          <w:color w:val="1E1E1E"/>
          <w:sz w:val="27"/>
          <w:szCs w:val="27"/>
        </w:rPr>
        <w:t xml:space="preserve">10 ISU HUKUM &amp; HAM PALING KRITIS</w:t>
      </w:r>
    </w:p>
    <w:p>
      <w:pPr>
        <w:spacing w:after="80" w:before="0"/>
        <w:jc w:val="center"/>
      </w:pPr>
      <w:r>
        <w:rPr>
          <w:rFonts w:ascii="Arial" w:cs="Arial" w:eastAsia="Arial" w:hAnsi="Arial"/>
          <w:color w:val="4A4A4A"/>
          <w:sz w:val="20"/>
          <w:szCs w:val="20"/>
        </w:rPr>
        <w:t xml:space="preserve">MINGGU KEDUA APRIL 2026  |  ANALISIS MENDALAM &amp; EDITORIAL TAJAM</w:t>
      </w:r>
    </w:p>
    <w:p>
      <w:pPr>
        <w:spacing w:after="100" w:before="200"/>
      </w:pPr>
      <w:r>
        <w:t xml:space="preserve"/>
      </w:r>
    </w:p>
    <w:p>
      <w:pPr>
        <w:spacing w:after="60" w:before="0"/>
      </w:pPr>
      <w:r>
        <w:rPr>
          <w:rFonts w:ascii="Arial" w:cs="Arial" w:eastAsia="Arial" w:hAnsi="Arial"/>
          <w:b/>
          <w:bCs/>
          <w:color w:val="4A1060"/>
          <w:spacing w:val="50"/>
          <w:sz w:val="17"/>
          <w:szCs w:val="17"/>
        </w:rPr>
        <w:t xml:space="preserve">IKHTISAR &amp; NAVIGASI LAPORAN</w:t>
      </w:r>
    </w:p>
    <w:p>
      <w:pPr>
        <w:pBdr>
          <w:bottom w:val="single" w:color="CCCCCC" w:sz="2" w:space="1"/>
        </w:pBdr>
        <w:spacing w:after="0" w:before="0"/>
      </w:pPr>
      <w:r>
        <w:t xml:space="preserve"/>
      </w:r>
    </w:p>
    <w:p>
      <w:pPr>
        <w:spacing w:after="80" w:before="80"/>
      </w:pPr>
      <w:r>
        <w:t xml:space="preserve"/>
      </w:r>
    </w:p>
    <w:p>
      <w:pPr>
        <w:spacing w:after="120" w:before="0"/>
      </w:pPr>
      <w:r>
        <w:rPr>
          <w:rFonts w:ascii="Arial" w:cs="Arial" w:eastAsia="Arial" w:hAnsi="Arial"/>
          <w:i/>
          <w:iCs/>
          <w:color w:val="4A4A4A"/>
          <w:sz w:val="20"/>
          <w:szCs w:val="20"/>
        </w:rPr>
        <w:t xml:space="preserve">Setiap kartu merangkum inti berita. Laporan detail tersedia di halaman tersendiri per topik.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#1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HAM &amp; MILITER</w:t>
            </w:r>
          </w:p>
          <w:p>
            <w:pPr>
              <w:spacing w:after="80" w:before="0"/>
            </w:pPr>
            <w:r>
              <w:rPr>
                <w:rFonts w:ascii="Arial" w:cs="Arial" w:eastAsia="Arial" w:hAnsi="Arial"/>
                <w:b/>
                <w:bCs/>
                <w:color w:val="1E1E1E"/>
                <w:sz w:val="25"/>
                <w:szCs w:val="25"/>
              </w:rPr>
              <w:t xml:space="preserve">Kasus Andrie Yunus: Peradilan Militer vs Peradilan Umum — Pertarungan untuk Jiwa Supremasi Sipil Indonesia</w:t>
            </w:r>
          </w:p>
          <w:p>
            <w:pPr>
              <w:spacing w:after="0" w:before="0"/>
              <w:jc w:val="both"/>
            </w:pPr>
            <w:r>
              <w:rPr>
                <w:rFonts w:ascii="Arial" w:cs="Arial" w:eastAsia="Arial" w:hAnsi="Arial"/>
                <w:color w:val="4A4A4A"/>
                <w:sz w:val="20"/>
                <w:szCs w:val="20"/>
              </w:rPr>
              <w:t xml:space="preserve">12 Maret: aktivis KontraS Andrie Yunus disiram air keras oleh 4 anggota BAIS TNI. 7 April: berkas dilimpahkan ke Oditurat Militer II-07. Yusril tegaskan tetap di peradilan militer (10 April). Ray Rangkuti, IMPARSIAL, dan korban sendiri menolak — minta peradilan umum. Gibran usul hakim ad hoc. MK 157/PUU-XXIII/2025 masih berjalan.</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#2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ANTIKORUPSI &amp; KPK</w:t>
            </w:r>
          </w:p>
          <w:p>
            <w:pPr>
              <w:spacing w:after="80" w:before="0"/>
            </w:pPr>
            <w:r>
              <w:rPr>
                <w:rFonts w:ascii="Arial" w:cs="Arial" w:eastAsia="Arial" w:hAnsi="Arial"/>
                <w:b/>
                <w:bCs/>
                <w:color w:val="1E1E1E"/>
                <w:sz w:val="25"/>
                <w:szCs w:val="25"/>
              </w:rPr>
              <w:t xml:space="preserve">OTT ke-10 KPK di 2026: Bupati Tulungagung, 18 Orang Ditangkap, Pemerasan Rp5 Miliar dari 16 OPD</w:t>
            </w:r>
          </w:p>
          <w:p>
            <w:pPr>
              <w:spacing w:after="0" w:before="0"/>
              <w:jc w:val="both"/>
            </w:pPr>
            <w:r>
              <w:rPr>
                <w:rFonts w:ascii="Arial" w:cs="Arial" w:eastAsia="Arial" w:hAnsi="Arial"/>
                <w:color w:val="4A4A4A"/>
                <w:sz w:val="20"/>
                <w:szCs w:val="20"/>
              </w:rPr>
              <w:t xml:space="preserve">10 April 2026: KPK lakukan OTT ke-10 tahun ini di Tulungagung, Jawa Timur. Bupati Gatut Sunu Wibowo dan ajudannya ditetapkan tersangka pemerasan. Modus: memaksa 16 Kepala OPD menyetor uang menggunakan ancaman 'surat pernyataan siap mundur.' Total yang sudah terkumpul Rp2,7 miliar dari target Rp5 miliar.</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#3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HAM — KEBEBASAN PERS</w:t>
            </w:r>
          </w:p>
          <w:p>
            <w:pPr>
              <w:spacing w:after="80" w:before="0"/>
            </w:pPr>
            <w:r>
              <w:rPr>
                <w:rFonts w:ascii="Arial" w:cs="Arial" w:eastAsia="Arial" w:hAnsi="Arial"/>
                <w:b/>
                <w:bCs/>
                <w:color w:val="1E1E1E"/>
                <w:sz w:val="25"/>
                <w:szCs w:val="25"/>
              </w:rPr>
              <w:t xml:space="preserve">104 Pembela HAM Diserang dalam 6 Bulan: Polisi Jadi Aktor Terbanyak, Jurnalis dan Masyarakat Adat Paling Banyak Jadi Korban</w:t>
            </w:r>
          </w:p>
          <w:p>
            <w:pPr>
              <w:spacing w:after="0" w:before="0"/>
              <w:jc w:val="both"/>
            </w:pPr>
            <w:r>
              <w:rPr>
                <w:rFonts w:ascii="Arial" w:cs="Arial" w:eastAsia="Arial" w:hAnsi="Arial"/>
                <w:color w:val="4A4A4A"/>
                <w:sz w:val="20"/>
                <w:szCs w:val="20"/>
              </w:rPr>
              <w:t xml:space="preserve">Amnesty International Indonesia mencatat 104 pembela HAM jadi korban serangan dalam 54 kasus di semester I 2025 — 20 kasus melibatkan polisi sebagai aktor. Jurnalis (31 korban) dan masyarakat adat (36 korban) paling banyak terdampak. Tren berlanjut ke 2026 dengan kasus Andrie Yunus sebagai puncak tertinggi.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B1313" w:sz="10"/>
              <w:left w:val="single" w:color="7B1313" w:sz="2"/>
              <w:bottom w:val="single" w:color="7B1313" w:sz="2"/>
              <w:right w:val="single" w:color="7B1313" w:sz="2"/>
            </w:tcBorders>
            <w:shd w:fill="FFF0F0" w:val="clear"/>
            <w:tcMar>
              <w:top w:type="dxa" w:w="140"/>
              <w:left w:type="dxa" w:w="200"/>
              <w:bottom w:type="dxa" w:w="140"/>
              <w:right w:type="dxa" w:w="200"/>
            </w:tcMar>
          </w:tcPr>
          <w:p>
            <w:pPr>
              <w:spacing w:after="40" w:before="0"/>
            </w:pPr>
            <w:r>
              <w:rPr>
                <w:rFonts w:ascii="Arial" w:cs="Arial" w:eastAsia="Arial" w:hAnsi="Arial"/>
                <w:b/>
                <w:bCs/>
                <w:color w:val="7B1313"/>
                <w:sz w:val="19"/>
                <w:szCs w:val="19"/>
              </w:rPr>
              <w:t xml:space="preserve">#4  </w:t>
            </w:r>
            <w:r>
              <w:rPr>
                <w:rFonts w:ascii="Arial" w:cs="Arial" w:eastAsia="Arial" w:hAnsi="Arial"/>
                <w:b/>
                <w:bCs/>
                <w:color w:val="7B1313"/>
                <w:sz w:val="17"/>
                <w:szCs w:val="17"/>
              </w:rPr>
              <w:t xml:space="preserve">[KRITIS]  </w:t>
            </w:r>
            <w:r>
              <w:rPr>
                <w:rFonts w:ascii="Arial" w:cs="Arial" w:eastAsia="Arial" w:hAnsi="Arial"/>
                <w:color w:val="888888"/>
                <w:spacing w:val="30"/>
                <w:sz w:val="17"/>
                <w:szCs w:val="17"/>
              </w:rPr>
              <w:t xml:space="preserve">KORUPSI &amp; PERADILAN</w:t>
            </w:r>
          </w:p>
          <w:p>
            <w:pPr>
              <w:spacing w:after="80" w:before="0"/>
            </w:pPr>
            <w:r>
              <w:rPr>
                <w:rFonts w:ascii="Arial" w:cs="Arial" w:eastAsia="Arial" w:hAnsi="Arial"/>
                <w:b/>
                <w:bCs/>
                <w:color w:val="1E1E1E"/>
                <w:sz w:val="25"/>
                <w:szCs w:val="25"/>
              </w:rPr>
              <w:t xml:space="preserve">OTT PN Depok: Ketua dan Wakil Ketua Pengadilan Jadi Tersangka — Korupsi Sudah Masuk ke Dalam Lembaga Peradilan</w:t>
            </w:r>
          </w:p>
          <w:p>
            <w:pPr>
              <w:spacing w:after="0" w:before="0"/>
              <w:jc w:val="both"/>
            </w:pPr>
            <w:r>
              <w:rPr>
                <w:rFonts w:ascii="Arial" w:cs="Arial" w:eastAsia="Arial" w:hAnsi="Arial"/>
                <w:color w:val="4A4A4A"/>
                <w:sz w:val="20"/>
                <w:szCs w:val="20"/>
              </w:rPr>
              <w:t xml:space="preserve">5 Februari 2026: KPK menangkap Ketua dan Wakil Ketua Pengadilan Negeri Depok dalam kasus dugaan korupsi pengurusan sengketa lahan 6.500 m². Ini bukan sekadar korupsi biasa — ini korupsi di dalam institusi yang seharusnya menjaga keadilan. Dampaknya terhadap kepercayaan publik pada peradilan sangat dalam.</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#5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HAM — PAPUA</w:t>
            </w:r>
          </w:p>
          <w:p>
            <w:pPr>
              <w:spacing w:after="80" w:before="0"/>
            </w:pPr>
            <w:r>
              <w:rPr>
                <w:rFonts w:ascii="Arial" w:cs="Arial" w:eastAsia="Arial" w:hAnsi="Arial"/>
                <w:b/>
                <w:bCs/>
                <w:color w:val="1E1E1E"/>
                <w:sz w:val="25"/>
                <w:szCs w:val="25"/>
              </w:rPr>
              <w:t xml:space="preserve">Papua: Konflik Bersenjata, Dua Anak Ditembak, dan Pola Pelanggaran HAM yang Belum Pernah Diputus</w:t>
            </w:r>
          </w:p>
          <w:p>
            <w:pPr>
              <w:spacing w:after="0" w:before="0"/>
              <w:jc w:val="both"/>
            </w:pPr>
            <w:r>
              <w:rPr>
                <w:rFonts w:ascii="Arial" w:cs="Arial" w:eastAsia="Arial" w:hAnsi="Arial"/>
                <w:color w:val="4A4A4A"/>
                <w:sz w:val="20"/>
                <w:szCs w:val="20"/>
              </w:rPr>
              <w:t xml:space="preserve">Konflik bersenjata di Papua terus memakan korban sipil — termasuk anak-anak. Amnesty mencatat dua anak ditembak dalam bentrokan aparat vs OPM di Intan Jaya 2024. Enam warga Papua dari Kwiyawagi disiksa aparat 2023, satu tewas. Pola kekerasan, penyiksaan tahanan, dan pembunuhan di luar hukum terus berulang tanpa akuntabilitas nyata.</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#6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HAM &amp; PROYEK STRATEGIS</w:t>
            </w:r>
          </w:p>
          <w:p>
            <w:pPr>
              <w:spacing w:after="80" w:before="0"/>
            </w:pPr>
            <w:r>
              <w:rPr>
                <w:rFonts w:ascii="Arial" w:cs="Arial" w:eastAsia="Arial" w:hAnsi="Arial"/>
                <w:b/>
                <w:bCs/>
                <w:color w:val="1E1E1E"/>
                <w:sz w:val="25"/>
                <w:szCs w:val="25"/>
              </w:rPr>
              <w:t xml:space="preserve">PSN vs Hak Warga: 80 Laporan Konflik Agraria, 300 Perempuan Nelayan Kehilangan Nafkah di Makassar New Port</w:t>
            </w:r>
          </w:p>
          <w:p>
            <w:pPr>
              <w:spacing w:after="0" w:before="0"/>
              <w:jc w:val="both"/>
            </w:pPr>
            <w:r>
              <w:rPr>
                <w:rFonts w:ascii="Arial" w:cs="Arial" w:eastAsia="Arial" w:hAnsi="Arial"/>
                <w:color w:val="4A4A4A"/>
                <w:sz w:val="20"/>
                <w:szCs w:val="20"/>
              </w:rPr>
              <w:t xml:space="preserve">Komnas HAM dan Komnas Perempuan memberikan keterangan ahli di MK dalam Perkara 112/PUU-XXIII/2025: UU Cipta Kerja soal PSN dinilai menggerus prinsip negara hukum dan HAM. 80 laporan konflik agraria terkait PSN 2020-2024. Makassar New Port: 300 perempuan nelayan kehilangan nafkah, disusul lonjakan KDRT.</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B5E1A" w:sz="10"/>
              <w:left w:val="single" w:color="8B5E1A" w:sz="2"/>
              <w:bottom w:val="single" w:color="8B5E1A" w:sz="2"/>
              <w:right w:val="single" w:color="8B5E1A" w:sz="2"/>
            </w:tcBorders>
            <w:shd w:fill="FFFBF0" w:val="clear"/>
            <w:tcMar>
              <w:top w:type="dxa" w:w="140"/>
              <w:left w:type="dxa" w:w="200"/>
              <w:bottom w:type="dxa" w:w="140"/>
              <w:right w:type="dxa" w:w="200"/>
            </w:tcMar>
          </w:tcPr>
          <w:p>
            <w:pPr>
              <w:spacing w:after="40" w:before="0"/>
            </w:pPr>
            <w:r>
              <w:rPr>
                <w:rFonts w:ascii="Arial" w:cs="Arial" w:eastAsia="Arial" w:hAnsi="Arial"/>
                <w:b/>
                <w:bCs/>
                <w:color w:val="8B5E1A"/>
                <w:sz w:val="19"/>
                <w:szCs w:val="19"/>
              </w:rPr>
              <w:t xml:space="preserve">#7  </w:t>
            </w:r>
            <w:r>
              <w:rPr>
                <w:rFonts w:ascii="Arial" w:cs="Arial" w:eastAsia="Arial" w:hAnsi="Arial"/>
                <w:b/>
                <w:bCs/>
                <w:color w:val="8B5E1A"/>
                <w:sz w:val="17"/>
                <w:szCs w:val="17"/>
              </w:rPr>
              <w:t xml:space="preserve">[TINGGI]  </w:t>
            </w:r>
            <w:r>
              <w:rPr>
                <w:rFonts w:ascii="Arial" w:cs="Arial" w:eastAsia="Arial" w:hAnsi="Arial"/>
                <w:color w:val="888888"/>
                <w:spacing w:val="30"/>
                <w:sz w:val="17"/>
                <w:szCs w:val="17"/>
              </w:rPr>
              <w:t xml:space="preserve">HUKUM — KUHAP BARU</w:t>
            </w:r>
          </w:p>
          <w:p>
            <w:pPr>
              <w:spacing w:after="80" w:before="0"/>
            </w:pPr>
            <w:r>
              <w:rPr>
                <w:rFonts w:ascii="Arial" w:cs="Arial" w:eastAsia="Arial" w:hAnsi="Arial"/>
                <w:b/>
                <w:bCs/>
                <w:color w:val="1E1E1E"/>
                <w:sz w:val="25"/>
                <w:szCs w:val="25"/>
              </w:rPr>
              <w:t xml:space="preserve">KUHAP Baru Berlaku 2026: Pasal UU ITE Masih Bermasalah, Kepastian Hukum Belum Ada</w:t>
            </w:r>
          </w:p>
          <w:p>
            <w:pPr>
              <w:spacing w:after="0" w:before="0"/>
              <w:jc w:val="both"/>
            </w:pPr>
            <w:r>
              <w:rPr>
                <w:rFonts w:ascii="Arial" w:cs="Arial" w:eastAsia="Arial" w:hAnsi="Arial"/>
                <w:color w:val="4A4A4A"/>
                <w:sz w:val="20"/>
                <w:szCs w:val="20"/>
              </w:rPr>
              <w:t xml:space="preserve">UU KUHP baru mulai berlaku 2026 sebagai hukum pidana umum (lex generalis) bersama UU ITE yang tetap berlaku sebagai lex specialis. Tapi Komnas HAM mencatat: belum ada kepastian tentang berlakunya SKB Implementasi UU ITE pasca-KUHP baru. Pasal 27A dan 27B UU ITE masih dinilai mengancam kebebasan berekspresi.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#8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HAM — HAK PEREMPUAN</w:t>
            </w:r>
          </w:p>
          <w:p>
            <w:pPr>
              <w:spacing w:after="80" w:before="0"/>
            </w:pPr>
            <w:r>
              <w:rPr>
                <w:rFonts w:ascii="Arial" w:cs="Arial" w:eastAsia="Arial" w:hAnsi="Arial"/>
                <w:b/>
                <w:bCs/>
                <w:color w:val="1E1E1E"/>
                <w:sz w:val="25"/>
                <w:szCs w:val="25"/>
              </w:rPr>
              <w:t xml:space="preserve">Pemerkosaan Remaja di Jambi oleh Dua Polisi Aktif: Korban Trauma Berat, Impian Jadi Polwan Hancur</w:t>
            </w:r>
          </w:p>
          <w:p>
            <w:pPr>
              <w:spacing w:after="0" w:before="0"/>
              <w:jc w:val="both"/>
            </w:pPr>
            <w:r>
              <w:rPr>
                <w:rFonts w:ascii="Arial" w:cs="Arial" w:eastAsia="Arial" w:hAnsi="Arial"/>
                <w:color w:val="4A4A4A"/>
                <w:sz w:val="20"/>
                <w:szCs w:val="20"/>
              </w:rPr>
              <w:t xml:space="preserve">November 2025, seorang remaja (18) menjadi korban pemerkosaan oleh empat orang termasuk dua polisi aktif Bripda NIR dan Bripda SR di Jambi. Kasus baru meledak ke publik Februari 2026 saat sidang etik. Korban trauma berat, sempat mencoba bunuh diri. Keduanya dipecat melalui PTDH. Tapi keadilan untuk korban masih jauh.</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#9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HAM — LINGKUNGAN &amp; MASYARAKAT ADAT</w:t>
            </w:r>
          </w:p>
          <w:p>
            <w:pPr>
              <w:spacing w:after="80" w:before="0"/>
            </w:pPr>
            <w:r>
              <w:rPr>
                <w:rFonts w:ascii="Arial" w:cs="Arial" w:eastAsia="Arial" w:hAnsi="Arial"/>
                <w:b/>
                <w:bCs/>
                <w:color w:val="1E1E1E"/>
                <w:sz w:val="25"/>
                <w:szCs w:val="25"/>
              </w:rPr>
              <w:t xml:space="preserve">Masyarakat Adat Kriminalisasi &amp; Aktivis Lingkungan Dibungkam: Pola Represi Ekologis yang Menguat</w:t>
            </w:r>
          </w:p>
          <w:p>
            <w:pPr>
              <w:spacing w:after="0" w:before="0"/>
              <w:jc w:val="both"/>
            </w:pPr>
            <w:r>
              <w:rPr>
                <w:rFonts w:ascii="Arial" w:cs="Arial" w:eastAsia="Arial" w:hAnsi="Arial"/>
                <w:color w:val="4A4A4A"/>
                <w:sz w:val="20"/>
                <w:szCs w:val="20"/>
              </w:rPr>
              <w:t xml:space="preserve">Amnesty mencatat: serangan terhadap masyarakat adat dan aktivis lingkungan adalah kategori terbesar kedua setelah jurnalis dalam laporan semester I 2025. Aktivis lingkungan Daniel Frits divonis 7 bulan karena mengkritik tambak udang di Karimunjawa via Facebook. Ketua Adat Kalimantan Barat ditangkap karena kritik deforestasi.</w:t>
            </w:r>
          </w:p>
        </w:tc>
      </w:tr>
    </w:tbl>
    <w:p>
      <w:pPr>
        <w:spacing w:after="60" w:before="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2C5282" w:sz="10"/>
              <w:left w:val="single" w:color="2C5282" w:sz="2"/>
              <w:bottom w:val="single" w:color="2C5282" w:sz="2"/>
              <w:right w:val="single" w:color="2C5282" w:sz="2"/>
            </w:tcBorders>
            <w:shd w:fill="F0F5FF" w:val="clear"/>
            <w:tcMar>
              <w:top w:type="dxa" w:w="140"/>
              <w:left w:type="dxa" w:w="200"/>
              <w:bottom w:type="dxa" w:w="140"/>
              <w:right w:type="dxa" w:w="200"/>
            </w:tcMar>
          </w:tcPr>
          <w:p>
            <w:pPr>
              <w:spacing w:after="40" w:before="0"/>
            </w:pPr>
            <w:r>
              <w:rPr>
                <w:rFonts w:ascii="Arial" w:cs="Arial" w:eastAsia="Arial" w:hAnsi="Arial"/>
                <w:b/>
                <w:bCs/>
                <w:color w:val="2C5282"/>
                <w:sz w:val="19"/>
                <w:szCs w:val="19"/>
              </w:rPr>
              <w:t xml:space="preserve">#10  </w:t>
            </w:r>
            <w:r>
              <w:rPr>
                <w:rFonts w:ascii="Arial" w:cs="Arial" w:eastAsia="Arial" w:hAnsi="Arial"/>
                <w:b/>
                <w:bCs/>
                <w:color w:val="2C5282"/>
                <w:sz w:val="17"/>
                <w:szCs w:val="17"/>
              </w:rPr>
              <w:t xml:space="preserve">[SEDANG]  </w:t>
            </w:r>
            <w:r>
              <w:rPr>
                <w:rFonts w:ascii="Arial" w:cs="Arial" w:eastAsia="Arial" w:hAnsi="Arial"/>
                <w:color w:val="888888"/>
                <w:spacing w:val="30"/>
                <w:sz w:val="17"/>
                <w:szCs w:val="17"/>
              </w:rPr>
              <w:t xml:space="preserve">HAM — RUTAN &amp; KEMATIAN TAHANAN</w:t>
            </w:r>
          </w:p>
          <w:p>
            <w:pPr>
              <w:spacing w:after="80" w:before="0"/>
            </w:pPr>
            <w:r>
              <w:rPr>
                <w:rFonts w:ascii="Arial" w:cs="Arial" w:eastAsia="Arial" w:hAnsi="Arial"/>
                <w:b/>
                <w:bCs/>
                <w:color w:val="1E1E1E"/>
                <w:sz w:val="25"/>
                <w:szCs w:val="25"/>
              </w:rPr>
              <w:t xml:space="preserve">Kematian Tahanan Demo Agustus 2025 di Rutan Sidoarjo Belum Diusut Tuntas</w:t>
            </w:r>
          </w:p>
          <w:p>
            <w:pPr>
              <w:spacing w:after="0" w:before="0"/>
              <w:jc w:val="both"/>
            </w:pPr>
            <w:r>
              <w:rPr>
                <w:rFonts w:ascii="Arial" w:cs="Arial" w:eastAsia="Arial" w:hAnsi="Arial"/>
                <w:color w:val="4A4A4A"/>
                <w:sz w:val="20"/>
                <w:szCs w:val="20"/>
              </w:rPr>
              <w:t xml:space="preserve">Demonstrasi Agustus 2025 berakhir dengan penangkapan massal. Satu orang meninggal di Rutan Sidoarjo dalam tahanan. Amnesty International dan Kontras mendesak pengusutan tuntas dan akuntabilitas penuh. Kasus ini menambah daftar panjang kematian dalam tahanan yang tidak pernah diproses secara memadai.</w:t>
            </w:r>
          </w:p>
        </w:tc>
      </w:tr>
    </w:tbl>
    <w:p>
      <w:pPr>
        <w:spacing w:after="60" w:before="100"/>
      </w:pPr>
      <w:r>
        <w:t xml:space="preserve"/>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01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HAM &amp; MILITER</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709"/>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0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97</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57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34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778"/>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3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432"/>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Tempo, Suara Pembaharuan, Kompas, Posnews, Infobalinews, Hukumonline, IMPARSIAL, KontraS</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INVESTIGASI HAM — 12 MARET–12 APRIL 2026</w:t>
      </w:r>
    </w:p>
    <w:p>
      <w:pPr>
        <w:spacing w:after="100" w:before="80"/>
      </w:pPr>
      <w:r>
        <w:rPr>
          <w:rFonts w:ascii="Arial" w:cs="Arial" w:eastAsia="Arial" w:hAnsi="Arial"/>
          <w:b/>
          <w:bCs/>
          <w:color w:val="1E1E1E"/>
          <w:sz w:val="36"/>
          <w:szCs w:val="36"/>
        </w:rPr>
        <w:t xml:space="preserve">Kasus Andrie Yunus: Peradilan Militer, Impunitas Terstruktur, dan Pertarungan untuk Jiwa Reformasi 1998</w:t>
      </w:r>
    </w:p>
    <w:p>
      <w:pPr>
        <w:spacing w:after="100" w:before="60"/>
        <w:jc w:val="both"/>
      </w:pPr>
      <w:r>
        <w:rPr>
          <w:rFonts w:ascii="Arial" w:cs="Arial" w:eastAsia="Arial" w:hAnsi="Arial"/>
          <w:color w:val="1E1E1E"/>
          <w:sz w:val="22"/>
          <w:szCs w:val="22"/>
        </w:rPr>
        <w:t xml:space="preserve">12 Maret 2026. Aktivis KontraS Andrie Yunus disiram air keras oleh dua orang yang mendekatinya dari arah berlawanan di kawasan Senen, Jakarta, tak lama setelah mengisi podcast tentang remiliterisasi di kantor YLBHI. Luka bakar sekitar 24 persen tubuhnya — wajah, tangan, dada, dan mata. Dalam waktu seminggu, Mabes TNI mengkonfirmasi empat tersangka dari Denma BAIS TNI: Kapten NDP, Lettu SL, Lettu BHW, Serda ES. Kepala BAIS TNI mengundurkan diri.</w:t>
      </w:r>
    </w:p>
    <w:p>
      <w:pPr>
        <w:spacing w:after="100" w:before="60"/>
        <w:jc w:val="both"/>
      </w:pPr>
      <w:r>
        <w:rPr>
          <w:rFonts w:ascii="Arial" w:cs="Arial" w:eastAsia="Arial" w:hAnsi="Arial"/>
          <w:color w:val="1E1E1E"/>
          <w:sz w:val="22"/>
          <w:szCs w:val="22"/>
        </w:rPr>
        <w:t xml:space="preserve">Pada 7 April 2026, berkas perkara dilimpahkan ke Oditurat Militer II-07 Jakarta — dan di sinilah konflik yang sesungguhnya dimulai. Andrie Yunus mengirim surat keberatan ke Majelis Hakim MK pada 3 April: ia menyatakan mosi tidak percaya kepada Puspom TNI, dan mendesak agar kasus ini diadili di pengadilan umum. "Peradilan militer adalah court of impunity," kata Ray Rangkuti dari Lingkar Madani dalam diskusi publik IMPARSIAL-FISIP UIN Jakarta, 7 April 2026.</w:t>
      </w:r>
    </w:p>
    <w:p>
      <w:pPr>
        <w:spacing w:after="80" w:before="160"/>
      </w:pPr>
      <w:r>
        <w:rPr>
          <w:rFonts w:ascii="Arial" w:cs="Arial" w:eastAsia="Arial" w:hAnsi="Arial"/>
          <w:b/>
          <w:bCs/>
          <w:color w:val="2C5282"/>
          <w:sz w:val="24"/>
          <w:szCs w:val="24"/>
        </w:rPr>
        <w:t xml:space="preserve">Yusril vs Gibran: Dua Suara dari Satu Pemerintahan</w:t>
      </w:r>
    </w:p>
    <w:p>
      <w:pPr>
        <w:spacing w:after="100" w:before="60"/>
        <w:jc w:val="both"/>
      </w:pPr>
      <w:r>
        <w:rPr>
          <w:rFonts w:ascii="Arial" w:cs="Arial" w:eastAsia="Arial" w:hAnsi="Arial"/>
          <w:color w:val="1E1E1E"/>
          <w:sz w:val="22"/>
          <w:szCs w:val="22"/>
        </w:rPr>
        <w:t xml:space="preserve">Posisi pemerintah terbelah. Menko Kumham Imipas Yusril Ihza Mahendra menegaskan 10 April bahwa kasus tetap di peradilan militer sesuai UU No. 31 Tahun 1997. Tapi Wapres Gibran pada 9 April mengusulkan pelibatan hakim ad hoc dari kalangan profesional agar kepercayaan publik terjaga. Kepala Oditurat Militer II-07 Kolonel Andri Wijaya merespons pada hari yang sama (12 April): tidak perlu hakim ad hoc, peradilan militer sudah punya prosedur yang memadai.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"Saya berkeberatan dan menyampaikan mosi tidak percaya terhadap mekanisme peradilan militer dalam kasus ini!"</w:t>
            </w:r>
          </w:p>
          <w:p>
            <w:pPr>
              <w:spacing w:after="0" w:before="0"/>
            </w:pPr>
            <w:r>
              <w:rPr>
                <w:rFonts w:ascii="Arial" w:cs="Arial" w:eastAsia="Arial" w:hAnsi="Arial"/>
                <w:i/>
                <w:iCs/>
                <w:color w:val="888888"/>
                <w:sz w:val="19"/>
                <w:szCs w:val="19"/>
              </w:rPr>
              <w:t xml:space="preserve">— Andrie Yunus, surat terbuka kepada Majelis Hakim MK, 5 April 2026</w:t>
            </w:r>
          </w:p>
        </w:tc>
      </w:tr>
    </w:tbl>
    <w:p>
      <w:pPr>
        <w:spacing w:after="80" w:before="160"/>
      </w:pPr>
      <w:r>
        <w:rPr>
          <w:rFonts w:ascii="Arial" w:cs="Arial" w:eastAsia="Arial" w:hAnsi="Arial"/>
          <w:b/>
          <w:bCs/>
          <w:color w:val="2C5282"/>
          <w:sz w:val="24"/>
          <w:szCs w:val="24"/>
        </w:rPr>
        <w:t xml:space="preserve">Data Kontras: Vonis Militer Cenderung Ringan</w:t>
      </w:r>
    </w:p>
    <w:p>
      <w:pPr>
        <w:spacing w:after="100" w:before="60"/>
        <w:jc w:val="both"/>
      </w:pPr>
      <w:r>
        <w:rPr>
          <w:rFonts w:ascii="Arial" w:cs="Arial" w:eastAsia="Arial" w:hAnsi="Arial"/>
          <w:color w:val="1E1E1E"/>
          <w:sz w:val="22"/>
          <w:szCs w:val="22"/>
        </w:rPr>
        <w:t xml:space="preserve">Data KontraS periode Oktober 2023-September 2025 memberikan konteks yang sangat relevan: dari 244 putusan dengan 262 terdakwa di peradilan militer untuk kasus penganiayaan-pembunuhan, vonis yang dijatuhkan cenderung ringan. Dua puluh putusan menjatuhkan hukuman 10 bulan, 17 putusan memberikan 6 bulan, 20 putusan memberikan 3 bulan. Contoh konkret: Sersan Satu Riza Pahlivi divonis hanya 10 bulan dalam kasus penganiayaan pelajar hingga tewas di Pengadilan Militer I-02 Medan. Kasasi MA dalam kasus penembakan bos rental mobil mengubah penjara seumur hidup menjadi 15 tahun — masih jauh lebih ringan dari tuntutan awal.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KRONOLOGI &amp; DATA KASUS ANDRIE YUNUS</w:t>
            </w:r>
          </w:p>
          <w:p>
            <w:pPr>
              <w:pStyle w:val="ListParagraph"/>
              <w:numPr>
                <w:ilvl w:val="0"/>
                <w:numId w:val="2"/>
              </w:numPr>
              <w:spacing w:after="40" w:before="40"/>
            </w:pPr>
            <w:r>
              <w:rPr>
                <w:rFonts w:ascii="Arial" w:cs="Arial" w:eastAsia="Arial" w:hAnsi="Arial"/>
                <w:color w:val="1E1E1E"/>
                <w:sz w:val="21"/>
                <w:szCs w:val="21"/>
              </w:rPr>
              <w:t xml:space="preserve">12 Maret 2026: penyiraman air keras, luka bakar 24% tubuh termasuk mata dan wajah</w:t>
            </w:r>
          </w:p>
          <w:p>
            <w:pPr>
              <w:pStyle w:val="ListParagraph"/>
              <w:numPr>
                <w:ilvl w:val="0"/>
                <w:numId w:val="2"/>
              </w:numPr>
              <w:spacing w:after="40" w:before="40"/>
            </w:pPr>
            <w:r>
              <w:rPr>
                <w:rFonts w:ascii="Arial" w:cs="Arial" w:eastAsia="Arial" w:hAnsi="Arial"/>
                <w:color w:val="1E1E1E"/>
                <w:sz w:val="21"/>
                <w:szCs w:val="21"/>
              </w:rPr>
              <w:t xml:space="preserve">4 tersangka dari BAIS TNI: Kapten NDP, Lettu SL, Lettu BHW, Serda ES — ditahan di Pomdam Jaya Guntur</w:t>
            </w:r>
          </w:p>
          <w:p>
            <w:pPr>
              <w:pStyle w:val="ListParagraph"/>
              <w:numPr>
                <w:ilvl w:val="0"/>
                <w:numId w:val="2"/>
              </w:numPr>
              <w:spacing w:after="40" w:before="40"/>
            </w:pPr>
            <w:r>
              <w:rPr>
                <w:rFonts w:ascii="Arial" w:cs="Arial" w:eastAsia="Arial" w:hAnsi="Arial"/>
                <w:color w:val="1E1E1E"/>
                <w:sz w:val="21"/>
                <w:szCs w:val="21"/>
              </w:rPr>
              <w:t xml:space="preserve">TAUD: 16 orang terlibat dalam operasi terstruktur — dilaporkan ke Bareskrim 8 April</w:t>
            </w:r>
          </w:p>
          <w:p>
            <w:pPr>
              <w:pStyle w:val="ListParagraph"/>
              <w:numPr>
                <w:ilvl w:val="0"/>
                <w:numId w:val="2"/>
              </w:numPr>
              <w:spacing w:after="40" w:before="40"/>
            </w:pPr>
            <w:r>
              <w:rPr>
                <w:rFonts w:ascii="Arial" w:cs="Arial" w:eastAsia="Arial" w:hAnsi="Arial"/>
                <w:color w:val="1E1E1E"/>
                <w:sz w:val="21"/>
                <w:szCs w:val="21"/>
              </w:rPr>
              <w:t xml:space="preserve">7 April: berkas dilimpahkan ke Oditurat Militer II-07 Jakarta</w:t>
            </w:r>
          </w:p>
          <w:p>
            <w:pPr>
              <w:pStyle w:val="ListParagraph"/>
              <w:numPr>
                <w:ilvl w:val="0"/>
                <w:numId w:val="2"/>
              </w:numPr>
              <w:spacing w:after="40" w:before="40"/>
            </w:pPr>
            <w:r>
              <w:rPr>
                <w:rFonts w:ascii="Arial" w:cs="Arial" w:eastAsia="Arial" w:hAnsi="Arial"/>
                <w:color w:val="1E1E1E"/>
                <w:sz w:val="21"/>
                <w:szCs w:val="21"/>
              </w:rPr>
              <w:t xml:space="preserve">Kepala BAIS TNI mengundurkan diri sebagai konsekuensi institusional</w:t>
            </w:r>
          </w:p>
          <w:p>
            <w:pPr>
              <w:pStyle w:val="ListParagraph"/>
              <w:numPr>
                <w:ilvl w:val="0"/>
                <w:numId w:val="2"/>
              </w:numPr>
              <w:spacing w:after="40" w:before="40"/>
            </w:pPr>
            <w:r>
              <w:rPr>
                <w:rFonts w:ascii="Arial" w:cs="Arial" w:eastAsia="Arial" w:hAnsi="Arial"/>
                <w:color w:val="1E1E1E"/>
                <w:sz w:val="21"/>
                <w:szCs w:val="21"/>
              </w:rPr>
              <w:t xml:space="preserve">Yusril 10 April: kasus tetap di peradilan militer sesuai UU 31/1997</w:t>
            </w:r>
          </w:p>
          <w:p>
            <w:pPr>
              <w:pStyle w:val="ListParagraph"/>
              <w:numPr>
                <w:ilvl w:val="0"/>
                <w:numId w:val="2"/>
              </w:numPr>
              <w:spacing w:after="40" w:before="40"/>
            </w:pPr>
            <w:r>
              <w:rPr>
                <w:rFonts w:ascii="Arial" w:cs="Arial" w:eastAsia="Arial" w:hAnsi="Arial"/>
                <w:color w:val="1E1E1E"/>
                <w:sz w:val="21"/>
                <w:szCs w:val="21"/>
              </w:rPr>
              <w:t xml:space="preserve">Gibran 9 April: usul hakim ad hoc — ditolak Oditurat Militer 12 April</w:t>
            </w:r>
          </w:p>
          <w:p>
            <w:pPr>
              <w:pStyle w:val="ListParagraph"/>
              <w:numPr>
                <w:ilvl w:val="0"/>
                <w:numId w:val="2"/>
              </w:numPr>
              <w:spacing w:after="40" w:before="40"/>
            </w:pPr>
            <w:r>
              <w:rPr>
                <w:rFonts w:ascii="Arial" w:cs="Arial" w:eastAsia="Arial" w:hAnsi="Arial"/>
                <w:color w:val="1E1E1E"/>
                <w:sz w:val="21"/>
                <w:szCs w:val="21"/>
              </w:rPr>
              <w:t xml:space="preserve">MK Perkara 157/PUU-XXIII/2025: judicial review UU TNI masih berjalan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CELAH HUKUM YANG TIDAK BOLEH DIBIARKAN</w:t>
            </w:r>
          </w:p>
          <w:p>
            <w:pPr>
              <w:spacing w:after="0" w:before="0"/>
              <w:jc w:val="both"/>
            </w:pPr>
            <w:r>
              <w:rPr>
                <w:rFonts w:ascii="Arial" w:cs="Arial" w:eastAsia="Arial" w:hAnsi="Arial"/>
                <w:i/>
                <w:iCs/>
                <w:color w:val="1E1E1E"/>
                <w:sz w:val="21"/>
                <w:szCs w:val="21"/>
              </w:rPr>
              <w:t xml:space="preserve">Kasus Andrie Yunus adalah ujian paling konkret dari pertanyaan yang selama ini hanya menjadi diskursus akademis: apakah sistem peradilan militer Indonesia mampu mengadili anggota militer yang melakukan kejahatan terhadap warga sipil secara adil, transparan, dan tanpa impunitas? Data KontraS menjawab: historisnya tidak. Jika sistem ini tidak berhasil menjatuhkan hukuman yang setimpal dan transparan dalam kasus yang sudah jelas ini — di mana korban adalah aktivis HAM terkemuka, pelaku adalah aparat intelijen militer, dan motifnya berhubungan langsung dengan pekerjaan korban — maka preseden yang tercipta akan sangat destruktif bagi kebebasan sipil Indonesia dalam jangka panjang.</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02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ANTIKORUPSI &amp; KPK</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432"/>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484"/>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93</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6294"/>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6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91</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50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41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94</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6086"/>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ANTARA, Kompas, Liputan6, Radar Cirebon, Kompas Surabaya</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ANTIKORUPSI — 10–12 APRIL 2026</w:t>
      </w:r>
    </w:p>
    <w:p>
      <w:pPr>
        <w:spacing w:after="100" w:before="80"/>
      </w:pPr>
      <w:r>
        <w:rPr>
          <w:rFonts w:ascii="Arial" w:cs="Arial" w:eastAsia="Arial" w:hAnsi="Arial"/>
          <w:b/>
          <w:bCs/>
          <w:color w:val="1E1E1E"/>
          <w:sz w:val="36"/>
          <w:szCs w:val="36"/>
        </w:rPr>
        <w:t xml:space="preserve">OTT ke-10 KPK di 2026: Bupati Tulungagung dan Modus Pemerasan Surat Pengunduran Diri yang Menjijikkan</w:t>
      </w:r>
    </w:p>
    <w:p>
      <w:pPr>
        <w:spacing w:after="100" w:before="60"/>
        <w:jc w:val="both"/>
      </w:pPr>
      <w:r>
        <w:rPr>
          <w:rFonts w:ascii="Arial" w:cs="Arial" w:eastAsia="Arial" w:hAnsi="Arial"/>
          <w:color w:val="1E1E1E"/>
          <w:sz w:val="22"/>
          <w:szCs w:val="22"/>
        </w:rPr>
        <w:t xml:space="preserve">Jumat malam, 10 April 2026. Operasi KPK bergerak senyap di Tulungagung, Jawa Timur — mengamankan total 18 orang termasuk Bupati Gatut Sunu Wibowo dan adik kandungnya yang juga anggota DPRD setempat, Jatmiko Dwijo Saputro. Ini adalah OTT ke-10 KPK sepanjang 2026 — sebuah angka yang, ketika dirangkaikan dengan OTT sebelumnya, membentuk gambaran korupsi kepala daerah yang tidak berhenti meski pemerintahan Prabowo berkali-kali menegaskan komitmen antikorupsinya.</w:t>
      </w:r>
    </w:p>
    <w:p>
      <w:pPr>
        <w:spacing w:after="100" w:before="60"/>
        <w:jc w:val="both"/>
      </w:pPr>
      <w:r>
        <w:rPr>
          <w:rFonts w:ascii="Arial" w:cs="Arial" w:eastAsia="Arial" w:hAnsi="Arial"/>
          <w:color w:val="1E1E1E"/>
          <w:sz w:val="22"/>
          <w:szCs w:val="22"/>
        </w:rPr>
        <w:t xml:space="preserve">Modusnya menjijikkan dalam kesederhanaannya: setelah proses pelantikan pejabat, Gatut meminta para Kepala OPD menandatangani surat pernyataan siap mundur dari jabatan dan status ASN tanpa mencantumkan tanggal. Dokumen kosong itu kemudian menjadi alat tekan: bayar setoran, atau surat itu akan ditandatangani dan diaktifkan kapan saja. Setoran yang diminta dari 16 OPD berkisar Rp15 juta hingga Rp2,8 miliar per OPD. Target total: Rp5 miliar. Realisasi sebelum OTT: Rp2,7 miliar.</w:t>
      </w:r>
    </w:p>
    <w:p>
      <w:pPr>
        <w:spacing w:after="80" w:before="160"/>
      </w:pPr>
      <w:r>
        <w:rPr>
          <w:rFonts w:ascii="Arial" w:cs="Arial" w:eastAsia="Arial" w:hAnsi="Arial"/>
          <w:b/>
          <w:bCs/>
          <w:color w:val="2C5282"/>
          <w:sz w:val="24"/>
          <w:szCs w:val="24"/>
        </w:rPr>
        <w:t xml:space="preserve">10 OTT dalam Satu Tahun — Korupsi di Daerah Tak Kenal Jera</w:t>
      </w:r>
    </w:p>
    <w:p>
      <w:pPr>
        <w:spacing w:after="100" w:before="60"/>
        <w:jc w:val="both"/>
      </w:pPr>
      <w:r>
        <w:rPr>
          <w:rFonts w:ascii="Arial" w:cs="Arial" w:eastAsia="Arial" w:hAnsi="Arial"/>
          <w:color w:val="1E1E1E"/>
          <w:sz w:val="22"/>
          <w:szCs w:val="22"/>
        </w:rPr>
        <w:t xml:space="preserve">Rekam jejak OTT KPK 2026 menceritakan kisah yang konsisten: hampir seluruhnya menyasar kepala daerah dengan modus yang serupa — pemerasan, suap proyek, gratifikasi, atau pengutipan. Wali Kota Madiun Maidi (Januari), Bupati Pati Sudewo (Januari), Ketua PN Depok (Februari), Bupati Pekalongan Fadia Arafiq (Maret), Bupati Rejang Lebong (Maret), Bupati Cilacap Syamsul Auliya (Maret), dan kini Bupati Tulungagung (April). Semua ditangkap dalam OTT — yang artinya korupsi bukan terjadi karena lengah, tapi karena sudah dianggap cara yang lumrah untuk memaksimalkan jabatan.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"Mohon maaf."</w:t>
            </w:r>
          </w:p>
          <w:p>
            <w:pPr>
              <w:spacing w:after="0" w:before="0"/>
            </w:pPr>
            <w:r>
              <w:rPr>
                <w:rFonts w:ascii="Arial" w:cs="Arial" w:eastAsia="Arial" w:hAnsi="Arial"/>
                <w:i/>
                <w:iCs/>
                <w:color w:val="888888"/>
                <w:sz w:val="19"/>
                <w:szCs w:val="19"/>
              </w:rPr>
              <w:t xml:space="preserve">— Bupati Tulungagung Gatut Sunu Wibowo, saat digiring keluar Gedung Merah Putih KPK, Minggu dini hari 12 April 2026</w:t>
            </w:r>
          </w:p>
        </w:tc>
      </w:tr>
    </w:tbl>
    <w:p>
      <w:pPr>
        <w:spacing w:after="100" w:before="60"/>
        <w:jc w:val="both"/>
      </w:pPr>
      <w:r>
        <w:rPr>
          <w:rFonts w:ascii="Arial" w:cs="Arial" w:eastAsia="Arial" w:hAnsi="Arial"/>
          <w:color w:val="1E1E1E"/>
          <w:sz w:val="22"/>
          <w:szCs w:val="22"/>
        </w:rPr>
        <w:t xml:space="preserve">KPK menyita uang tunai Rp335,4 juta dalam OTT — bagian dari Rp2,7 miliar yang sudah diterima. Gatut dan ajudannya ditahan 20 hari, 11-30 April 2026. Segelnya tersebar di beberapa ruangan Dinas PUPR Tulungagung.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OTT TULUNGAGUNG &amp; REKAM 2026</w:t>
            </w:r>
          </w:p>
          <w:p>
            <w:pPr>
              <w:pStyle w:val="ListParagraph"/>
              <w:numPr>
                <w:ilvl w:val="0"/>
                <w:numId w:val="2"/>
              </w:numPr>
              <w:spacing w:after="40" w:before="40"/>
            </w:pPr>
            <w:r>
              <w:rPr>
                <w:rFonts w:ascii="Arial" w:cs="Arial" w:eastAsia="Arial" w:hAnsi="Arial"/>
                <w:color w:val="1E1E1E"/>
                <w:sz w:val="21"/>
                <w:szCs w:val="21"/>
              </w:rPr>
              <w:t xml:space="preserve">10 April 2026: OTT ke-10 KPK di 2026, Bupati Tulungagung Gatut Sunu Wibowo</w:t>
            </w:r>
          </w:p>
          <w:p>
            <w:pPr>
              <w:pStyle w:val="ListParagraph"/>
              <w:numPr>
                <w:ilvl w:val="0"/>
                <w:numId w:val="2"/>
              </w:numPr>
              <w:spacing w:after="40" w:before="40"/>
            </w:pPr>
            <w:r>
              <w:rPr>
                <w:rFonts w:ascii="Arial" w:cs="Arial" w:eastAsia="Arial" w:hAnsi="Arial"/>
                <w:color w:val="1E1E1E"/>
                <w:sz w:val="21"/>
                <w:szCs w:val="21"/>
              </w:rPr>
              <w:t xml:space="preserve">18 orang diamankan termasuk adik kandung bupati dan ajudan, 13 dibawa ke Jakarta</w:t>
            </w:r>
          </w:p>
          <w:p>
            <w:pPr>
              <w:pStyle w:val="ListParagraph"/>
              <w:numPr>
                <w:ilvl w:val="0"/>
                <w:numId w:val="2"/>
              </w:numPr>
              <w:spacing w:after="40" w:before="40"/>
            </w:pPr>
            <w:r>
              <w:rPr>
                <w:rFonts w:ascii="Arial" w:cs="Arial" w:eastAsia="Arial" w:hAnsi="Arial"/>
                <w:color w:val="1E1E1E"/>
                <w:sz w:val="21"/>
                <w:szCs w:val="21"/>
              </w:rPr>
              <w:t xml:space="preserve">Modus: surat pernyataan siap mundur tanpa tanggal — alat pemeras kepala OPD</w:t>
            </w:r>
          </w:p>
          <w:p>
            <w:pPr>
              <w:pStyle w:val="ListParagraph"/>
              <w:numPr>
                <w:ilvl w:val="0"/>
                <w:numId w:val="2"/>
              </w:numPr>
              <w:spacing w:after="40" w:before="40"/>
            </w:pPr>
            <w:r>
              <w:rPr>
                <w:rFonts w:ascii="Arial" w:cs="Arial" w:eastAsia="Arial" w:hAnsi="Arial"/>
                <w:color w:val="1E1E1E"/>
                <w:sz w:val="21"/>
                <w:szCs w:val="21"/>
              </w:rPr>
              <w:t xml:space="preserve">Target: Rp5 miliar dari 16 OPD — realisasi Rp2,7 miliar sebelum OTT</w:t>
            </w:r>
          </w:p>
          <w:p>
            <w:pPr>
              <w:pStyle w:val="ListParagraph"/>
              <w:numPr>
                <w:ilvl w:val="0"/>
                <w:numId w:val="2"/>
              </w:numPr>
              <w:spacing w:after="40" w:before="40"/>
            </w:pPr>
            <w:r>
              <w:rPr>
                <w:rFonts w:ascii="Arial" w:cs="Arial" w:eastAsia="Arial" w:hAnsi="Arial"/>
                <w:color w:val="1E1E1E"/>
                <w:sz w:val="21"/>
                <w:szCs w:val="21"/>
              </w:rPr>
              <w:t xml:space="preserve">Uang disita dalam OTT: Rp335,4 juta tunai + barang bukti elektronik dan dokumen</w:t>
            </w:r>
          </w:p>
          <w:p>
            <w:pPr>
              <w:pStyle w:val="ListParagraph"/>
              <w:numPr>
                <w:ilvl w:val="0"/>
                <w:numId w:val="2"/>
              </w:numPr>
              <w:spacing w:after="40" w:before="40"/>
            </w:pPr>
            <w:r>
              <w:rPr>
                <w:rFonts w:ascii="Arial" w:cs="Arial" w:eastAsia="Arial" w:hAnsi="Arial"/>
                <w:color w:val="1E1E1E"/>
                <w:sz w:val="21"/>
                <w:szCs w:val="21"/>
              </w:rPr>
              <w:t xml:space="preserve">10 OTT di 2026: Madiun, Pati, Banjarmasin, Importasi, PN Depok, Pekalongan, Rejang Lebong, Cilacap, + Pajak (2x), Tulungagung</w:t>
            </w:r>
          </w:p>
          <w:p>
            <w:pPr>
              <w:pStyle w:val="ListParagraph"/>
              <w:numPr>
                <w:ilvl w:val="0"/>
                <w:numId w:val="2"/>
              </w:numPr>
              <w:spacing w:after="40" w:before="40"/>
            </w:pPr>
            <w:r>
              <w:rPr>
                <w:rFonts w:ascii="Arial" w:cs="Arial" w:eastAsia="Arial" w:hAnsi="Arial"/>
                <w:color w:val="1E1E1E"/>
                <w:sz w:val="21"/>
                <w:szCs w:val="21"/>
              </w:rPr>
              <w:t xml:space="preserve">Modus berulang: pemerasan menggunakan kewenangan jabatan kepala daerah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KORUPSI DAERAH YANG SISTEMIK, BUKAN INSIDENTAL</w:t>
            </w:r>
          </w:p>
          <w:p>
            <w:pPr>
              <w:spacing w:after="0" w:before="0"/>
              <w:jc w:val="both"/>
            </w:pPr>
            <w:r>
              <w:rPr>
                <w:rFonts w:ascii="Arial" w:cs="Arial" w:eastAsia="Arial" w:hAnsi="Arial"/>
                <w:i/>
                <w:iCs/>
                <w:color w:val="1E1E1E"/>
                <w:sz w:val="21"/>
                <w:szCs w:val="21"/>
              </w:rPr>
              <w:t xml:space="preserve">Sepuluh OTT dalam kurang dari empat bulan pertama 2026 bukan angka yang bisa dijelaskan dengan "oknum." Ini adalah sinyal sistemik tentang ekosistem pemerintahan daerah yang telah menormalisasi korupsi sebagai bagian dari tata cara berkuasa. Selama insentif untuk korupsi (kontrol anggaran besar, pengawasan lemah, sanksi yang tidak menimbulkan efek jera jangka panjang) lebih besar dari insentif untuk berintegritas, OTT akan terus terjadi — dengan atau tanpa komitmen antikorupsi yang dikumandangkan dari podium Istana.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2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03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HAM — KEBEBASAN PERS</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6086"/>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879"/>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037"/>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85</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22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69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90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533"/>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International Indonesia, Tempo, Hukumonline, AJI</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KEBEBASAN BEREKSPRESI 2025–2026</w:t>
      </w:r>
    </w:p>
    <w:p>
      <w:pPr>
        <w:spacing w:after="100" w:before="80"/>
      </w:pPr>
      <w:r>
        <w:rPr>
          <w:rFonts w:ascii="Arial" w:cs="Arial" w:eastAsia="Arial" w:hAnsi="Arial"/>
          <w:b/>
          <w:bCs/>
          <w:color w:val="1E1E1E"/>
          <w:sz w:val="36"/>
          <w:szCs w:val="36"/>
        </w:rPr>
        <w:t xml:space="preserve">104 Pembela HAM Diserang dalam Setengah Tahun: Polisi Sebagai Aktor Terbanyak, Impunitas Sebagai Pola Sistemik</w:t>
      </w:r>
    </w:p>
    <w:p>
      <w:pPr>
        <w:spacing w:after="100" w:before="60"/>
        <w:jc w:val="both"/>
      </w:pPr>
      <w:r>
        <w:rPr>
          <w:rFonts w:ascii="Arial" w:cs="Arial" w:eastAsia="Arial" w:hAnsi="Arial"/>
          <w:color w:val="1E1E1E"/>
          <w:sz w:val="22"/>
          <w:szCs w:val="22"/>
        </w:rPr>
        <w:t xml:space="preserve">Data Amnesty International Indonesia yang dirilis Juli 2025 memberikan gambaran yang mencemaskan: sepanjang Januari hingga Juni 2025, setidaknya 104 pembela hak asasi manusia menjadi korban serangan yang terekam dalam 54 kasus. Dari 53 kasus yang teridentifikasi aktornya, polisi menjadi pelaku yang paling sering disebut — dalam 20 kasus. Bukan TNI, bukan preman, bukan korporasi. Polisi.</w:t>
      </w:r>
    </w:p>
    <w:p>
      <w:pPr>
        <w:spacing w:after="100" w:before="60"/>
        <w:jc w:val="both"/>
      </w:pPr>
      <w:r>
        <w:rPr>
          <w:rFonts w:ascii="Arial" w:cs="Arial" w:eastAsia="Arial" w:hAnsi="Arial"/>
          <w:color w:val="1E1E1E"/>
          <w:sz w:val="22"/>
          <w:szCs w:val="22"/>
        </w:rPr>
        <w:t xml:space="preserve">Lebih dari setengah korban adalah anggota masyarakat adat (36 orang) yang memperjuangkan hak atas tanah, dan jurnalis (31 orang) yang diserang saat meliput atau melaporkan. Delapan tokoh masyarakat, enam aktivis mahasiswa, empat aktivis HAM, tiga aktivis lingkungan, dua akademisi, dua petani, satu aktivis anti-korupsi, satu buruh, satu advokat, satu guru, satu whistleblower — semua korban menjadi tersangka dalam skenario yang berulang: mereka yang berani bicara dilindas oleh mereka yang harusnya melindungi.</w:t>
      </w:r>
    </w:p>
    <w:p>
      <w:pPr>
        <w:spacing w:after="80" w:before="160"/>
      </w:pPr>
      <w:r>
        <w:rPr>
          <w:rFonts w:ascii="Arial" w:cs="Arial" w:eastAsia="Arial" w:hAnsi="Arial"/>
          <w:b/>
          <w:bCs/>
          <w:color w:val="2C5282"/>
          <w:sz w:val="24"/>
          <w:szCs w:val="24"/>
        </w:rPr>
        <w:t xml:space="preserve">Kasus-kasus yang Menggambarkan Pola</w:t>
      </w:r>
    </w:p>
    <w:p>
      <w:pPr>
        <w:spacing w:after="100" w:before="60"/>
        <w:jc w:val="both"/>
      </w:pPr>
      <w:r>
        <w:rPr>
          <w:rFonts w:ascii="Arial" w:cs="Arial" w:eastAsia="Arial" w:hAnsi="Arial"/>
          <w:color w:val="1E1E1E"/>
          <w:sz w:val="22"/>
          <w:szCs w:val="22"/>
        </w:rPr>
        <w:t xml:space="preserve">Ajudan Kapolri mendorong dan memukul pewarta foto Antara di Stasiun Tawang Semarang, 5 April 2025 — sanksi: administratif, tidak ada proses pidana. Jurnalis Tempo di Semarang dua kali diserang aparat saat meliput aksi Hari Buruh — dicekik dan hendak dibanting. Jurnalis progreSIP di Jakarta dianiaya oleh sekitar sepuluh orang yang diduga polisi tidak berseragam dan dituduh "anarko." Seorang whistleblower kasus korupsi dana zakat di Baznas Jabar ditetapkan sebagai tersangka pembocoran rahasia lembaga — kriminalisasi atas keberanian mengungkap korupsi.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"Ketika satu anggota melakukan penyalahgunaan wewenang atau kekerasan, kita tidak bisa menyebut itu oknum. Itulah wajah personifikasi negara di depan masyarakat."</w:t>
            </w:r>
          </w:p>
          <w:p>
            <w:pPr>
              <w:spacing w:after="0" w:before="0"/>
            </w:pPr>
            <w:r>
              <w:rPr>
                <w:rFonts w:ascii="Arial" w:cs="Arial" w:eastAsia="Arial" w:hAnsi="Arial"/>
                <w:i/>
                <w:iCs/>
                <w:color w:val="888888"/>
                <w:sz w:val="19"/>
                <w:szCs w:val="19"/>
              </w:rPr>
              <w:t xml:space="preserve">— Sarah Nuraini Siregar, Peneliti BRIN, Februari 2026</w:t>
            </w:r>
          </w:p>
        </w:tc>
      </w:tr>
    </w:tbl>
    <w:p>
      <w:pPr>
        <w:spacing w:after="100" w:before="60"/>
        <w:jc w:val="both"/>
      </w:pPr>
      <w:r>
        <w:rPr>
          <w:rFonts w:ascii="Arial" w:cs="Arial" w:eastAsia="Arial" w:hAnsi="Arial"/>
          <w:color w:val="1E1E1E"/>
          <w:sz w:val="22"/>
          <w:szCs w:val="22"/>
        </w:rPr>
        <w:t xml:space="preserve">UU ITE menjadi instrumen yang disorot. Data Amnesty: 521 kasus kriminalisasi menggunakan UU ITE sejak Januari 2019 hingga September 2024 — 554 orang didakwa. Pasal 27A dan 27B UU ITE, serta pasal pencemaran nama baik dalam KUHP baru yang mulai berlaku 2026, dinilai membuka ruang kriminalisasi terhadap kritik yang sah.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SERANGAN TERHADAP PEMBELA HAM</w:t>
            </w:r>
          </w:p>
          <w:p>
            <w:pPr>
              <w:pStyle w:val="ListParagraph"/>
              <w:numPr>
                <w:ilvl w:val="0"/>
                <w:numId w:val="2"/>
              </w:numPr>
              <w:spacing w:after="40" w:before="40"/>
            </w:pPr>
            <w:r>
              <w:rPr>
                <w:rFonts w:ascii="Arial" w:cs="Arial" w:eastAsia="Arial" w:hAnsi="Arial"/>
                <w:color w:val="1E1E1E"/>
                <w:sz w:val="21"/>
                <w:szCs w:val="21"/>
              </w:rPr>
              <w:t xml:space="preserve">Semester I 2025: 104 pembela HAM korban serangan dalam 54 kasus (Amnesty Indonesia)</w:t>
            </w:r>
          </w:p>
          <w:p>
            <w:pPr>
              <w:pStyle w:val="ListParagraph"/>
              <w:numPr>
                <w:ilvl w:val="0"/>
                <w:numId w:val="2"/>
              </w:numPr>
              <w:spacing w:after="40" w:before="40"/>
            </w:pPr>
            <w:r>
              <w:rPr>
                <w:rFonts w:ascii="Arial" w:cs="Arial" w:eastAsia="Arial" w:hAnsi="Arial"/>
                <w:color w:val="1E1E1E"/>
                <w:sz w:val="21"/>
                <w:szCs w:val="21"/>
              </w:rPr>
              <w:t xml:space="preserve">Pelaku terbanyak: polisi — 20 kasus dari 53 kasus yang teridentifikasi aktornya</w:t>
            </w:r>
          </w:p>
          <w:p>
            <w:pPr>
              <w:pStyle w:val="ListParagraph"/>
              <w:numPr>
                <w:ilvl w:val="0"/>
                <w:numId w:val="2"/>
              </w:numPr>
              <w:spacing w:after="40" w:before="40"/>
            </w:pPr>
            <w:r>
              <w:rPr>
                <w:rFonts w:ascii="Arial" w:cs="Arial" w:eastAsia="Arial" w:hAnsi="Arial"/>
                <w:color w:val="1E1E1E"/>
                <w:sz w:val="21"/>
                <w:szCs w:val="21"/>
              </w:rPr>
              <w:t xml:space="preserve">Korban terbanyak: masyarakat adat (36), jurnalis (31), tokoh masyarakat (8)</w:t>
            </w:r>
          </w:p>
          <w:p>
            <w:pPr>
              <w:pStyle w:val="ListParagraph"/>
              <w:numPr>
                <w:ilvl w:val="0"/>
                <w:numId w:val="2"/>
              </w:numPr>
              <w:spacing w:after="40" w:before="40"/>
            </w:pPr>
            <w:r>
              <w:rPr>
                <w:rFonts w:ascii="Arial" w:cs="Arial" w:eastAsia="Arial" w:hAnsi="Arial"/>
                <w:color w:val="1E1E1E"/>
                <w:sz w:val="21"/>
                <w:szCs w:val="21"/>
              </w:rPr>
              <w:t xml:space="preserve">UU ITE: 521 kasus kriminalisasi Jan 2019-Sep 2024, 554 orang didakwa</w:t>
            </w:r>
          </w:p>
          <w:p>
            <w:pPr>
              <w:pStyle w:val="ListParagraph"/>
              <w:numPr>
                <w:ilvl w:val="0"/>
                <w:numId w:val="2"/>
              </w:numPr>
              <w:spacing w:after="40" w:before="40"/>
            </w:pPr>
            <w:r>
              <w:rPr>
                <w:rFonts w:ascii="Arial" w:cs="Arial" w:eastAsia="Arial" w:hAnsi="Arial"/>
                <w:color w:val="1E1E1E"/>
                <w:sz w:val="21"/>
                <w:szCs w:val="21"/>
              </w:rPr>
              <w:t xml:space="preserve">Kasus ajudan Kapolri pukul pewarta Antara Semarang: hanya sanksi administratif</w:t>
            </w:r>
          </w:p>
          <w:p>
            <w:pPr>
              <w:pStyle w:val="ListParagraph"/>
              <w:numPr>
                <w:ilvl w:val="0"/>
                <w:numId w:val="2"/>
              </w:numPr>
              <w:spacing w:after="40" w:before="40"/>
            </w:pPr>
            <w:r>
              <w:rPr>
                <w:rFonts w:ascii="Arial" w:cs="Arial" w:eastAsia="Arial" w:hAnsi="Arial"/>
                <w:color w:val="1E1E1E"/>
                <w:sz w:val="21"/>
                <w:szCs w:val="21"/>
              </w:rPr>
              <w:t xml:space="preserve">Whistleblower Baznas Jabar: menjadi tersangka karena melaporkan korupsi</w:t>
            </w:r>
          </w:p>
          <w:p>
            <w:pPr>
              <w:pStyle w:val="ListParagraph"/>
              <w:numPr>
                <w:ilvl w:val="0"/>
                <w:numId w:val="2"/>
              </w:numPr>
              <w:spacing w:after="40" w:before="40"/>
            </w:pPr>
            <w:r>
              <w:rPr>
                <w:rFonts w:ascii="Arial" w:cs="Arial" w:eastAsia="Arial" w:hAnsi="Arial"/>
                <w:color w:val="1E1E1E"/>
                <w:sz w:val="21"/>
                <w:szCs w:val="21"/>
              </w:rPr>
              <w:t xml:space="preserve">Kasus Andrie Yunus 2026: puncak terbaru dari tren serangan terhadap pembela HAM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POLA IMPUNITAS YANG DIREPRODUKSI</w:t>
            </w:r>
          </w:p>
          <w:p>
            <w:pPr>
              <w:spacing w:after="0" w:before="0"/>
              <w:jc w:val="both"/>
            </w:pPr>
            <w:r>
              <w:rPr>
                <w:rFonts w:ascii="Arial" w:cs="Arial" w:eastAsia="Arial" w:hAnsi="Arial"/>
                <w:i/>
                <w:iCs/>
                <w:color w:val="1E1E1E"/>
                <w:sz w:val="21"/>
                <w:szCs w:val="21"/>
              </w:rPr>
              <w:t xml:space="preserve">Yang paling mengkhawatirkan dari data ini bukan angkanya — tapi polanya. Polisi sebagai aktor terbanyak dalam serangan terhadap pembela HAM bukan berarti semua polisi buruk. Tapi ia berarti sistem akuntabilitas internal Polri tidak cukup kuat untuk mencegah anggotanya dari tindakan tersebut — dan tidak cukup konsekuensial untuk menciptakan efek jera. Selama sanksi atas kekerasan terhadap jurnalis dan aktivis hanya berupa administratif tanpa proses pidana, pola itu akan terus berulang. Kasus Andrie Yunus pada 2026 bukan anomali — ia adalah eskalasi dari tren yang sudah terdokumentasi secara sistematis.</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3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7B1313" w:sz="4"/>
              <w:right w:val="none" w:color="FFFFFF" w:sz="0"/>
            </w:tcBorders>
            <w:tcMar>
              <w:top w:type="dxa" w:w="0"/>
              <w:left w:type="dxa" w:w="0"/>
              <w:bottom w:type="dxa" w:w="80"/>
              <w:right w:type="dxa" w:w="0"/>
            </w:tcMar>
          </w:tcPr>
          <w:p>
            <w:pPr>
              <w:spacing w:after="40" w:before="0"/>
            </w:pPr>
            <w:r>
              <w:rPr>
                <w:rFonts w:ascii="Arial" w:cs="Arial" w:eastAsia="Arial" w:hAnsi="Arial"/>
                <w:b/>
                <w:bCs/>
                <w:color w:val="7B1313"/>
                <w:spacing w:val="30"/>
                <w:sz w:val="17"/>
                <w:szCs w:val="17"/>
              </w:rPr>
              <w:t xml:space="preserve">LAPORAN 04  </w:t>
            </w:r>
            <w:r>
              <w:rPr>
                <w:rFonts w:ascii="Arial" w:cs="Arial" w:eastAsia="Arial" w:hAnsi="Arial"/>
                <w:b/>
                <w:bCs/>
                <w:color w:val="7B1313"/>
                <w:sz w:val="17"/>
                <w:szCs w:val="17"/>
              </w:rPr>
              <w:t xml:space="preserve">KRITIS  |  </w:t>
            </w:r>
            <w:r>
              <w:rPr>
                <w:rFonts w:ascii="Arial" w:cs="Arial" w:eastAsia="Arial" w:hAnsi="Arial"/>
                <w:color w:val="888888"/>
                <w:spacing w:val="20"/>
                <w:sz w:val="17"/>
                <w:szCs w:val="17"/>
              </w:rPr>
              <w:t xml:space="preserve">KORUPSI &amp; PERADILAN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CC0000" w:sz="2"/>
              <w:left w:val="single" w:color="CC0000" w:sz="2"/>
              <w:bottom w:val="single" w:color="DDDDDD" w:sz="1"/>
              <w:right w:val="single" w:color="CC0000" w:sz="2"/>
            </w:tcBorders>
            <w:shd w:fill="FFF0F0" w:val="clear"/>
            <w:tcMar>
              <w:top w:type="dxa" w:w="80"/>
              <w:left w:type="dxa" w:w="140"/>
              <w:bottom w:type="dxa" w:w="80"/>
              <w:right w:type="dxa" w:w="140"/>
            </w:tcMar>
          </w:tcPr>
          <w:p>
            <w:pPr>
              <w:spacing w:after="0" w:before="0"/>
            </w:pPr>
            <w:r>
              <w:rPr>
                <w:rFonts w:ascii="Arial" w:cs="Arial" w:eastAsia="Arial" w:hAnsi="Arial"/>
                <w:b/>
                <w:bCs/>
                <w:color w:val="CC0000"/>
                <w:spacing w:val="40"/>
                <w:sz w:val="17"/>
                <w:szCs w:val="17"/>
              </w:rPr>
              <w:t xml:space="preserve">SKOR ANALITIK  </w:t>
            </w:r>
            <w:r>
              <w:rPr>
                <w:rFonts w:ascii="Arial" w:cs="Arial" w:eastAsia="Arial" w:hAnsi="Arial"/>
                <w:b/>
                <w:bCs/>
                <w:color w:val="CC0000"/>
                <w:sz w:val="17"/>
                <w:szCs w:val="17"/>
              </w:rPr>
              <w:t xml:space="preserve">[ KRITIS ]</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671"/>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533"/>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38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80</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CC0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5187"/>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CC0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80" w:hRule="exact"/>
        </w:trPr>
        <w:tc>
          <w:tcPr>
            <w:gridSpan w:val="4"/>
            <w:tcBorders>
              <w:top w:val="none" w:color="FFFFFF" w:sz="0"/>
              <w:left w:val="single" w:color="CC0000" w:sz="2"/>
              <w:bottom w:val="none" w:color="FFFFFF" w:sz="0"/>
              <w:right w:val="single" w:color="CC0000" w:sz="2"/>
            </w:tcBorders>
            <w:shd w:fill="FFFFFF" w:val="clear"/>
          </w:tcPr>
          <w:p>
            <w:pPr>
              <w:spacing w:after="0" w:before="0"/>
            </w:pPr>
            <w:r>
              <w:t xml:space="preserve"/>
            </w:r>
          </w:p>
        </w:tc>
      </w:tr>
      <w:tr>
        <w:tc>
          <w:tcPr>
            <w:gridSpan w:val="4"/>
            <w:tcBorders>
              <w:top w:val="single" w:color="DDDDDD" w:sz="1"/>
              <w:left w:val="single" w:color="CC0000" w:sz="2"/>
              <w:bottom w:val="single" w:color="CC0000" w:sz="2"/>
              <w:right w:val="single" w:color="CC0000" w:sz="2"/>
            </w:tcBorders>
            <w:shd w:fill="FFF0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Kompas, KPK, Hukumonline</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PERADILAN — FEBRUARI 2026</w:t>
      </w:r>
    </w:p>
    <w:p>
      <w:pPr>
        <w:spacing w:after="100" w:before="80"/>
      </w:pPr>
      <w:r>
        <w:rPr>
          <w:rFonts w:ascii="Arial" w:cs="Arial" w:eastAsia="Arial" w:hAnsi="Arial"/>
          <w:b/>
          <w:bCs/>
          <w:color w:val="1E1E1E"/>
          <w:sz w:val="36"/>
          <w:szCs w:val="36"/>
        </w:rPr>
        <w:t xml:space="preserve">Ketua Pengadilan Negeri Depok Ditangkap KPK: Korupsi Sudah Merayap Masuk ke Ruang Hakim</w:t>
      </w:r>
    </w:p>
    <w:p>
      <w:pPr>
        <w:spacing w:after="100" w:before="60"/>
        <w:jc w:val="both"/>
      </w:pPr>
      <w:r>
        <w:rPr>
          <w:rFonts w:ascii="Arial" w:cs="Arial" w:eastAsia="Arial" w:hAnsi="Arial"/>
          <w:color w:val="1E1E1E"/>
          <w:sz w:val="22"/>
          <w:szCs w:val="22"/>
        </w:rPr>
        <w:t xml:space="preserve">Ada satu kasus OTT KPK di 2026 yang dampak simbolisnya melampaui nilai uang yang disita: penangkapan Ketua Pengadilan Negeri Depok I Wayan Eka Mariarta dan Wakil Ketua PN Depok Bambang Setyawan pada 5 Februari 2026. Keduanya ditetapkan tersangka dalam dugaan korupsi pengurusan sengketa lahan seluas 6.500 meter persegi di lingkungan PN Depok.</w:t>
      </w:r>
    </w:p>
    <w:p>
      <w:pPr>
        <w:spacing w:after="100" w:before="60"/>
        <w:jc w:val="both"/>
      </w:pPr>
      <w:r>
        <w:rPr>
          <w:rFonts w:ascii="Arial" w:cs="Arial" w:eastAsia="Arial" w:hAnsi="Arial"/>
          <w:color w:val="1E1E1E"/>
          <w:sz w:val="22"/>
          <w:szCs w:val="22"/>
        </w:rPr>
        <w:t xml:space="preserve">Turut ditetapkan tersangka adalah Direktur Utama PT Karabha Digdaya — anak perusahaan Kementerian Keuangan. Ini menambahkan dimensi yang lebih mengkhawatirkan: korporasi negara terlibat dalam praktik suap untuk memenangkan sengketa di pengadilan. Sebuah segitiga korupsi yang sempurna: pihak berperkara menyuap hakim menggunakan instrumen korporasi milik negara.</w:t>
      </w:r>
    </w:p>
    <w:p>
      <w:pPr>
        <w:spacing w:after="80" w:before="160"/>
      </w:pPr>
      <w:r>
        <w:rPr>
          <w:rFonts w:ascii="Arial" w:cs="Arial" w:eastAsia="Arial" w:hAnsi="Arial"/>
          <w:b/>
          <w:bCs/>
          <w:color w:val="2C5282"/>
          <w:sz w:val="24"/>
          <w:szCs w:val="24"/>
        </w:rPr>
        <w:t xml:space="preserve">Kepercayaan Publik pada Peradilan yang Sudah Retak</w:t>
      </w:r>
    </w:p>
    <w:p>
      <w:pPr>
        <w:spacing w:after="100" w:before="60"/>
        <w:jc w:val="both"/>
      </w:pPr>
      <w:r>
        <w:rPr>
          <w:rFonts w:ascii="Arial" w:cs="Arial" w:eastAsia="Arial" w:hAnsi="Arial"/>
          <w:color w:val="1E1E1E"/>
          <w:sz w:val="22"/>
          <w:szCs w:val="22"/>
        </w:rPr>
        <w:t xml:space="preserve">Laporan Indeks Kepuasan Masyarakat terhadap layanan peradilan secara konsisten menunjukkan kepercayaan publik yang rendah — dan kasus OTT ketua PN adalah salah satu alasan struktural yang paling nyata. Ketika orang yang memimpin ruang sidang sendiri terlibat dalam suap, pertanyaan tentang berapa banyak putusan sebelumnya yang dipengaruhi uang menjadi sangat relevan dan sangat sulit dijawab.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PN DEPOK</w:t>
            </w:r>
          </w:p>
          <w:p>
            <w:pPr>
              <w:pStyle w:val="ListParagraph"/>
              <w:numPr>
                <w:ilvl w:val="0"/>
                <w:numId w:val="2"/>
              </w:numPr>
              <w:spacing w:after="40" w:before="40"/>
            </w:pPr>
            <w:r>
              <w:rPr>
                <w:rFonts w:ascii="Arial" w:cs="Arial" w:eastAsia="Arial" w:hAnsi="Arial"/>
                <w:color w:val="1E1E1E"/>
                <w:sz w:val="21"/>
                <w:szCs w:val="21"/>
              </w:rPr>
              <w:t xml:space="preserve">5 Februari 2026: OTT KPK keenam di 2026, Ketua PN Depok ditangkap</w:t>
            </w:r>
          </w:p>
          <w:p>
            <w:pPr>
              <w:pStyle w:val="ListParagraph"/>
              <w:numPr>
                <w:ilvl w:val="0"/>
                <w:numId w:val="2"/>
              </w:numPr>
              <w:spacing w:after="40" w:before="40"/>
            </w:pPr>
            <w:r>
              <w:rPr>
                <w:rFonts w:ascii="Arial" w:cs="Arial" w:eastAsia="Arial" w:hAnsi="Arial"/>
                <w:color w:val="1E1E1E"/>
                <w:sz w:val="21"/>
                <w:szCs w:val="21"/>
              </w:rPr>
              <w:t xml:space="preserve">Tersangka: Ketua PN Depok I Wayan Eka Mariarta + Wakil Ketua Bambang Setyawan</w:t>
            </w:r>
          </w:p>
          <w:p>
            <w:pPr>
              <w:pStyle w:val="ListParagraph"/>
              <w:numPr>
                <w:ilvl w:val="0"/>
                <w:numId w:val="2"/>
              </w:numPr>
              <w:spacing w:after="40" w:before="40"/>
            </w:pPr>
            <w:r>
              <w:rPr>
                <w:rFonts w:ascii="Arial" w:cs="Arial" w:eastAsia="Arial" w:hAnsi="Arial"/>
                <w:color w:val="1E1E1E"/>
                <w:sz w:val="21"/>
                <w:szCs w:val="21"/>
              </w:rPr>
              <w:t xml:space="preserve">Tersangka ketiga: Dirut PT Karabha Digdaya (anak perusahaan Kemenkeu)</w:t>
            </w:r>
          </w:p>
          <w:p>
            <w:pPr>
              <w:pStyle w:val="ListParagraph"/>
              <w:numPr>
                <w:ilvl w:val="0"/>
                <w:numId w:val="2"/>
              </w:numPr>
              <w:spacing w:after="40" w:before="40"/>
            </w:pPr>
            <w:r>
              <w:rPr>
                <w:rFonts w:ascii="Arial" w:cs="Arial" w:eastAsia="Arial" w:hAnsi="Arial"/>
                <w:color w:val="1E1E1E"/>
                <w:sz w:val="21"/>
                <w:szCs w:val="21"/>
              </w:rPr>
              <w:t xml:space="preserve">Dugaan: korupsi pengurusan sengketa lahan 6.500 m² di lingkungan PN Depok</w:t>
            </w:r>
          </w:p>
          <w:p>
            <w:pPr>
              <w:pStyle w:val="ListParagraph"/>
              <w:numPr>
                <w:ilvl w:val="0"/>
                <w:numId w:val="2"/>
              </w:numPr>
              <w:spacing w:after="40" w:before="40"/>
            </w:pPr>
            <w:r>
              <w:rPr>
                <w:rFonts w:ascii="Arial" w:cs="Arial" w:eastAsia="Arial" w:hAnsi="Arial"/>
                <w:color w:val="1E1E1E"/>
                <w:sz w:val="21"/>
                <w:szCs w:val="21"/>
              </w:rPr>
              <w:t xml:space="preserve">Modus: suap kepada hakim melalui pihak ketiga/korporasi</w:t>
            </w:r>
          </w:p>
          <w:p>
            <w:pPr>
              <w:pStyle w:val="ListParagraph"/>
              <w:numPr>
                <w:ilvl w:val="0"/>
                <w:numId w:val="2"/>
              </w:numPr>
              <w:spacing w:after="40" w:before="40"/>
            </w:pPr>
            <w:r>
              <w:rPr>
                <w:rFonts w:ascii="Arial" w:cs="Arial" w:eastAsia="Arial" w:hAnsi="Arial"/>
                <w:color w:val="1E1E1E"/>
                <w:sz w:val="21"/>
                <w:szCs w:val="21"/>
              </w:rPr>
              <w:t xml:space="preserve">Ini adalah OTT pertama di 2026 yang menyasar lembaga peradilan</w:t>
            </w:r>
          </w:p>
          <w:p>
            <w:pPr>
              <w:pStyle w:val="ListParagraph"/>
              <w:numPr>
                <w:ilvl w:val="0"/>
                <w:numId w:val="2"/>
              </w:numPr>
              <w:spacing w:after="40" w:before="40"/>
            </w:pPr>
            <w:r>
              <w:rPr>
                <w:rFonts w:ascii="Arial" w:cs="Arial" w:eastAsia="Arial" w:hAnsi="Arial"/>
                <w:color w:val="1E1E1E"/>
                <w:sz w:val="21"/>
                <w:szCs w:val="21"/>
              </w:rPr>
              <w:t xml:space="preserve">KY: sedang menyelidiki apakah ada hakim lain yang terlibat dalam jaringan serupa</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KETIKA PENJAGA KEADILAN MENJADI PELAKUNYA</w:t>
            </w:r>
          </w:p>
          <w:p>
            <w:pPr>
              <w:spacing w:after="0" w:before="0"/>
              <w:jc w:val="both"/>
            </w:pPr>
            <w:r>
              <w:rPr>
                <w:rFonts w:ascii="Arial" w:cs="Arial" w:eastAsia="Arial" w:hAnsi="Arial"/>
                <w:i/>
                <w:iCs/>
                <w:color w:val="1E1E1E"/>
                <w:sz w:val="21"/>
                <w:szCs w:val="21"/>
              </w:rPr>
              <w:t xml:space="preserve">Korupsi di tubuh pengadilan adalah jenis korupsi yang paling merusak kepercayaan publik pada negara hukum — karena ia tidak hanya mencuri uang, tapi mencuri keadilan itu sendiri. Setiap orang yang pernah kalah dalam sengketa di PN Depok kini punya alasan untuk bertanya: apakah putusan itu adil, atau apakah itu hasil transaksi? Komisi Yudisial, sebagai pengawas eksternal hakim, perlu menjawab apakah pengawasan yang ada selama ini cukup — dan jika tidak, apa yang akan diubah.</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4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05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HAM — PAPUA</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5394"/>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5187"/>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6086"/>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830"/>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98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International Indonesia, Kontras, Human Rights Watch, Tempo</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PAPUA 2024–2026</w:t>
      </w:r>
    </w:p>
    <w:p>
      <w:pPr>
        <w:spacing w:after="100" w:before="80"/>
      </w:pPr>
      <w:r>
        <w:rPr>
          <w:rFonts w:ascii="Arial" w:cs="Arial" w:eastAsia="Arial" w:hAnsi="Arial"/>
          <w:b/>
          <w:bCs/>
          <w:color w:val="1E1E1E"/>
          <w:sz w:val="36"/>
          <w:szCs w:val="36"/>
        </w:rPr>
        <w:t xml:space="preserve">Papua: Kekerasan yang Tidak Pernah Dihitung dan Keadilan yang Tidak Pernah Datang</w:t>
      </w:r>
    </w:p>
    <w:p>
      <w:pPr>
        <w:spacing w:after="100" w:before="60"/>
        <w:jc w:val="both"/>
      </w:pPr>
      <w:r>
        <w:rPr>
          <w:rFonts w:ascii="Arial" w:cs="Arial" w:eastAsia="Arial" w:hAnsi="Arial"/>
          <w:color w:val="1E1E1E"/>
          <w:sz w:val="22"/>
          <w:szCs w:val="22"/>
        </w:rPr>
        <w:t xml:space="preserve">Di tengah sorotan media yang fokus pada Andrie Yunus dan kasus-kasus yang memiliki wajah konkret di Jakarta, situasi HAM di Papua terus memburuk tanpa liputan yang setimpal. Amnesty International Indonesia mencatat bahwa konflik bersenjata antara aparat keamanan dan kelompok bersenjata pro-kemerdekaan (OPM) masih terus berlangsung dengan dampak besar pada warga sipil.</w:t>
      </w:r>
    </w:p>
    <w:p>
      <w:pPr>
        <w:spacing w:after="100" w:before="60"/>
        <w:jc w:val="both"/>
      </w:pPr>
      <w:r>
        <w:rPr>
          <w:rFonts w:ascii="Arial" w:cs="Arial" w:eastAsia="Arial" w:hAnsi="Arial"/>
          <w:color w:val="1E1E1E"/>
          <w:sz w:val="22"/>
          <w:szCs w:val="22"/>
        </w:rPr>
        <w:t xml:space="preserve">Dalam insiden April 2024 di Intan Jaya, dua anak-anak menjadi korban penembakan dalam bentrokan antara aparat keamanan dan OPM: seorang anak berusia 12 tahun meninggal dunia, satu lagi berusia 6 tahun mengalami luka parah. Enam warga Papua dari Desa Kwiyawagi, Kabupaten Lanny Jaya, Papua Pegunungan, mengalami penyiksaan oleh aparat pada April 2023 — satu orang tewas akibat penyiksaan, lima lainnya dibebaskan dua minggu kemudian tanpa tuduhan dan dalam kondisi kesehatan yang buruk.</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"Selama dekade terakhir, penempatan militer yang semakin intensif hanya menghasilkan lebih banyak pelanggaran HAM. Pemerintah baru harus menegakkan HAM bagi semua warga, termasuk Orang Asli Papua."</w:t>
            </w:r>
          </w:p>
          <w:p>
            <w:pPr>
              <w:spacing w:after="0" w:before="0"/>
            </w:pPr>
            <w:r>
              <w:rPr>
                <w:rFonts w:ascii="Arial" w:cs="Arial" w:eastAsia="Arial" w:hAnsi="Arial"/>
                <w:i/>
                <w:iCs/>
                <w:color w:val="888888"/>
                <w:sz w:val="19"/>
                <w:szCs w:val="19"/>
              </w:rPr>
              <w:t xml:space="preserve">— Usman Hamid, Direktur Amnesty International Indonesia</w:t>
            </w:r>
          </w:p>
        </w:tc>
      </w:tr>
    </w:tbl>
    <w:p>
      <w:pPr>
        <w:spacing w:after="80" w:before="160"/>
      </w:pPr>
      <w:r>
        <w:rPr>
          <w:rFonts w:ascii="Arial" w:cs="Arial" w:eastAsia="Arial" w:hAnsi="Arial"/>
          <w:b/>
          <w:bCs/>
          <w:color w:val="2C5282"/>
          <w:sz w:val="24"/>
          <w:szCs w:val="24"/>
        </w:rPr>
        <w:t xml:space="preserve">Pola yang Tidak Berubah: Kekerasan, Impunitas, Tutup Informasi</w:t>
      </w:r>
    </w:p>
    <w:p>
      <w:pPr>
        <w:spacing w:after="100" w:before="60"/>
        <w:jc w:val="both"/>
      </w:pPr>
      <w:r>
        <w:rPr>
          <w:rFonts w:ascii="Arial" w:cs="Arial" w:eastAsia="Arial" w:hAnsi="Arial"/>
          <w:color w:val="1E1E1E"/>
          <w:sz w:val="22"/>
          <w:szCs w:val="22"/>
        </w:rPr>
        <w:t xml:space="preserve">Dari Januari 2019 hingga Oktober 2024, Amnesty mencatat setidaknya 55 personel militer tewas, 16 anggota polisi tewas, dan 42 anggota OPM tewas dalam berbagai kasus pembunuhan — tapi yang paling sulit dipastikan adalah korban warga sipil, karena akses jurnalis dan pemantau HAM ke Papua masih sangat terbatas. Keterbatasan akses informasi ini sendiri adalah pelanggaran HAM yang terus-menerus.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HAM PAPUA 2023–2026</w:t>
            </w:r>
          </w:p>
          <w:p>
            <w:pPr>
              <w:pStyle w:val="ListParagraph"/>
              <w:numPr>
                <w:ilvl w:val="0"/>
                <w:numId w:val="2"/>
              </w:numPr>
              <w:spacing w:after="40" w:before="40"/>
            </w:pPr>
            <w:r>
              <w:rPr>
                <w:rFonts w:ascii="Arial" w:cs="Arial" w:eastAsia="Arial" w:hAnsi="Arial"/>
                <w:color w:val="1E1E1E"/>
                <w:sz w:val="21"/>
                <w:szCs w:val="21"/>
              </w:rPr>
              <w:t xml:space="preserve">April 2024, Intan Jaya: dua anak ditembak dalam bentrokan aparat-OPM — satu tewas (12 tahun)</w:t>
            </w:r>
          </w:p>
          <w:p>
            <w:pPr>
              <w:pStyle w:val="ListParagraph"/>
              <w:numPr>
                <w:ilvl w:val="0"/>
                <w:numId w:val="2"/>
              </w:numPr>
              <w:spacing w:after="40" w:before="40"/>
            </w:pPr>
            <w:r>
              <w:rPr>
                <w:rFonts w:ascii="Arial" w:cs="Arial" w:eastAsia="Arial" w:hAnsi="Arial"/>
                <w:color w:val="1E1E1E"/>
                <w:sz w:val="21"/>
                <w:szCs w:val="21"/>
              </w:rPr>
              <w:t xml:space="preserve">April 2023, Kwiyawagi Lanny Jaya: 6 warga Papua disiksa aparat, 1 tewas</w:t>
            </w:r>
          </w:p>
          <w:p>
            <w:pPr>
              <w:pStyle w:val="ListParagraph"/>
              <w:numPr>
                <w:ilvl w:val="0"/>
                <w:numId w:val="2"/>
              </w:numPr>
              <w:spacing w:after="40" w:before="40"/>
            </w:pPr>
            <w:r>
              <w:rPr>
                <w:rFonts w:ascii="Arial" w:cs="Arial" w:eastAsia="Arial" w:hAnsi="Arial"/>
                <w:color w:val="1E1E1E"/>
                <w:sz w:val="21"/>
                <w:szCs w:val="21"/>
              </w:rPr>
              <w:t xml:space="preserve">Video viral Maret 2025: penyiksaan hingga kematian warga Papua oleh aparat</w:t>
            </w:r>
          </w:p>
          <w:p>
            <w:pPr>
              <w:pStyle w:val="ListParagraph"/>
              <w:numPr>
                <w:ilvl w:val="0"/>
                <w:numId w:val="2"/>
              </w:numPr>
              <w:spacing w:after="40" w:before="40"/>
            </w:pPr>
            <w:r>
              <w:rPr>
                <w:rFonts w:ascii="Arial" w:cs="Arial" w:eastAsia="Arial" w:hAnsi="Arial"/>
                <w:color w:val="1E1E1E"/>
                <w:sz w:val="21"/>
                <w:szCs w:val="21"/>
              </w:rPr>
              <w:t xml:space="preserve">Jan 2019-Okt 2024: 55 TNI, 16 Polri, 42 OPM tewas — jumlah sipil tidak pernah diverifikasi</w:t>
            </w:r>
          </w:p>
          <w:p>
            <w:pPr>
              <w:pStyle w:val="ListParagraph"/>
              <w:numPr>
                <w:ilvl w:val="0"/>
                <w:numId w:val="2"/>
              </w:numPr>
              <w:spacing w:after="40" w:before="40"/>
            </w:pPr>
            <w:r>
              <w:rPr>
                <w:rFonts w:ascii="Arial" w:cs="Arial" w:eastAsia="Arial" w:hAnsi="Arial"/>
                <w:color w:val="1E1E1E"/>
                <w:sz w:val="21"/>
                <w:szCs w:val="21"/>
              </w:rPr>
              <w:t xml:space="preserve">Empat aktivis politik Papua dari Sorong: ditahan, dituntut dengan tuduhan separatisme</w:t>
            </w:r>
          </w:p>
          <w:p>
            <w:pPr>
              <w:pStyle w:val="ListParagraph"/>
              <w:numPr>
                <w:ilvl w:val="0"/>
                <w:numId w:val="2"/>
              </w:numPr>
              <w:spacing w:after="40" w:before="40"/>
            </w:pPr>
            <w:r>
              <w:rPr>
                <w:rFonts w:ascii="Arial" w:cs="Arial" w:eastAsia="Arial" w:hAnsi="Arial"/>
                <w:color w:val="1E1E1E"/>
                <w:sz w:val="21"/>
                <w:szCs w:val="21"/>
              </w:rPr>
              <w:t xml:space="preserve">Akses jurnalis ke Papua: masih sangat terbatas — pelanggaran HAM tidak terdokumentasi</w:t>
            </w:r>
          </w:p>
          <w:p>
            <w:pPr>
              <w:pStyle w:val="ListParagraph"/>
              <w:numPr>
                <w:ilvl w:val="0"/>
                <w:numId w:val="2"/>
              </w:numPr>
              <w:spacing w:after="40" w:before="40"/>
            </w:pPr>
            <w:r>
              <w:rPr>
                <w:rFonts w:ascii="Arial" w:cs="Arial" w:eastAsia="Arial" w:hAnsi="Arial"/>
                <w:color w:val="1E1E1E"/>
                <w:sz w:val="21"/>
                <w:szCs w:val="21"/>
              </w:rPr>
              <w:t xml:space="preserve">Papua masuk dalam Komnas HAM: 11 PSN bermasalah HAM yang dilaporkan</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HAM PAPUA DI TITIK BUTA PERHATIAN PUBLIK</w:t>
            </w:r>
          </w:p>
          <w:p>
            <w:pPr>
              <w:spacing w:after="0" w:before="0"/>
              <w:jc w:val="both"/>
            </w:pPr>
            <w:r>
              <w:rPr>
                <w:rFonts w:ascii="Arial" w:cs="Arial" w:eastAsia="Arial" w:hAnsi="Arial"/>
                <w:i/>
                <w:iCs/>
                <w:color w:val="1E1E1E"/>
                <w:sz w:val="21"/>
                <w:szCs w:val="21"/>
              </w:rPr>
              <w:t xml:space="preserve">Papua adalah titik buta terbesar dalam peta HAM Indonesia. Kasus Andrie Yunus di Jakarta menarik perhatian nasional karena terjadi di kota, wajah korbannya dikenal publik, dan ada gambar yang bisa ditampilkan. Di Papua, kekerasan dan penyiksaan terjadi di tempat yang sulit dijangkau, terhadap wajah yang tidak dikenal publik, dan jarang ada gambar yang bisa disebarkan. Selama ketidaksetaraan akses informasi ini tidak diatasi, pola pelanggaran HAM di Papua akan terus berulang tanpa tekanan publik yang cukup untuk memaksa perubahan nyata.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5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06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HAM &amp; PROYEK STRATEGIS</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98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193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84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07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70</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495"/>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MK RI, Komnas HAM, Komnas Perempuan, YLBHI, WALHI</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AGRARIA &amp; PSN</w:t>
      </w:r>
    </w:p>
    <w:p>
      <w:pPr>
        <w:spacing w:after="100" w:before="80"/>
      </w:pPr>
      <w:r>
        <w:rPr>
          <w:rFonts w:ascii="Arial" w:cs="Arial" w:eastAsia="Arial" w:hAnsi="Arial"/>
          <w:b/>
          <w:bCs/>
          <w:color w:val="1E1E1E"/>
          <w:sz w:val="36"/>
          <w:szCs w:val="36"/>
        </w:rPr>
        <w:t xml:space="preserve">PSN vs Hak Warga: Ketika Proyek Negara Menjadi Sumber Pelanggaran HAM Baru</w:t>
      </w:r>
    </w:p>
    <w:p>
      <w:pPr>
        <w:spacing w:after="100" w:before="60"/>
        <w:jc w:val="both"/>
      </w:pPr>
      <w:r>
        <w:rPr>
          <w:rFonts w:ascii="Arial" w:cs="Arial" w:eastAsia="Arial" w:hAnsi="Arial"/>
          <w:color w:val="1E1E1E"/>
          <w:sz w:val="22"/>
          <w:szCs w:val="22"/>
        </w:rPr>
        <w:t xml:space="preserve">Mahkamah Konstitusi kini menjadi arena di mana konflik antara akselerasi pembangunan dan perlindungan hak asasi manusia diadu argumentasinya. Dalam Perkara Nomor 112/PUU-XXIII/2025, Komnas HAM dan Komnas Perempuan tampil sebagai pihak yang memberikan keterangan ahli — membawa data yang menggambarkan dimensi HAM dari implementasi Proyek Strategis Nasional di seluruh Indonesia.</w:t>
      </w:r>
    </w:p>
    <w:p>
      <w:pPr>
        <w:spacing w:after="100" w:before="60"/>
        <w:jc w:val="both"/>
      </w:pPr>
      <w:r>
        <w:rPr>
          <w:rFonts w:ascii="Arial" w:cs="Arial" w:eastAsia="Arial" w:hAnsi="Arial"/>
          <w:color w:val="1E1E1E"/>
          <w:sz w:val="22"/>
          <w:szCs w:val="22"/>
        </w:rPr>
        <w:t xml:space="preserve">Komnas Perempuan mencatat: dari 2020 hingga 2024, mereka menerima 80 laporan pengaduan terkait konflik sumber daya alam, agraria, dan penggusuran, dengan 11 di antaranya langsung terkait PSN. Di Makassar New Port: 300 perempuan nelayan kehilangan nafkah, disusul lonjakan Kekerasan Dalam Rumah Tangga (KDRT). Di Wadas, Jateng: 334 petani perempuan kehilangan tanah. Di Bendungan Mbay, NTT: intimidasi aparat, perempuan adat terluka fisik dan sosial. Di PLTA Poso, Sulteng: 100 perempuan kehilangan akses air bersih.</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"Pembangunan yang tidak berkelanjutan memperburuk krisis iklim dan mengancam hak atas lingkungan hidup yang baik dan sehat. Penggunaan aparat keamanan dalam PSN menimbulkan kesan militerisasi pembangunan."</w:t>
            </w:r>
          </w:p>
          <w:p>
            <w:pPr>
              <w:spacing w:after="0" w:before="0"/>
            </w:pPr>
            <w:r>
              <w:rPr>
                <w:rFonts w:ascii="Arial" w:cs="Arial" w:eastAsia="Arial" w:hAnsi="Arial"/>
                <w:i/>
                <w:iCs/>
                <w:color w:val="888888"/>
                <w:sz w:val="19"/>
                <w:szCs w:val="19"/>
              </w:rPr>
              <w:t xml:space="preserve">— Saurlin P. Siagian, Komnas HAM, sidang MK</w:t>
            </w:r>
          </w:p>
        </w:tc>
      </w:tr>
    </w:tbl>
    <w:p>
      <w:pPr>
        <w:spacing w:after="100" w:before="60"/>
        <w:jc w:val="both"/>
      </w:pPr>
      <w:r>
        <w:rPr>
          <w:rFonts w:ascii="Arial" w:cs="Arial" w:eastAsia="Arial" w:hAnsi="Arial"/>
          <w:color w:val="1E1E1E"/>
          <w:sz w:val="22"/>
          <w:szCs w:val="22"/>
        </w:rPr>
        <w:t xml:space="preserve">Komnas HAM juga menyoroti bahwa norma dalam UU Cipta Kerja — khususnya frasa "penyesuaian berbagai peraturan" dan "kemudahan dan percepatan" — dinilai "vague norm" yang membuka ruang pelanggaran hak konstitusional. PSN yang disorot: Kereta Cepat Jakarta-Bandung, Wadas, Makassar New Port, Kawasan Industri Hijau Indonesia, dan food estate Merauke.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PSN &amp; KONFLIK AGRARIA</w:t>
            </w:r>
          </w:p>
          <w:p>
            <w:pPr>
              <w:pStyle w:val="ListParagraph"/>
              <w:numPr>
                <w:ilvl w:val="0"/>
                <w:numId w:val="2"/>
              </w:numPr>
              <w:spacing w:after="40" w:before="40"/>
            </w:pPr>
            <w:r>
              <w:rPr>
                <w:rFonts w:ascii="Arial" w:cs="Arial" w:eastAsia="Arial" w:hAnsi="Arial"/>
                <w:color w:val="1E1E1E"/>
                <w:sz w:val="21"/>
                <w:szCs w:val="21"/>
              </w:rPr>
              <w:t xml:space="preserve">Perkara MK 112/PUU-XXIII/2025: judicial review UU Cipta Kerja terkait PSN</w:t>
            </w:r>
          </w:p>
          <w:p>
            <w:pPr>
              <w:pStyle w:val="ListParagraph"/>
              <w:numPr>
                <w:ilvl w:val="0"/>
                <w:numId w:val="2"/>
              </w:numPr>
              <w:spacing w:after="40" w:before="40"/>
            </w:pPr>
            <w:r>
              <w:rPr>
                <w:rFonts w:ascii="Arial" w:cs="Arial" w:eastAsia="Arial" w:hAnsi="Arial"/>
                <w:color w:val="1E1E1E"/>
                <w:sz w:val="21"/>
                <w:szCs w:val="21"/>
              </w:rPr>
              <w:t xml:space="preserve">80 laporan konflik agraria 2020-2024, 11 langsung terkait PSN (Komnas Perempuan)</w:t>
            </w:r>
          </w:p>
          <w:p>
            <w:pPr>
              <w:pStyle w:val="ListParagraph"/>
              <w:numPr>
                <w:ilvl w:val="0"/>
                <w:numId w:val="2"/>
              </w:numPr>
              <w:spacing w:after="40" w:before="40"/>
            </w:pPr>
            <w:r>
              <w:rPr>
                <w:rFonts w:ascii="Arial" w:cs="Arial" w:eastAsia="Arial" w:hAnsi="Arial"/>
                <w:color w:val="1E1E1E"/>
                <w:sz w:val="21"/>
                <w:szCs w:val="21"/>
              </w:rPr>
              <w:t xml:space="preserve">Makassar New Port: 300 perempuan nelayan kehilangan nafkah + lonjakan KDRT</w:t>
            </w:r>
          </w:p>
          <w:p>
            <w:pPr>
              <w:pStyle w:val="ListParagraph"/>
              <w:numPr>
                <w:ilvl w:val="0"/>
                <w:numId w:val="2"/>
              </w:numPr>
              <w:spacing w:after="40" w:before="40"/>
            </w:pPr>
            <w:r>
              <w:rPr>
                <w:rFonts w:ascii="Arial" w:cs="Arial" w:eastAsia="Arial" w:hAnsi="Arial"/>
                <w:color w:val="1E1E1E"/>
                <w:sz w:val="21"/>
                <w:szCs w:val="21"/>
              </w:rPr>
              <w:t xml:space="preserve">Wadas, Jateng: 334 petani perempuan kehilangan tanah akibat Bendungan Bener</w:t>
            </w:r>
          </w:p>
          <w:p>
            <w:pPr>
              <w:pStyle w:val="ListParagraph"/>
              <w:numPr>
                <w:ilvl w:val="0"/>
                <w:numId w:val="2"/>
              </w:numPr>
              <w:spacing w:after="40" w:before="40"/>
            </w:pPr>
            <w:r>
              <w:rPr>
                <w:rFonts w:ascii="Arial" w:cs="Arial" w:eastAsia="Arial" w:hAnsi="Arial"/>
                <w:color w:val="1E1E1E"/>
                <w:sz w:val="21"/>
                <w:szCs w:val="21"/>
              </w:rPr>
              <w:t xml:space="preserve">PLTP Poco Leok, Manggarai NTT: perempuan alami kekerasan fisik dan seksual</w:t>
            </w:r>
          </w:p>
          <w:p>
            <w:pPr>
              <w:pStyle w:val="ListParagraph"/>
              <w:numPr>
                <w:ilvl w:val="0"/>
                <w:numId w:val="2"/>
              </w:numPr>
              <w:spacing w:after="40" w:before="40"/>
            </w:pPr>
            <w:r>
              <w:rPr>
                <w:rFonts w:ascii="Arial" w:cs="Arial" w:eastAsia="Arial" w:hAnsi="Arial"/>
                <w:color w:val="1E1E1E"/>
                <w:sz w:val="21"/>
                <w:szCs w:val="21"/>
              </w:rPr>
              <w:t xml:space="preserve">PT Vale Indonesia, Sorowako Sulsel: konflik dengan masyarakat adat berlanjut</w:t>
            </w:r>
          </w:p>
          <w:p>
            <w:pPr>
              <w:pStyle w:val="ListParagraph"/>
              <w:numPr>
                <w:ilvl w:val="0"/>
                <w:numId w:val="2"/>
              </w:numPr>
              <w:spacing w:after="40" w:before="40"/>
            </w:pPr>
            <w:r>
              <w:rPr>
                <w:rFonts w:ascii="Arial" w:cs="Arial" w:eastAsia="Arial" w:hAnsi="Arial"/>
                <w:color w:val="1E1E1E"/>
                <w:sz w:val="21"/>
                <w:szCs w:val="21"/>
              </w:rPr>
              <w:t xml:space="preserve">Rempang: aparat merespons protes warga dengan meriam air, gas air mata, peluru karet (Sept 2023)</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AKSELERASI YANG MENGORBANKAN YANG PALING LEMAH</w:t>
            </w:r>
          </w:p>
          <w:p>
            <w:pPr>
              <w:spacing w:after="0" w:before="0"/>
              <w:jc w:val="both"/>
            </w:pPr>
            <w:r>
              <w:rPr>
                <w:rFonts w:ascii="Arial" w:cs="Arial" w:eastAsia="Arial" w:hAnsi="Arial"/>
                <w:i/>
                <w:iCs/>
                <w:color w:val="1E1E1E"/>
                <w:sz w:val="21"/>
                <w:szCs w:val="21"/>
              </w:rPr>
              <w:t xml:space="preserve">PSN adalah instrumen pembangunan yang legitimate — tapi legitimasinya bukan tanpa syarat. Ketika perempuan nelayan di Makassar kehilangan nafkah dan berujung pada KDRT, ketika perempuan adat di Manggarai mengalami kekerasan fisik karena menolak proyek energi, dan ketika aparat dikerahkan untuk mengamankan konstruksi di atas tanah yang sengketa kepemilikannya belum selesai — maka PSN bukan lagi sekadar proyek pembangunan. Ia menjadi instrumen yang memproduksi pelanggaran HAM. Apabila MK mengabulkan pengujian pasal-pasal karet ini, Indonesia akan punya preseden penting untuk memastikan pembangunan tidak lagi dibeli dengan harga yang dibayar oleh yang paling tidak punya suara.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6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8B5E1A" w:sz="4"/>
              <w:right w:val="none" w:color="FFFFFF" w:sz="0"/>
            </w:tcBorders>
            <w:tcMar>
              <w:top w:type="dxa" w:w="0"/>
              <w:left w:type="dxa" w:w="0"/>
              <w:bottom w:type="dxa" w:w="80"/>
              <w:right w:type="dxa" w:w="0"/>
            </w:tcMar>
          </w:tcPr>
          <w:p>
            <w:pPr>
              <w:spacing w:after="40" w:before="0"/>
            </w:pPr>
            <w:r>
              <w:rPr>
                <w:rFonts w:ascii="Arial" w:cs="Arial" w:eastAsia="Arial" w:hAnsi="Arial"/>
                <w:b/>
                <w:bCs/>
                <w:color w:val="8B5E1A"/>
                <w:spacing w:val="30"/>
                <w:sz w:val="17"/>
                <w:szCs w:val="17"/>
              </w:rPr>
              <w:t xml:space="preserve">LAPORAN 07  </w:t>
            </w:r>
            <w:r>
              <w:rPr>
                <w:rFonts w:ascii="Arial" w:cs="Arial" w:eastAsia="Arial" w:hAnsi="Arial"/>
                <w:b/>
                <w:bCs/>
                <w:color w:val="8B5E1A"/>
                <w:sz w:val="17"/>
                <w:szCs w:val="17"/>
              </w:rPr>
              <w:t xml:space="preserve">TINGGI  |  </w:t>
            </w:r>
            <w:r>
              <w:rPr>
                <w:rFonts w:ascii="Arial" w:cs="Arial" w:eastAsia="Arial" w:hAnsi="Arial"/>
                <w:color w:val="888888"/>
                <w:spacing w:val="20"/>
                <w:sz w:val="17"/>
                <w:szCs w:val="17"/>
              </w:rPr>
              <w:t xml:space="preserve">HUKUM — KUHAP BARU</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A06000" w:sz="2"/>
              <w:left w:val="single" w:color="A06000" w:sz="2"/>
              <w:bottom w:val="single" w:color="DDDDDD" w:sz="1"/>
              <w:right w:val="single" w:color="A06000" w:sz="2"/>
            </w:tcBorders>
            <w:shd w:fill="FFFBF0" w:val="clear"/>
            <w:tcMar>
              <w:top w:type="dxa" w:w="80"/>
              <w:left w:type="dxa" w:w="140"/>
              <w:bottom w:type="dxa" w:w="80"/>
              <w:right w:type="dxa" w:w="140"/>
            </w:tcMar>
          </w:tcPr>
          <w:p>
            <w:pPr>
              <w:spacing w:after="0" w:before="0"/>
            </w:pPr>
            <w:r>
              <w:rPr>
                <w:rFonts w:ascii="Arial" w:cs="Arial" w:eastAsia="Arial" w:hAnsi="Arial"/>
                <w:b/>
                <w:bCs/>
                <w:color w:val="A06000"/>
                <w:spacing w:val="40"/>
                <w:sz w:val="17"/>
                <w:szCs w:val="17"/>
              </w:rPr>
              <w:t xml:space="preserve">SKOR ANALITIK  </w:t>
            </w:r>
            <w:r>
              <w:rPr>
                <w:rFonts w:ascii="Arial" w:cs="Arial" w:eastAsia="Arial" w:hAnsi="Arial"/>
                <w:b/>
                <w:bCs/>
                <w:color w:val="A06000"/>
                <w:sz w:val="17"/>
                <w:szCs w:val="17"/>
              </w:rPr>
              <w:t xml:space="preserve">[ TINGGI ]</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703"/>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213"/>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68</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495"/>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671"/>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24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82</w:t>
            </w:r>
          </w:p>
        </w:tc>
      </w:tr>
      <w:tr>
        <w:trPr>
          <w:trHeight w:val="320" w:hRule="exact"/>
        </w:trPr>
        <w:tc>
          <w:tcPr>
            <w:tcW w:type="dxa" w:w="1976"/>
            <w:tcBorders>
              <w:top w:val="none" w:color="FFFFFF" w:sz="0"/>
              <w:left w:val="single" w:color="A06000"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15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A06000"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80" w:hRule="exact"/>
        </w:trPr>
        <w:tc>
          <w:tcPr>
            <w:gridSpan w:val="4"/>
            <w:tcBorders>
              <w:top w:val="none" w:color="FFFFFF" w:sz="0"/>
              <w:left w:val="single" w:color="A06000" w:sz="2"/>
              <w:bottom w:val="none" w:color="FFFFFF" w:sz="0"/>
              <w:right w:val="single" w:color="A06000" w:sz="2"/>
            </w:tcBorders>
            <w:shd w:fill="FFFFFF" w:val="clear"/>
          </w:tcPr>
          <w:p>
            <w:pPr>
              <w:spacing w:after="0" w:before="0"/>
            </w:pPr>
            <w:r>
              <w:t xml:space="preserve"/>
            </w:r>
          </w:p>
        </w:tc>
      </w:tr>
      <w:tr>
        <w:tc>
          <w:tcPr>
            <w:gridSpan w:val="4"/>
            <w:tcBorders>
              <w:top w:val="single" w:color="DDDDDD" w:sz="1"/>
              <w:left w:val="single" w:color="A06000" w:sz="2"/>
              <w:bottom w:val="single" w:color="A06000" w:sz="2"/>
              <w:right w:val="single" w:color="A06000" w:sz="2"/>
            </w:tcBorders>
            <w:shd w:fill="FFFBF0"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Indonesia, Hukumonline, Komnas HAM Policy Brief 2025</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REFORMASI HUKUM — 2026</w:t>
      </w:r>
    </w:p>
    <w:p>
      <w:pPr>
        <w:spacing w:after="100" w:before="80"/>
      </w:pPr>
      <w:r>
        <w:rPr>
          <w:rFonts w:ascii="Arial" w:cs="Arial" w:eastAsia="Arial" w:hAnsi="Arial"/>
          <w:b/>
          <w:bCs/>
          <w:color w:val="1E1E1E"/>
          <w:sz w:val="36"/>
          <w:szCs w:val="36"/>
        </w:rPr>
        <w:t xml:space="preserve">KUHP Baru Berlaku 2026 — tapi Pasal-Pasal Bermasalah UU ITE Belum Selesai</w:t>
      </w:r>
    </w:p>
    <w:p>
      <w:pPr>
        <w:spacing w:after="100" w:before="60"/>
        <w:jc w:val="both"/>
      </w:pPr>
      <w:r>
        <w:rPr>
          <w:rFonts w:ascii="Arial" w:cs="Arial" w:eastAsia="Arial" w:hAnsi="Arial"/>
          <w:color w:val="1E1E1E"/>
          <w:sz w:val="22"/>
          <w:szCs w:val="22"/>
        </w:rPr>
        <w:t xml:space="preserve">Tahun 2026 menandai momen penting dalam sejarah hukum pidana Indonesia: UU No. 1 Tahun 2023 tentang KUHP Nasional mulai berlaku, menggantikan KUHP warisan kolonial. Ini adalah reformasi legislatif yang lama dinantikan. Tapi para pemantau HAM mencatat: berlakunya KUHP baru tidak serta-merta menyelesaikan masalah yang paling banyak dikeluhkan — kriminalisasi terhadap kebebasan berekspresi.</w:t>
      </w:r>
    </w:p>
    <w:p>
      <w:pPr>
        <w:spacing w:after="100" w:before="60"/>
        <w:jc w:val="both"/>
      </w:pPr>
      <w:r>
        <w:rPr>
          <w:rFonts w:ascii="Arial" w:cs="Arial" w:eastAsia="Arial" w:hAnsi="Arial"/>
          <w:color w:val="1E1E1E"/>
          <w:sz w:val="22"/>
          <w:szCs w:val="22"/>
        </w:rPr>
        <w:t xml:space="preserve">Komnas HAM dalam policy brief 2025 mencatat bahwa pasca berlakunya KUHP baru, belum ada kepastian tentang berlakunya SKB (Surat Keputusan Bersama) Implementasi UU ITE yang sebelumnya menjadi panduan penerapan UU ITE. KUHP baru berposisi sebagai lex generalis, sementara UU ITE tetap berlaku sebagai lex specialis — tapi bagaimana keduanya berinteraksi dalam kasus konkret belum diatur secara jernih.</w:t>
      </w:r>
    </w:p>
    <w:p>
      <w:pPr>
        <w:spacing w:after="80" w:before="160"/>
      </w:pPr>
      <w:r>
        <w:rPr>
          <w:rFonts w:ascii="Arial" w:cs="Arial" w:eastAsia="Arial" w:hAnsi="Arial"/>
          <w:b/>
          <w:bCs/>
          <w:color w:val="2C5282"/>
          <w:sz w:val="24"/>
          <w:szCs w:val="24"/>
        </w:rPr>
        <w:t xml:space="preserve">Pasal 27A dan 27B: Pedang Bermata Dua yang Masih Teracung</w:t>
      </w:r>
    </w:p>
    <w:p>
      <w:pPr>
        <w:spacing w:after="100" w:before="60"/>
        <w:jc w:val="both"/>
      </w:pPr>
      <w:r>
        <w:rPr>
          <w:rFonts w:ascii="Arial" w:cs="Arial" w:eastAsia="Arial" w:hAnsi="Arial"/>
          <w:color w:val="1E1E1E"/>
          <w:sz w:val="22"/>
          <w:szCs w:val="22"/>
        </w:rPr>
        <w:t xml:space="preserve">Pasal 27A dan 27B UU ITE yang mengatur pencemaran nama baik dan konten yang memuat kebencian dinilai Komnas HAM masih rentan disalahgunakan. Dari Januari 2019 hingga September 2024, Amnesty mencatat 521 kasus kriminalisasi menggunakan UU ITE dengan 554 orang didakwa. Pembela HAM, jurnalis, dan aktivis yang mengkritik pejabat publik atau kebijakan pemerintah adalah kelompok yang paling banyak menjadi korban. KUHP baru mengandung pasal pencemaran nama baik yang juga dikritik — berpotensi menjadi lapisan tambahan atas UU ITE yang sudah bermasalah.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STATUS KUHP BARU &amp; UU ITE 2026</w:t>
            </w:r>
          </w:p>
          <w:p>
            <w:pPr>
              <w:pStyle w:val="ListParagraph"/>
              <w:numPr>
                <w:ilvl w:val="0"/>
                <w:numId w:val="2"/>
              </w:numPr>
              <w:spacing w:after="40" w:before="40"/>
            </w:pPr>
            <w:r>
              <w:rPr>
                <w:rFonts w:ascii="Arial" w:cs="Arial" w:eastAsia="Arial" w:hAnsi="Arial"/>
                <w:color w:val="1E1E1E"/>
                <w:sz w:val="21"/>
                <w:szCs w:val="21"/>
              </w:rPr>
              <w:t xml:space="preserve">UU No. 1/2023 tentang KUHP Nasional: mulai berlaku 2026 sebagai lex generalis</w:t>
            </w:r>
          </w:p>
          <w:p>
            <w:pPr>
              <w:pStyle w:val="ListParagraph"/>
              <w:numPr>
                <w:ilvl w:val="0"/>
                <w:numId w:val="2"/>
              </w:numPr>
              <w:spacing w:after="40" w:before="40"/>
            </w:pPr>
            <w:r>
              <w:rPr>
                <w:rFonts w:ascii="Arial" w:cs="Arial" w:eastAsia="Arial" w:hAnsi="Arial"/>
                <w:color w:val="1E1E1E"/>
                <w:sz w:val="21"/>
                <w:szCs w:val="21"/>
              </w:rPr>
              <w:t xml:space="preserve">UU ITE tetap berlaku sebagai lex specialis — dua lapisan hukum pidana berlaku bersamaan</w:t>
            </w:r>
          </w:p>
          <w:p>
            <w:pPr>
              <w:pStyle w:val="ListParagraph"/>
              <w:numPr>
                <w:ilvl w:val="0"/>
                <w:numId w:val="2"/>
              </w:numPr>
              <w:spacing w:after="40" w:before="40"/>
            </w:pPr>
            <w:r>
              <w:rPr>
                <w:rFonts w:ascii="Arial" w:cs="Arial" w:eastAsia="Arial" w:hAnsi="Arial"/>
                <w:color w:val="1E1E1E"/>
                <w:sz w:val="21"/>
                <w:szCs w:val="21"/>
              </w:rPr>
              <w:t xml:space="preserve">SKB Implementasi UU ITE: belum ada kepastian berlakunya pasca-KUHP baru</w:t>
            </w:r>
          </w:p>
          <w:p>
            <w:pPr>
              <w:pStyle w:val="ListParagraph"/>
              <w:numPr>
                <w:ilvl w:val="0"/>
                <w:numId w:val="2"/>
              </w:numPr>
              <w:spacing w:after="40" w:before="40"/>
            </w:pPr>
            <w:r>
              <w:rPr>
                <w:rFonts w:ascii="Arial" w:cs="Arial" w:eastAsia="Arial" w:hAnsi="Arial"/>
                <w:color w:val="1E1E1E"/>
                <w:sz w:val="21"/>
                <w:szCs w:val="21"/>
              </w:rPr>
              <w:t xml:space="preserve">Pasal 27A dan 27B UU ITE: masih dinilai berpotensi kriminalisasi kritik publik</w:t>
            </w:r>
          </w:p>
          <w:p>
            <w:pPr>
              <w:pStyle w:val="ListParagraph"/>
              <w:numPr>
                <w:ilvl w:val="0"/>
                <w:numId w:val="2"/>
              </w:numPr>
              <w:spacing w:after="40" w:before="40"/>
            </w:pPr>
            <w:r>
              <w:rPr>
                <w:rFonts w:ascii="Arial" w:cs="Arial" w:eastAsia="Arial" w:hAnsi="Arial"/>
                <w:color w:val="1E1E1E"/>
                <w:sz w:val="21"/>
                <w:szCs w:val="21"/>
              </w:rPr>
              <w:t xml:space="preserve">521 kasus kriminalisasi UU ITE Jan 2019-Sep 2024 (Amnesty) — 554 orang didakwa</w:t>
            </w:r>
          </w:p>
          <w:p>
            <w:pPr>
              <w:pStyle w:val="ListParagraph"/>
              <w:numPr>
                <w:ilvl w:val="0"/>
                <w:numId w:val="2"/>
              </w:numPr>
              <w:spacing w:after="40" w:before="40"/>
            </w:pPr>
            <w:r>
              <w:rPr>
                <w:rFonts w:ascii="Arial" w:cs="Arial" w:eastAsia="Arial" w:hAnsi="Arial"/>
                <w:color w:val="1E1E1E"/>
                <w:sz w:val="21"/>
                <w:szCs w:val="21"/>
              </w:rPr>
              <w:t xml:space="preserve">KUHP baru: mengandung pasal pencemaran nama baik — dikritik berpotensi tambah masalah</w:t>
            </w:r>
          </w:p>
          <w:p>
            <w:pPr>
              <w:pStyle w:val="ListParagraph"/>
              <w:numPr>
                <w:ilvl w:val="0"/>
                <w:numId w:val="2"/>
              </w:numPr>
              <w:spacing w:after="40" w:before="40"/>
            </w:pPr>
            <w:r>
              <w:rPr>
                <w:rFonts w:ascii="Arial" w:cs="Arial" w:eastAsia="Arial" w:hAnsi="Arial"/>
                <w:color w:val="1E1E1E"/>
                <w:sz w:val="21"/>
                <w:szCs w:val="21"/>
              </w:rPr>
              <w:t xml:space="preserve">Komnas HAM: rekomendasikan kepastian hukum implementasi sebelum KUHAP baru berlaku</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REFORMASI HUKUM YANG SETENGAH JALAN</w:t>
            </w:r>
          </w:p>
          <w:p>
            <w:pPr>
              <w:spacing w:after="0" w:before="0"/>
              <w:jc w:val="both"/>
            </w:pPr>
            <w:r>
              <w:rPr>
                <w:rFonts w:ascii="Arial" w:cs="Arial" w:eastAsia="Arial" w:hAnsi="Arial"/>
                <w:i/>
                <w:iCs/>
                <w:color w:val="1E1E1E"/>
                <w:sz w:val="21"/>
                <w:szCs w:val="21"/>
              </w:rPr>
              <w:t xml:space="preserve">Berlakunya KUHP baru adalah langkah maju — mengakhiri ketergantungan pada warisan hukum pidana kolonial. Tapi reformasi hukum yang sesungguhnya bukan diukur dari berapa banyak pasal yang diganti, tapi dari apakah kehidupan sehari-hari orang yang mengkritik kekuasaan menjadi lebih aman atau lebih tidak aman. Selama pasal-pasal karet tentang pencemaran nama baik masih ada di UU ITE dan sekarang juga di KUHP baru, dan selama SKB Implementasi belum memberikan kepastian, reformasi ini masih setengah jalan.</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7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08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HAM — HAK PEREMPUAN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495"/>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421"/>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288"/>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150"/>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Indonesia, Komnas Perempuan, Populi.id, Kompas</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KEKERASAN SEKSUAL &amp; APARAT</w:t>
      </w:r>
    </w:p>
    <w:p>
      <w:pPr>
        <w:spacing w:after="100" w:before="80"/>
      </w:pPr>
      <w:r>
        <w:rPr>
          <w:rFonts w:ascii="Arial" w:cs="Arial" w:eastAsia="Arial" w:hAnsi="Arial"/>
          <w:b/>
          <w:bCs/>
          <w:color w:val="1E1E1E"/>
          <w:sz w:val="36"/>
          <w:szCs w:val="36"/>
        </w:rPr>
        <w:t xml:space="preserve">Remaja Jambi Diperkosa Dua Polisi Aktif: Impian Jadi Polwan Hancur, Keadilan Masih Jalan Panjang</w:t>
      </w:r>
    </w:p>
    <w:p>
      <w:pPr>
        <w:spacing w:after="100" w:before="60"/>
        <w:jc w:val="both"/>
      </w:pPr>
      <w:r>
        <w:rPr>
          <w:rFonts w:ascii="Arial" w:cs="Arial" w:eastAsia="Arial" w:hAnsi="Arial"/>
          <w:color w:val="1E1E1E"/>
          <w:sz w:val="22"/>
          <w:szCs w:val="22"/>
        </w:rPr>
        <w:t xml:space="preserve">Kasus ini tidak mencuat pada November 2025 saat terjadi. Ia baru meledak ke permukaan publik pada Februari 2026, ketika sidang etik digelar untuk menangani pelanggaran yang sudah berbulan-bulan diam. Seorang remaja perempuan berusia 18 tahun berinisial C menjadi korban pemerkosaan yang melibatkan empat orang — dua di antaranya adalah anggota polisi aktif: Bripda NIR dari Direktorat Reskrimum Polda Jambi, dan Bripda SR dari Samapta Polres Tanjung Jabung.</w:t>
      </w:r>
    </w:p>
    <w:p>
      <w:pPr>
        <w:spacing w:after="100" w:before="60"/>
        <w:jc w:val="both"/>
      </w:pPr>
      <w:r>
        <w:rPr>
          <w:rFonts w:ascii="Arial" w:cs="Arial" w:eastAsia="Arial" w:hAnsi="Arial"/>
          <w:color w:val="1E1E1E"/>
          <w:sz w:val="22"/>
          <w:szCs w:val="22"/>
        </w:rPr>
        <w:t xml:space="preserve">Korban C memiliki impian menjadi Polwan sejak SMA. Impian itu hancur setelah malam yang membuatnya trauma berat. Ibu korban menceritakan bahwa C "dioper" dari satu tempat ke tempat lain oleh para pelaku — dipindahkan ke sebuah kos-kosan di kawasan Arizona dan kembali disetubuhi oleh oknum berinisial N. Trauma yang dialami korban sedemikian berat hingga ia sempat mencoba mengakhiri hidupnya dan kini lebih banyak mengurung diri.</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"Anak saya dioper lagi ke kos-kosan, bertemu si N dan anak saya disetubuhi lagi."</w:t>
            </w:r>
          </w:p>
          <w:p>
            <w:pPr>
              <w:spacing w:after="0" w:before="0"/>
            </w:pPr>
            <w:r>
              <w:rPr>
                <w:rFonts w:ascii="Arial" w:cs="Arial" w:eastAsia="Arial" w:hAnsi="Arial"/>
                <w:i/>
                <w:iCs/>
                <w:color w:val="888888"/>
                <w:sz w:val="19"/>
                <w:szCs w:val="19"/>
              </w:rPr>
              <w:t xml:space="preserve">— MS, ibu korban C, kepada Kompas.com</w:t>
            </w:r>
          </w:p>
        </w:tc>
      </w:tr>
    </w:tbl>
    <w:p>
      <w:pPr>
        <w:spacing w:after="100" w:before="60"/>
        <w:jc w:val="both"/>
      </w:pPr>
      <w:r>
        <w:rPr>
          <w:rFonts w:ascii="Arial" w:cs="Arial" w:eastAsia="Arial" w:hAnsi="Arial"/>
          <w:color w:val="1E1E1E"/>
          <w:sz w:val="22"/>
          <w:szCs w:val="22"/>
        </w:rPr>
        <w:t xml:space="preserve">Bripda NIR dan Bripda SR telah dijatuhi sanksi Pemberhentian Tidak Dengan Hormat (PTDH) — dipecat. Tapi masih ada pertanyaan tentang empat anggota polisi lain yang diduga berada di lokasi malam itu: apakah mereka akan ikut dimintai pertanggungjawaban? Dan yang paling fundamental: apakah korban akan mendapat keadilan yang nyata, bukan sekadar pemecatan pelaku?</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KASUS JAMBI</w:t>
            </w:r>
          </w:p>
          <w:p>
            <w:pPr>
              <w:pStyle w:val="ListParagraph"/>
              <w:numPr>
                <w:ilvl w:val="0"/>
                <w:numId w:val="2"/>
              </w:numPr>
              <w:spacing w:after="40" w:before="40"/>
            </w:pPr>
            <w:r>
              <w:rPr>
                <w:rFonts w:ascii="Arial" w:cs="Arial" w:eastAsia="Arial" w:hAnsi="Arial"/>
                <w:color w:val="1E1E1E"/>
                <w:sz w:val="21"/>
                <w:szCs w:val="21"/>
              </w:rPr>
              <w:t xml:space="preserve">Terjadi: November 2025 di Jambi — baru publik Februari 2026 saat sidang etik</w:t>
            </w:r>
          </w:p>
          <w:p>
            <w:pPr>
              <w:pStyle w:val="ListParagraph"/>
              <w:numPr>
                <w:ilvl w:val="0"/>
                <w:numId w:val="2"/>
              </w:numPr>
              <w:spacing w:after="40" w:before="40"/>
            </w:pPr>
            <w:r>
              <w:rPr>
                <w:rFonts w:ascii="Arial" w:cs="Arial" w:eastAsia="Arial" w:hAnsi="Arial"/>
                <w:color w:val="1E1E1E"/>
                <w:sz w:val="21"/>
                <w:szCs w:val="21"/>
              </w:rPr>
              <w:t xml:space="preserve">Korban: C (18), bercita-cita jadi Polwan sejak SMA — mimpi yang kini hancur</w:t>
            </w:r>
          </w:p>
          <w:p>
            <w:pPr>
              <w:pStyle w:val="ListParagraph"/>
              <w:numPr>
                <w:ilvl w:val="0"/>
                <w:numId w:val="2"/>
              </w:numPr>
              <w:spacing w:after="40" w:before="40"/>
            </w:pPr>
            <w:r>
              <w:rPr>
                <w:rFonts w:ascii="Arial" w:cs="Arial" w:eastAsia="Arial" w:hAnsi="Arial"/>
                <w:color w:val="1E1E1E"/>
                <w:sz w:val="21"/>
                <w:szCs w:val="21"/>
              </w:rPr>
              <w:t xml:space="preserve">Tersangka utama: Bripda NIR (Ditreskrimum Polda Jambi) + Bripda SR (Samapta Polres Tanjung Jabung)</w:t>
            </w:r>
          </w:p>
          <w:p>
            <w:pPr>
              <w:pStyle w:val="ListParagraph"/>
              <w:numPr>
                <w:ilvl w:val="0"/>
                <w:numId w:val="2"/>
              </w:numPr>
              <w:spacing w:after="40" w:before="40"/>
            </w:pPr>
            <w:r>
              <w:rPr>
                <w:rFonts w:ascii="Arial" w:cs="Arial" w:eastAsia="Arial" w:hAnsi="Arial"/>
                <w:color w:val="1E1E1E"/>
                <w:sz w:val="21"/>
                <w:szCs w:val="21"/>
              </w:rPr>
              <w:t xml:space="preserve">Total pelaku: 4 orang, 2 polisi aktif yang sudah ditetapkan tersangka</w:t>
            </w:r>
          </w:p>
          <w:p>
            <w:pPr>
              <w:pStyle w:val="ListParagraph"/>
              <w:numPr>
                <w:ilvl w:val="0"/>
                <w:numId w:val="2"/>
              </w:numPr>
              <w:spacing w:after="40" w:before="40"/>
            </w:pPr>
            <w:r>
              <w:rPr>
                <w:rFonts w:ascii="Arial" w:cs="Arial" w:eastAsia="Arial" w:hAnsi="Arial"/>
                <w:color w:val="1E1E1E"/>
                <w:sz w:val="21"/>
                <w:szCs w:val="21"/>
              </w:rPr>
              <w:t xml:space="preserve">Sanksi etik: PTDH (Pemberhentian Tidak Dengan Hormat) untuk kedua polisi</w:t>
            </w:r>
          </w:p>
          <w:p>
            <w:pPr>
              <w:pStyle w:val="ListParagraph"/>
              <w:numPr>
                <w:ilvl w:val="0"/>
                <w:numId w:val="2"/>
              </w:numPr>
              <w:spacing w:after="40" w:before="40"/>
            </w:pPr>
            <w:r>
              <w:rPr>
                <w:rFonts w:ascii="Arial" w:cs="Arial" w:eastAsia="Arial" w:hAnsi="Arial"/>
                <w:color w:val="1E1E1E"/>
                <w:sz w:val="21"/>
                <w:szCs w:val="21"/>
              </w:rPr>
              <w:t xml:space="preserve">Status 4 anggota lain yang diduga hadir: masih dalam penyelidikan</w:t>
            </w:r>
          </w:p>
          <w:p>
            <w:pPr>
              <w:pStyle w:val="ListParagraph"/>
              <w:numPr>
                <w:ilvl w:val="0"/>
                <w:numId w:val="2"/>
              </w:numPr>
              <w:spacing w:after="40" w:before="40"/>
            </w:pPr>
            <w:r>
              <w:rPr>
                <w:rFonts w:ascii="Arial" w:cs="Arial" w:eastAsia="Arial" w:hAnsi="Arial"/>
                <w:color w:val="1E1E1E"/>
                <w:sz w:val="21"/>
                <w:szCs w:val="21"/>
              </w:rPr>
              <w:t xml:space="preserve">Kondisi korban: trauma berat, sempat percobaan bunuh diri, mengurung diri</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PEMECATAN BUKAN AKHIR DARI KEADILAN</w:t>
            </w:r>
          </w:p>
          <w:p>
            <w:pPr>
              <w:spacing w:after="0" w:before="0"/>
              <w:jc w:val="both"/>
            </w:pPr>
            <w:r>
              <w:rPr>
                <w:rFonts w:ascii="Arial" w:cs="Arial" w:eastAsia="Arial" w:hAnsi="Arial"/>
                <w:i/>
                <w:iCs/>
                <w:color w:val="1E1E1E"/>
                <w:sz w:val="21"/>
                <w:szCs w:val="21"/>
              </w:rPr>
              <w:t xml:space="preserve">PTDH bagi dua pelaku adalah langkah yang benar — tapi ia bukan keadilan yang cukup bagi korban. Keadilan yang nyata untuk korban perkosaan mencakup proses pidana yang transparan dan konsekuensial, akses layanan rehabilitasi psikologis jangka panjang, perlindungan dari stigma sosial, dan jika perlu, perlindungan hukum atas identitasnya. Korban C tidak hanya kehilangan rasa amannya — ia kehilangan mimpinya menjadi polisi, kehilangan kepercayaan pada institusi yang seharusnya melindunginya. Itu adalah kerugian yang tidak bisa diselesaikan hanya dengan memecat dua pelaku.</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8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09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HAM — LINGKUNGAN &amp; MASYARAKAT ADAT</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288"/>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628"/>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62</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150"/>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394"/>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52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4011"/>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290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58</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Indonesia 2025, Walhi, ICW</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LINGKUNGAN &amp; MASYARAKAT ADAT</w:t>
      </w:r>
    </w:p>
    <w:p>
      <w:pPr>
        <w:spacing w:after="100" w:before="80"/>
      </w:pPr>
      <w:r>
        <w:rPr>
          <w:rFonts w:ascii="Arial" w:cs="Arial" w:eastAsia="Arial" w:hAnsi="Arial"/>
          <w:b/>
          <w:bCs/>
          <w:color w:val="1E1E1E"/>
          <w:sz w:val="36"/>
          <w:szCs w:val="36"/>
        </w:rPr>
        <w:t xml:space="preserve">Masyarakat Adat dan Aktivis Lingkungan: Mereka yang Paling Berani dan Paling Rentan</w:t>
      </w:r>
    </w:p>
    <w:p>
      <w:pPr>
        <w:spacing w:after="100" w:before="60"/>
        <w:jc w:val="both"/>
      </w:pPr>
      <w:r>
        <w:rPr>
          <w:rFonts w:ascii="Arial" w:cs="Arial" w:eastAsia="Arial" w:hAnsi="Arial"/>
          <w:color w:val="1E1E1E"/>
          <w:sz w:val="22"/>
          <w:szCs w:val="22"/>
        </w:rPr>
        <w:t xml:space="preserve">36 anggota masyarakat adat menjadi korban serangan dalam 54 kasus yang dicatat Amnesty International Indonesia sepanjang semester I 2025 — menjadikan mereka kelompok terbanyak yang terdampak setelah jurnalis. Bukan kebetulan: aktivisme masyarakat adat atas tanah ulayat dan sumber daya alam bersinggungan langsung dengan kepentingan investasi dan proyek negara yang bernilai sangat besar.</w:t>
      </w:r>
    </w:p>
    <w:p>
      <w:pPr>
        <w:spacing w:after="100" w:before="60"/>
        <w:jc w:val="both"/>
      </w:pPr>
      <w:r>
        <w:rPr>
          <w:rFonts w:ascii="Arial" w:cs="Arial" w:eastAsia="Arial" w:hAnsi="Arial"/>
          <w:color w:val="1E1E1E"/>
          <w:sz w:val="22"/>
          <w:szCs w:val="22"/>
        </w:rPr>
        <w:t xml:space="preserve">Pada 4 April 2025, aktivis lingkungan Daniel Frits Maurits Tangkilisan divonis bersalah atas ujaran kebencian di Facebook karena mengkritik budidaya udang di perairan Karimunjawa, Jawa Tengah, yang mencemari lingkungan. Ia dihukum tujuh bulan penjara dan denda Rp5 juta — pasal yang digunakan: Pasal 45A jo. Pasal 28 ayat (2) UU ITE. Kritik atas pencemaran lingkungan dianggap ujaran kebencian.</w:t>
      </w: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4A1060" w:sz="20"/>
              <w:bottom w:val="none" w:color="FFFFFF" w:sz="0"/>
              <w:right w:val="none" w:color="FFFFFF" w:sz="0"/>
            </w:tcBorders>
            <w:shd w:fill="FAF0FF" w:val="clear"/>
            <w:tcMar>
              <w:top w:type="dxa" w:w="120"/>
              <w:left w:type="dxa" w:w="280"/>
              <w:bottom w:type="dxa" w:w="120"/>
              <w:right w:type="dxa" w:w="120"/>
            </w:tcMar>
          </w:tcPr>
          <w:p>
            <w:pPr>
              <w:spacing w:after="80" w:before="0"/>
            </w:pPr>
            <w:r>
              <w:rPr>
                <w:rFonts w:ascii="Arial" w:cs="Arial" w:eastAsia="Arial" w:hAnsi="Arial"/>
                <w:b/>
                <w:bCs/>
                <w:i/>
                <w:iCs/>
                <w:color w:val="1E1E1E"/>
                <w:sz w:val="24"/>
                <w:szCs w:val="24"/>
              </w:rPr>
              <w:t xml:space="preserve">"Mereka yang lantang membela lingkungan dan tanah ulayat dibungkam lewat intimidasi dan kriminalisasi. Ini adalah upaya sistematis untuk menutupi kegagalan negara dalam mengelola kekayaan alam berlandaskan keadilan sosial."</w:t>
            </w:r>
          </w:p>
          <w:p>
            <w:pPr>
              <w:spacing w:after="0" w:before="0"/>
            </w:pPr>
            <w:r>
              <w:rPr>
                <w:rFonts w:ascii="Arial" w:cs="Arial" w:eastAsia="Arial" w:hAnsi="Arial"/>
                <w:i/>
                <w:iCs/>
                <w:color w:val="888888"/>
                <w:sz w:val="19"/>
                <w:szCs w:val="19"/>
              </w:rPr>
              <w:t xml:space="preserve">— Usman Hamid, Direktur Amnesty International Indonesia, Desember 2025</w:t>
            </w:r>
          </w:p>
        </w:tc>
      </w:tr>
    </w:tbl>
    <w:p>
      <w:pPr>
        <w:spacing w:after="100" w:before="60"/>
        <w:jc w:val="both"/>
      </w:pPr>
      <w:r>
        <w:rPr>
          <w:rFonts w:ascii="Arial" w:cs="Arial" w:eastAsia="Arial" w:hAnsi="Arial"/>
          <w:color w:val="1E1E1E"/>
          <w:sz w:val="22"/>
          <w:szCs w:val="22"/>
        </w:rPr>
        <w:t xml:space="preserve">Desember 2025: Ketua Adat Dusun Lelayang Tarsisius Fendy Sesupi ditangkap setelah mengkritik deforestasi dan kegiatan korporasi di Kalimantan Barat. Sebelumnya, 33 orang masyarakat adat Sihaporas, Simalungun, Sumatera Utara diserang pada September 2025 — melukai 18 perempuan, 15 laki-laki, dan seorang anak penyandang disabilitas. Dua aktivis Walhi dan Kamisan, Adetya Pramandira dan Fathul Munif, ditangkap 27 November 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KRIMINALISASI LINGKUNGAN &amp; ADAT</w:t>
            </w:r>
          </w:p>
          <w:p>
            <w:pPr>
              <w:pStyle w:val="ListParagraph"/>
              <w:numPr>
                <w:ilvl w:val="0"/>
                <w:numId w:val="2"/>
              </w:numPr>
              <w:spacing w:after="40" w:before="40"/>
            </w:pPr>
            <w:r>
              <w:rPr>
                <w:rFonts w:ascii="Arial" w:cs="Arial" w:eastAsia="Arial" w:hAnsi="Arial"/>
                <w:color w:val="1E1E1E"/>
                <w:sz w:val="21"/>
                <w:szCs w:val="21"/>
              </w:rPr>
              <w:t xml:space="preserve">Semester I 2025: 36 anggota masyarakat adat jadi korban serangan — kelompok terbanyak</w:t>
            </w:r>
          </w:p>
          <w:p>
            <w:pPr>
              <w:pStyle w:val="ListParagraph"/>
              <w:numPr>
                <w:ilvl w:val="0"/>
                <w:numId w:val="2"/>
              </w:numPr>
              <w:spacing w:after="40" w:before="40"/>
            </w:pPr>
            <w:r>
              <w:rPr>
                <w:rFonts w:ascii="Arial" w:cs="Arial" w:eastAsia="Arial" w:hAnsi="Arial"/>
                <w:color w:val="1E1E1E"/>
                <w:sz w:val="21"/>
                <w:szCs w:val="21"/>
              </w:rPr>
              <w:t xml:space="preserve">4 April 2025: Daniel Frits divonis 7 bulan karena kritik tambak udang di Facebook (UU ITE)</w:t>
            </w:r>
          </w:p>
          <w:p>
            <w:pPr>
              <w:pStyle w:val="ListParagraph"/>
              <w:numPr>
                <w:ilvl w:val="0"/>
                <w:numId w:val="2"/>
              </w:numPr>
              <w:spacing w:after="40" w:before="40"/>
            </w:pPr>
            <w:r>
              <w:rPr>
                <w:rFonts w:ascii="Arial" w:cs="Arial" w:eastAsia="Arial" w:hAnsi="Arial"/>
                <w:color w:val="1E1E1E"/>
                <w:sz w:val="21"/>
                <w:szCs w:val="21"/>
              </w:rPr>
              <w:t xml:space="preserve">September 2025: 33 masyarakat adat Sihaporas diserang — 18 perempuan dan 1 anak penyandang disabilitas terluka</w:t>
            </w:r>
          </w:p>
          <w:p>
            <w:pPr>
              <w:pStyle w:val="ListParagraph"/>
              <w:numPr>
                <w:ilvl w:val="0"/>
                <w:numId w:val="2"/>
              </w:numPr>
              <w:spacing w:after="40" w:before="40"/>
            </w:pPr>
            <w:r>
              <w:rPr>
                <w:rFonts w:ascii="Arial" w:cs="Arial" w:eastAsia="Arial" w:hAnsi="Arial"/>
                <w:color w:val="1E1E1E"/>
                <w:sz w:val="21"/>
                <w:szCs w:val="21"/>
              </w:rPr>
              <w:t xml:space="preserve">Desember 2025: Ketua Adat Kalimantan Barat ditangkap karena kritik deforestasi</w:t>
            </w:r>
          </w:p>
          <w:p>
            <w:pPr>
              <w:pStyle w:val="ListParagraph"/>
              <w:numPr>
                <w:ilvl w:val="0"/>
                <w:numId w:val="2"/>
              </w:numPr>
              <w:spacing w:after="40" w:before="40"/>
            </w:pPr>
            <w:r>
              <w:rPr>
                <w:rFonts w:ascii="Arial" w:cs="Arial" w:eastAsia="Arial" w:hAnsi="Arial"/>
                <w:color w:val="1E1E1E"/>
                <w:sz w:val="21"/>
                <w:szCs w:val="21"/>
              </w:rPr>
              <w:t xml:space="preserve">27 November 2025: dua aktivis Walhi dan Kamisan ditangkap</w:t>
            </w:r>
          </w:p>
          <w:p>
            <w:pPr>
              <w:pStyle w:val="ListParagraph"/>
              <w:numPr>
                <w:ilvl w:val="0"/>
                <w:numId w:val="2"/>
              </w:numPr>
              <w:spacing w:after="40" w:before="40"/>
            </w:pPr>
            <w:r>
              <w:rPr>
                <w:rFonts w:ascii="Arial" w:cs="Arial" w:eastAsia="Arial" w:hAnsi="Arial"/>
                <w:color w:val="1E1E1E"/>
                <w:sz w:val="21"/>
                <w:szCs w:val="21"/>
              </w:rPr>
              <w:t xml:space="preserve">Buku "Reset Indonesia" dilarang bedah di Desa Gunungsari Madiun, Desember 2025</w:t>
            </w:r>
          </w:p>
          <w:p>
            <w:pPr>
              <w:pStyle w:val="ListParagraph"/>
              <w:numPr>
                <w:ilvl w:val="0"/>
                <w:numId w:val="2"/>
              </w:numPr>
              <w:spacing w:after="40" w:before="40"/>
            </w:pPr>
            <w:r>
              <w:rPr>
                <w:rFonts w:ascii="Arial" w:cs="Arial" w:eastAsia="Arial" w:hAnsi="Arial"/>
                <w:color w:val="1E1E1E"/>
                <w:sz w:val="21"/>
                <w:szCs w:val="21"/>
              </w:rPr>
              <w:t xml:space="preserve">Amnesty: hutan di Sumatera, Kalimantan, Maluku, Nusa Tenggara, Papua sudah rusak masif</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KRIMINALISASI SEBAGAI INSTRUMEN BISNIS</w:t>
            </w:r>
          </w:p>
          <w:p>
            <w:pPr>
              <w:spacing w:after="0" w:before="0"/>
              <w:jc w:val="both"/>
            </w:pPr>
            <w:r>
              <w:rPr>
                <w:rFonts w:ascii="Arial" w:cs="Arial" w:eastAsia="Arial" w:hAnsi="Arial"/>
                <w:i/>
                <w:iCs/>
                <w:color w:val="1E1E1E"/>
                <w:sz w:val="21"/>
                <w:szCs w:val="21"/>
              </w:rPr>
              <w:t xml:space="preserve">Pola yang muncul dari semua kasus ini sangat jelas: kriminalisasi aktivis lingkungan dan masyarakat adat bukan semata-mata tindakan represif spontan — ia adalah instrumen yang berfungsi melindungi kepentingan ekonomi dari pengawasan publik. Ketika aktivis yang mengkritik tambak udang dihukum penjara, pesan yang dikirimkan kepada komunitas lain yang ingin bersuara sangat jelas: diam atau hadapi konsekuensi. Ini adalah chilling effect yang jauh melampaui kasus individu dan mempengaruhi ekosistem akuntabilitas seluruh masyarakat sipil.</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9  |  HUKUM &amp; HAM WATCH — Senopati Strategic Intelligence  |  12 April 2026</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single" w:color="2C5282" w:sz="4"/>
              <w:right w:val="none" w:color="FFFFFF" w:sz="0"/>
            </w:tcBorders>
            <w:tcMar>
              <w:top w:type="dxa" w:w="0"/>
              <w:left w:type="dxa" w:w="0"/>
              <w:bottom w:type="dxa" w:w="80"/>
              <w:right w:type="dxa" w:w="0"/>
            </w:tcMar>
          </w:tcPr>
          <w:p>
            <w:pPr>
              <w:spacing w:after="40" w:before="0"/>
            </w:pPr>
            <w:r>
              <w:rPr>
                <w:rFonts w:ascii="Arial" w:cs="Arial" w:eastAsia="Arial" w:hAnsi="Arial"/>
                <w:b/>
                <w:bCs/>
                <w:color w:val="2C5282"/>
                <w:spacing w:val="30"/>
                <w:sz w:val="17"/>
                <w:szCs w:val="17"/>
              </w:rPr>
              <w:t xml:space="preserve">LAPORAN 10  </w:t>
            </w:r>
            <w:r>
              <w:rPr>
                <w:rFonts w:ascii="Arial" w:cs="Arial" w:eastAsia="Arial" w:hAnsi="Arial"/>
                <w:b/>
                <w:bCs/>
                <w:color w:val="2C5282"/>
                <w:sz w:val="17"/>
                <w:szCs w:val="17"/>
              </w:rPr>
              <w:t xml:space="preserve">SEDANG  |  </w:t>
            </w:r>
            <w:r>
              <w:rPr>
                <w:rFonts w:ascii="Arial" w:cs="Arial" w:eastAsia="Arial" w:hAnsi="Arial"/>
                <w:color w:val="888888"/>
                <w:spacing w:val="20"/>
                <w:sz w:val="17"/>
                <w:szCs w:val="17"/>
              </w:rPr>
              <w:t xml:space="preserve">HAM — RUTAN &amp; KEMATIAN TAHANAN</w:t>
            </w:r>
          </w:p>
        </w:tc>
      </w:tr>
    </w:tbl>
    <w:p>
      <w:pPr>
        <w:spacing w:after="6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76"/>
        <w:gridCol w:w="3458"/>
        <w:gridCol w:w="3458"/>
        <w:gridCol w:w="1088"/>
      </w:tblGrid>
      <w:tr>
        <w:tc>
          <w:tcPr>
            <w:gridSpan w:val="4"/>
            <w:tcBorders>
              <w:top w:val="single" w:color="1A5CA8" w:sz="2"/>
              <w:left w:val="single" w:color="1A5CA8" w:sz="2"/>
              <w:bottom w:val="single" w:color="DDDDDD" w:sz="1"/>
              <w:right w:val="single" w:color="1A5CA8" w:sz="2"/>
            </w:tcBorders>
            <w:shd w:fill="F0F5FF" w:val="clear"/>
            <w:tcMar>
              <w:top w:type="dxa" w:w="80"/>
              <w:left w:type="dxa" w:w="140"/>
              <w:bottom w:type="dxa" w:w="80"/>
              <w:right w:type="dxa" w:w="140"/>
            </w:tcMar>
          </w:tcPr>
          <w:p>
            <w:pPr>
              <w:spacing w:after="0" w:before="0"/>
            </w:pPr>
            <w:r>
              <w:rPr>
                <w:rFonts w:ascii="Arial" w:cs="Arial" w:eastAsia="Arial" w:hAnsi="Arial"/>
                <w:b/>
                <w:bCs/>
                <w:color w:val="1A5CA8"/>
                <w:spacing w:val="40"/>
                <w:sz w:val="17"/>
                <w:szCs w:val="17"/>
              </w:rPr>
              <w:t xml:space="preserve">SKOR ANALITIK  </w:t>
            </w:r>
            <w:r>
              <w:rPr>
                <w:rFonts w:ascii="Arial" w:cs="Arial" w:eastAsia="Arial" w:hAnsi="Arial"/>
                <w:b/>
                <w:bCs/>
                <w:color w:val="1A5CA8"/>
                <w:sz w:val="17"/>
                <w:szCs w:val="17"/>
              </w:rPr>
              <w:t xml:space="preserve">[ SEDANG ]</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Engagement media</w:t>
            </w:r>
          </w:p>
        </w:tc>
        <w:tc>
          <w:tcPr>
            <w:tcW w:type="dxa" w:w="4150"/>
            <w:tcBorders>
              <w:top w:val="none" w:color="FFFFFF" w:sz="0"/>
              <w:left w:val="none" w:color="FFFFFF" w:sz="0"/>
              <w:bottom w:val="none" w:color="FFFFFF" w:sz="0"/>
              <w:right w:val="none" w:color="FFFFFF" w:sz="0"/>
            </w:tcBorders>
            <w:shd w:fill="D93025" w:val="clear"/>
            <w:tcMar>
              <w:top w:type="dxa" w:w="80"/>
              <w:left w:type="dxa" w:w="0"/>
              <w:bottom w:type="dxa" w:w="80"/>
              <w:right w:type="dxa" w:w="0"/>
            </w:tcMar>
            <w:vAlign w:val="center"/>
          </w:tcPr>
          <w:p>
            <w:pPr>
              <w:spacing w:after="0" w:before="0"/>
            </w:pPr>
            <w:r>
              <w:t xml:space="preserve"/>
            </w:r>
          </w:p>
        </w:tc>
        <w:tc>
          <w:tcPr>
            <w:tcW w:type="dxa" w:w="2766"/>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60</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Luas liputan</w:t>
            </w:r>
          </w:p>
        </w:tc>
        <w:tc>
          <w:tcPr>
            <w:tcW w:type="dxa" w:w="4011"/>
            <w:tcBorders>
              <w:top w:val="none" w:color="FFFFFF" w:sz="0"/>
              <w:left w:val="none" w:color="FFFFFF" w:sz="0"/>
              <w:bottom w:val="none" w:color="FFFFFF" w:sz="0"/>
              <w:right w:val="none" w:color="FFFFFF" w:sz="0"/>
            </w:tcBorders>
            <w:shd w:fill="E6A817" w:val="clear"/>
            <w:tcMar>
              <w:top w:type="dxa" w:w="80"/>
              <w:left w:type="dxa" w:w="0"/>
              <w:bottom w:type="dxa" w:w="80"/>
              <w:right w:type="dxa" w:w="0"/>
            </w:tcMar>
            <w:vAlign w:val="center"/>
          </w:tcPr>
          <w:p>
            <w:pPr>
              <w:spacing w:after="0" w:before="0"/>
            </w:pPr>
            <w:r>
              <w:t xml:space="preserve"/>
            </w:r>
          </w:p>
        </w:tc>
        <w:tc>
          <w:tcPr>
            <w:tcW w:type="dxa" w:w="2905"/>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58</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Dampak sistemik</w:t>
            </w:r>
          </w:p>
        </w:tc>
        <w:tc>
          <w:tcPr>
            <w:tcW w:type="dxa" w:w="5187"/>
            <w:tcBorders>
              <w:top w:val="none" w:color="FFFFFF" w:sz="0"/>
              <w:left w:val="none" w:color="FFFFFF" w:sz="0"/>
              <w:bottom w:val="none" w:color="FFFFFF" w:sz="0"/>
              <w:right w:val="none" w:color="FFFFFF" w:sz="0"/>
            </w:tcBorders>
            <w:shd w:fill="1A73D4" w:val="clear"/>
            <w:tcMar>
              <w:top w:type="dxa" w:w="80"/>
              <w:left w:type="dxa" w:w="0"/>
              <w:bottom w:type="dxa" w:w="80"/>
              <w:right w:type="dxa" w:w="0"/>
            </w:tcMar>
            <w:vAlign w:val="center"/>
          </w:tcPr>
          <w:p>
            <w:pPr>
              <w:spacing w:after="0" w:before="0"/>
            </w:pPr>
            <w:r>
              <w:t xml:space="preserve"/>
            </w:r>
          </w:p>
        </w:tc>
        <w:tc>
          <w:tcPr>
            <w:tcW w:type="dxa" w:w="1729"/>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75</w:t>
            </w:r>
          </w:p>
        </w:tc>
      </w:tr>
      <w:tr>
        <w:trPr>
          <w:trHeight w:val="320" w:hRule="exact"/>
        </w:trPr>
        <w:tc>
          <w:tcPr>
            <w:tcW w:type="dxa" w:w="1976"/>
            <w:tcBorders>
              <w:top w:val="none" w:color="FFFFFF" w:sz="0"/>
              <w:left w:val="single" w:color="1A5CA8" w:sz="2"/>
              <w:bottom w:val="none" w:color="FFFFFF" w:sz="0"/>
              <w:right w:val="none" w:color="FFFFFF" w:sz="0"/>
            </w:tcBorders>
            <w:shd w:fill="FFFFFF" w:val="clear"/>
            <w:tcMar>
              <w:top w:type="dxa" w:w="0"/>
              <w:left w:type="dxa" w:w="140"/>
              <w:bottom w:type="dxa" w:w="0"/>
              <w:right w:type="dxa" w:w="80"/>
            </w:tcMar>
            <w:vAlign w:val="center"/>
          </w:tcPr>
          <w:p>
            <w:pPr>
              <w:spacing w:after="0" w:before="0"/>
            </w:pPr>
            <w:r>
              <w:rPr>
                <w:rFonts w:ascii="Arial" w:cs="Arial" w:eastAsia="Arial" w:hAnsi="Arial"/>
                <w:color w:val="444444"/>
                <w:sz w:val="19"/>
                <w:szCs w:val="19"/>
              </w:rPr>
              <w:t xml:space="preserve">Volatilitas</w:t>
            </w:r>
          </w:p>
        </w:tc>
        <w:tc>
          <w:tcPr>
            <w:tcW w:type="dxa" w:w="3804"/>
            <w:tcBorders>
              <w:top w:val="none" w:color="FFFFFF" w:sz="0"/>
              <w:left w:val="none" w:color="FFFFFF" w:sz="0"/>
              <w:bottom w:val="none" w:color="FFFFFF" w:sz="0"/>
              <w:right w:val="none" w:color="FFFFFF" w:sz="0"/>
            </w:tcBorders>
            <w:shd w:fill="2E8B3A" w:val="clear"/>
            <w:tcMar>
              <w:top w:type="dxa" w:w="80"/>
              <w:left w:type="dxa" w:w="0"/>
              <w:bottom w:type="dxa" w:w="80"/>
              <w:right w:type="dxa" w:w="0"/>
            </w:tcMar>
            <w:vAlign w:val="center"/>
          </w:tcPr>
          <w:p>
            <w:pPr>
              <w:spacing w:after="0" w:before="0"/>
            </w:pPr>
            <w:r>
              <w:t xml:space="preserve"/>
            </w:r>
          </w:p>
        </w:tc>
        <w:tc>
          <w:tcPr>
            <w:tcW w:type="dxa" w:w="3112"/>
            <w:tcBorders>
              <w:top w:val="none" w:color="FFFFFF" w:sz="0"/>
              <w:left w:val="none" w:color="FFFFFF" w:sz="0"/>
              <w:bottom w:val="none" w:color="FFFFFF" w:sz="0"/>
              <w:right w:val="none" w:color="FFFFFF" w:sz="0"/>
            </w:tcBorders>
            <w:shd w:fill="ECECEC" w:val="clear"/>
            <w:tcMar>
              <w:top w:type="dxa" w:w="80"/>
              <w:left w:type="dxa" w:w="0"/>
              <w:bottom w:type="dxa" w:w="80"/>
              <w:right w:type="dxa" w:w="0"/>
            </w:tcMar>
            <w:vAlign w:val="center"/>
          </w:tcPr>
          <w:p>
            <w:pPr>
              <w:spacing w:after="0" w:before="0"/>
            </w:pPr>
            <w:r>
              <w:t xml:space="preserve"/>
            </w:r>
          </w:p>
        </w:tc>
        <w:tc>
          <w:tcPr>
            <w:tcW w:type="dxa" w:w="988"/>
            <w:tcBorders>
              <w:top w:val="none" w:color="FFFFFF" w:sz="0"/>
              <w:left w:val="none" w:color="FFFFFF" w:sz="0"/>
              <w:bottom w:val="none" w:color="FFFFFF" w:sz="0"/>
              <w:right w:val="single" w:color="1A5CA8" w:sz="2"/>
            </w:tcBorders>
            <w:shd w:fill="FFFFFF" w:val="clear"/>
            <w:tcMar>
              <w:top w:type="dxa" w:w="0"/>
              <w:left w:type="dxa" w:w="60"/>
              <w:bottom w:type="dxa" w:w="0"/>
              <w:right w:type="dxa" w:w="120"/>
            </w:tcMar>
            <w:vAlign w:val="center"/>
          </w:tcPr>
          <w:p>
            <w:pPr>
              <w:spacing w:after="0" w:before="0"/>
              <w:jc w:val="right"/>
            </w:pPr>
            <w:r>
              <w:rPr>
                <w:rFonts w:ascii="Arial" w:cs="Arial" w:eastAsia="Arial" w:hAnsi="Arial"/>
                <w:b/>
                <w:bCs/>
                <w:color w:val="222222"/>
                <w:sz w:val="21"/>
                <w:szCs w:val="21"/>
              </w:rPr>
              <w:t xml:space="preserve">55</w:t>
            </w:r>
          </w:p>
        </w:tc>
      </w:tr>
      <w:tr>
        <w:trPr>
          <w:trHeight w:val="80" w:hRule="exact"/>
        </w:trPr>
        <w:tc>
          <w:tcPr>
            <w:gridSpan w:val="4"/>
            <w:tcBorders>
              <w:top w:val="none" w:color="FFFFFF" w:sz="0"/>
              <w:left w:val="single" w:color="1A5CA8" w:sz="2"/>
              <w:bottom w:val="none" w:color="FFFFFF" w:sz="0"/>
              <w:right w:val="single" w:color="1A5CA8" w:sz="2"/>
            </w:tcBorders>
            <w:shd w:fill="FFFFFF" w:val="clear"/>
          </w:tcPr>
          <w:p>
            <w:pPr>
              <w:spacing w:after="0" w:before="0"/>
            </w:pPr>
            <w:r>
              <w:t xml:space="preserve"/>
            </w:r>
          </w:p>
        </w:tc>
      </w:tr>
      <w:tr>
        <w:tc>
          <w:tcPr>
            <w:gridSpan w:val="4"/>
            <w:tcBorders>
              <w:top w:val="single" w:color="DDDDDD" w:sz="1"/>
              <w:left w:val="single" w:color="1A5CA8" w:sz="2"/>
              <w:bottom w:val="single" w:color="1A5CA8" w:sz="2"/>
              <w:right w:val="single" w:color="1A5CA8" w:sz="2"/>
            </w:tcBorders>
            <w:shd w:fill="F0F5FF" w:val="clear"/>
            <w:tcMar>
              <w:top w:type="dxa" w:w="60"/>
              <w:left w:type="dxa" w:w="140"/>
              <w:bottom w:type="dxa" w:w="80"/>
              <w:right w:type="dxa" w:w="140"/>
            </w:tcMar>
          </w:tcPr>
          <w:p>
            <w:pPr>
              <w:spacing w:after="0" w:before="0"/>
            </w:pPr>
            <w:r>
              <w:rPr>
                <w:rFonts w:ascii="Arial" w:cs="Arial" w:eastAsia="Arial" w:hAnsi="Arial"/>
                <w:b/>
                <w:bCs/>
                <w:color w:val="1A3060"/>
                <w:sz w:val="17"/>
                <w:szCs w:val="17"/>
              </w:rPr>
              <w:t xml:space="preserve">●  Sumber: </w:t>
            </w:r>
            <w:r>
              <w:rPr>
                <w:rFonts w:ascii="Arial" w:cs="Arial" w:eastAsia="Arial" w:hAnsi="Arial"/>
                <w:i/>
                <w:iCs/>
                <w:color w:val="555555"/>
                <w:sz w:val="17"/>
                <w:szCs w:val="17"/>
              </w:rPr>
              <w:t xml:space="preserve">Amnesty Indonesia, Kontras, AJI, KBK News</w:t>
            </w:r>
          </w:p>
        </w:tc>
      </w:tr>
    </w:tbl>
    <w:p>
      <w:pPr>
        <w:spacing w:after="80" w:before="120"/>
      </w:pPr>
      <w:r>
        <w:t xml:space="preserve"/>
      </w:r>
    </w:p>
    <w:p>
      <w:pPr>
        <w:spacing w:after="60" w:before="0"/>
      </w:pPr>
      <w:r>
        <w:rPr>
          <w:rFonts w:ascii="Arial" w:cs="Arial" w:eastAsia="Arial" w:hAnsi="Arial"/>
          <w:b/>
          <w:bCs/>
          <w:color w:val="4A1060"/>
          <w:spacing w:val="50"/>
          <w:sz w:val="17"/>
          <w:szCs w:val="17"/>
        </w:rPr>
        <w:t xml:space="preserve">LAPORAN HAM — KEMATIAN DALAM TAHANAN</w:t>
      </w:r>
    </w:p>
    <w:p>
      <w:pPr>
        <w:spacing w:after="100" w:before="80"/>
      </w:pPr>
      <w:r>
        <w:rPr>
          <w:rFonts w:ascii="Arial" w:cs="Arial" w:eastAsia="Arial" w:hAnsi="Arial"/>
          <w:b/>
          <w:bCs/>
          <w:color w:val="1E1E1E"/>
          <w:sz w:val="36"/>
          <w:szCs w:val="36"/>
        </w:rPr>
        <w:t xml:space="preserve">Kematian Tahanan Demonstrasi Agustus 2025 di Rutan Sidoarjo: Akuntabilitas yang Belum Datang</w:t>
      </w:r>
    </w:p>
    <w:p>
      <w:pPr>
        <w:spacing w:after="100" w:before="60"/>
        <w:jc w:val="both"/>
      </w:pPr>
      <w:r>
        <w:rPr>
          <w:rFonts w:ascii="Arial" w:cs="Arial" w:eastAsia="Arial" w:hAnsi="Arial"/>
          <w:color w:val="1E1E1E"/>
          <w:sz w:val="22"/>
          <w:szCs w:val="22"/>
        </w:rPr>
        <w:t xml:space="preserve">Demonstrasi besar August 2025 — yang memprotes berbagai kebijakan pemerintahan Prabowo — berakhir dengan penangkapan massal di berbagai kota. Di Rutan Sidoarjo, Jawa Timur, seorang tahanan dari demonstrasi tersebut meninggal dunia. Amnesty International Indonesia dan Kontras pada awal Januari 2026 masih mendesak pengusutan tuntas atas kematian itu.</w:t>
      </w:r>
    </w:p>
    <w:p>
      <w:pPr>
        <w:spacing w:after="100" w:before="60"/>
        <w:jc w:val="both"/>
      </w:pPr>
      <w:r>
        <w:rPr>
          <w:rFonts w:ascii="Arial" w:cs="Arial" w:eastAsia="Arial" w:hAnsi="Arial"/>
          <w:color w:val="1E1E1E"/>
          <w:sz w:val="22"/>
          <w:szCs w:val="22"/>
        </w:rPr>
        <w:t xml:space="preserve">Kasus ini berada dalam pola yang lebih besar: tahanan yang meninggal dalam proses penanganan oleh aparat — baik dalam tahanan polisi, di dalam kendaraan patroli, atau selama proses interogasi — jarang sekali menghasilkan penuntutan yang konklusif. Data Kontras menunjukkan bahwa dari ratusan kasus kematian dalam tahanan yang didokumentasikan selama satu dekade terakhir, hanya sebagian kecil yang berhasil dibawa ke pengadilan dan menghasilkan hukuman yang signifikan.</w:t>
      </w:r>
    </w:p>
    <w:p>
      <w:pPr>
        <w:spacing w:after="80" w:before="160"/>
      </w:pPr>
      <w:r>
        <w:rPr>
          <w:rFonts w:ascii="Arial" w:cs="Arial" w:eastAsia="Arial" w:hAnsi="Arial"/>
          <w:b/>
          <w:bCs/>
          <w:color w:val="2C5282"/>
          <w:sz w:val="24"/>
          <w:szCs w:val="24"/>
        </w:rPr>
        <w:t xml:space="preserve">Konteks yang Lebih Luas: Demonstrasi Agustus dan Pola Kekerasan Aparat</w:t>
      </w:r>
    </w:p>
    <w:p>
      <w:pPr>
        <w:spacing w:after="100" w:before="60"/>
        <w:jc w:val="both"/>
      </w:pPr>
      <w:r>
        <w:rPr>
          <w:rFonts w:ascii="Arial" w:cs="Arial" w:eastAsia="Arial" w:hAnsi="Arial"/>
          <w:color w:val="1E1E1E"/>
          <w:sz w:val="22"/>
          <w:szCs w:val="22"/>
        </w:rPr>
        <w:t xml:space="preserve">Demonstrasi Agustus 2025 — yang berlangsung di berbagai kota termasuk Jakarta, Bandung, Surabaya, dan Semarang — juga diwarnai dengan kematian Affan Kurniawan, pengemudi ojol, yang tewas dilindas kendaraan taktis Brimob di Jakarta. Kasus itu memicu kemarahan publik yang luas dan menjadi salah satu faktor yang membuat tuntutan reformasi Polri meningkat signifikan.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A3060" w:sz="2"/>
              <w:left w:val="single" w:color="1A3060" w:sz="2"/>
              <w:bottom w:val="single" w:color="1A3060" w:sz="2"/>
              <w:right w:val="single" w:color="1A3060" w:sz="2"/>
            </w:tcBorders>
            <w:shd w:fill="EDF2FF" w:val="clear"/>
            <w:tcMar>
              <w:top w:type="dxa" w:w="140"/>
              <w:left w:type="dxa" w:w="200"/>
              <w:bottom w:type="dxa" w:w="140"/>
              <w:right w:type="dxa" w:w="200"/>
            </w:tcMar>
          </w:tcPr>
          <w:p>
            <w:pPr>
              <w:spacing w:after="80" w:before="0"/>
            </w:pPr>
            <w:r>
              <w:rPr>
                <w:rFonts w:ascii="Arial" w:cs="Arial" w:eastAsia="Arial" w:hAnsi="Arial"/>
                <w:b/>
                <w:bCs/>
                <w:color w:val="1A3060"/>
                <w:spacing w:val="30"/>
                <w:sz w:val="19"/>
                <w:szCs w:val="19"/>
              </w:rPr>
              <w:t xml:space="preserve">DATA KEMATIAN TAHANAN &amp; DEMO AGUSTUS</w:t>
            </w:r>
          </w:p>
          <w:p>
            <w:pPr>
              <w:pStyle w:val="ListParagraph"/>
              <w:numPr>
                <w:ilvl w:val="0"/>
                <w:numId w:val="2"/>
              </w:numPr>
              <w:spacing w:after="40" w:before="40"/>
            </w:pPr>
            <w:r>
              <w:rPr>
                <w:rFonts w:ascii="Arial" w:cs="Arial" w:eastAsia="Arial" w:hAnsi="Arial"/>
                <w:color w:val="1E1E1E"/>
                <w:sz w:val="21"/>
                <w:szCs w:val="21"/>
              </w:rPr>
              <w:t xml:space="preserve">Agustus 2025: demonstrasi besar di berbagai kota Indonesia menentang kebijakan Prabowo</w:t>
            </w:r>
          </w:p>
          <w:p>
            <w:pPr>
              <w:pStyle w:val="ListParagraph"/>
              <w:numPr>
                <w:ilvl w:val="0"/>
                <w:numId w:val="2"/>
              </w:numPr>
              <w:spacing w:after="40" w:before="40"/>
            </w:pPr>
            <w:r>
              <w:rPr>
                <w:rFonts w:ascii="Arial" w:cs="Arial" w:eastAsia="Arial" w:hAnsi="Arial"/>
                <w:color w:val="1E1E1E"/>
                <w:sz w:val="21"/>
                <w:szCs w:val="21"/>
              </w:rPr>
              <w:t xml:space="preserve">Satu tahanan demonstrasi meninggal di Rutan Sidoarjo, Jawa Timur</w:t>
            </w:r>
          </w:p>
          <w:p>
            <w:pPr>
              <w:pStyle w:val="ListParagraph"/>
              <w:numPr>
                <w:ilvl w:val="0"/>
                <w:numId w:val="2"/>
              </w:numPr>
              <w:spacing w:after="40" w:before="40"/>
            </w:pPr>
            <w:r>
              <w:rPr>
                <w:rFonts w:ascii="Arial" w:cs="Arial" w:eastAsia="Arial" w:hAnsi="Arial"/>
                <w:color w:val="1E1E1E"/>
                <w:sz w:val="21"/>
                <w:szCs w:val="21"/>
              </w:rPr>
              <w:t xml:space="preserve">Afan Kurniawan (ojol) tewas dilindas kendaraan taktis Brimob dalam demo Agustus Jakarta</w:t>
            </w:r>
          </w:p>
          <w:p>
            <w:pPr>
              <w:pStyle w:val="ListParagraph"/>
              <w:numPr>
                <w:ilvl w:val="0"/>
                <w:numId w:val="2"/>
              </w:numPr>
              <w:spacing w:after="40" w:before="40"/>
            </w:pPr>
            <w:r>
              <w:rPr>
                <w:rFonts w:ascii="Arial" w:cs="Arial" w:eastAsia="Arial" w:hAnsi="Arial"/>
                <w:color w:val="1E1E1E"/>
                <w:sz w:val="21"/>
                <w:szCs w:val="21"/>
              </w:rPr>
              <w:t xml:space="preserve">Januari 2026: Amnesty dan Kontras masih desak pengusutan tuntas kematian Rutan Sidoarjo</w:t>
            </w:r>
          </w:p>
          <w:p>
            <w:pPr>
              <w:pStyle w:val="ListParagraph"/>
              <w:numPr>
                <w:ilvl w:val="0"/>
                <w:numId w:val="2"/>
              </w:numPr>
              <w:spacing w:after="40" w:before="40"/>
            </w:pPr>
            <w:r>
              <w:rPr>
                <w:rFonts w:ascii="Arial" w:cs="Arial" w:eastAsia="Arial" w:hAnsi="Arial"/>
                <w:color w:val="1E1E1E"/>
                <w:sz w:val="21"/>
                <w:szCs w:val="21"/>
              </w:rPr>
              <w:t xml:space="preserve">Pola kematian dalam tahanan: jarang berhasil dibawa ke pengadilan dengan hukuman signifikan</w:t>
            </w:r>
          </w:p>
          <w:p>
            <w:pPr>
              <w:pStyle w:val="ListParagraph"/>
              <w:numPr>
                <w:ilvl w:val="0"/>
                <w:numId w:val="2"/>
              </w:numPr>
              <w:spacing w:after="40" w:before="40"/>
            </w:pPr>
            <w:r>
              <w:rPr>
                <w:rFonts w:ascii="Arial" w:cs="Arial" w:eastAsia="Arial" w:hAnsi="Arial"/>
                <w:color w:val="1E1E1E"/>
                <w:sz w:val="21"/>
                <w:szCs w:val="21"/>
              </w:rPr>
              <w:t xml:space="preserve">Koalisi: Deklarasi Indonesia Darurat Hukum diterbitkan 2 Januari 2026 sebagai respons</w:t>
            </w:r>
          </w:p>
          <w:p>
            <w:pPr>
              <w:pStyle w:val="ListParagraph"/>
              <w:numPr>
                <w:ilvl w:val="0"/>
                <w:numId w:val="2"/>
              </w:numPr>
              <w:spacing w:after="40" w:before="40"/>
            </w:pPr>
            <w:r>
              <w:rPr>
                <w:rFonts w:ascii="Arial" w:cs="Arial" w:eastAsia="Arial" w:hAnsi="Arial"/>
                <w:color w:val="1E1E1E"/>
                <w:sz w:val="21"/>
                <w:szCs w:val="21"/>
              </w:rPr>
              <w:t xml:space="preserve">KY dan Komnas HAM: rekomendasikan audit menyeluruh atas penanganan demonstrasi 2025</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1060" w:sz="2"/>
              <w:left w:val="single" w:color="4A1060" w:sz="2"/>
              <w:bottom w:val="single" w:color="4A1060" w:sz="2"/>
              <w:right w:val="single" w:color="4A1060" w:sz="2"/>
            </w:tcBorders>
            <w:shd w:fill="FAF0FF" w:val="clear"/>
            <w:tcMar>
              <w:top w:type="dxa" w:w="140"/>
              <w:left w:type="dxa" w:w="200"/>
              <w:bottom w:type="dxa" w:w="140"/>
              <w:right w:type="dxa" w:w="200"/>
            </w:tcMar>
          </w:tcPr>
          <w:p>
            <w:pPr>
              <w:spacing w:after="80" w:before="0"/>
            </w:pPr>
            <w:r>
              <w:rPr>
                <w:rFonts w:ascii="Arial" w:cs="Arial" w:eastAsia="Arial" w:hAnsi="Arial"/>
                <w:b/>
                <w:bCs/>
                <w:color w:val="4A1060"/>
                <w:spacing w:val="30"/>
                <w:sz w:val="19"/>
                <w:szCs w:val="19"/>
              </w:rPr>
              <w:t xml:space="preserve">ANALISIS: AKUNTABILITAS ADALAH PRASYARAT KEPERCAYAAN</w:t>
            </w:r>
          </w:p>
          <w:p>
            <w:pPr>
              <w:spacing w:after="0" w:before="0"/>
              <w:jc w:val="both"/>
            </w:pPr>
            <w:r>
              <w:rPr>
                <w:rFonts w:ascii="Arial" w:cs="Arial" w:eastAsia="Arial" w:hAnsi="Arial"/>
                <w:i/>
                <w:iCs/>
                <w:color w:val="1E1E1E"/>
                <w:sz w:val="21"/>
                <w:szCs w:val="21"/>
              </w:rPr>
              <w:t xml:space="preserve">Kematian dalam tahanan bukan hanya tragedi individual — ia adalah ujian bagi komitmen negara terhadap prinsip paling dasar: bahwa orang yang berada dalam kekuasaan negara harus dilindungi oleh negara, bukan malah menjadi korban kekuasaan itu. Setiap kematian dalam tahanan yang tidak diproses secara adil dan transparan menciptakan preseden yang mengatakan: nyawa orang yang berurusan dengan aparat tidak selalu bernilai sama di depan hukum. Itu adalah pesan yang berbahaya untuk disampaikan kepada publik oleh institusi yang seharusnya menjaga kepercayaan mereka.</w:t>
            </w:r>
          </w:p>
        </w:tc>
      </w:tr>
    </w:tbl>
    <w:p>
      <w:pPr>
        <w:spacing w:after="80" w:before="100"/>
      </w:pPr>
      <w:r>
        <w:t xml:space="preserve"/>
      </w:r>
    </w:p>
    <w:p>
      <w:pPr>
        <w:pBdr>
          <w:bottom w:val="single" w:color="CCCCCC" w:sz="2" w:space="1"/>
        </w:pBdr>
        <w:spacing w:after="0" w:before="0"/>
      </w:pPr>
      <w:r>
        <w:t xml:space="preserve"/>
      </w:r>
    </w:p>
    <w:p>
      <w:pPr>
        <w:spacing w:after="0" w:before="60"/>
      </w:pPr>
      <w:r>
        <w:rPr>
          <w:rFonts w:ascii="Arial" w:cs="Arial" w:eastAsia="Arial" w:hAnsi="Arial"/>
          <w:i/>
          <w:iCs/>
          <w:color w:val="888888"/>
          <w:sz w:val="17"/>
          <w:szCs w:val="17"/>
        </w:rPr>
        <w:t xml:space="preserve">Laporan 10  |  HUKUM &amp; HAM WATCH — Senopati Strategic Intelligence  |  12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10080"/>
      </w:tabs>
      <w:spacing w:after="0" w:before="80"/>
    </w:pPr>
    <w:r>
      <w:rPr>
        <w:rFonts w:ascii="Arial" w:cs="Arial" w:eastAsia="Arial" w:hAnsi="Arial"/>
        <w:color w:val="888888"/>
        <w:sz w:val="16"/>
        <w:szCs w:val="16"/>
      </w:rPr>
      <w:t xml:space="preserve">SENOPATI STRATEGIC INTELLIGENCE — UNTUK KALANGAN TERBATAS  </w:t>
    </w:r>
    <w:r>
      <w:rPr>
        <w:rFonts w:ascii="Arial" w:cs="Arial" w:eastAsia="Arial" w:hAnsi="Arial"/>
        <w:sz w:val="16"/>
        <w:szCs w:val="16"/>
      </w:rPr>
      <w:t xml:space="preserve">	</w:t>
    </w:r>
    <w:r>
      <w:rPr>
        <w:rFonts w:ascii="Arial" w:cs="Arial" w:eastAsia="Arial" w:hAnsi="Arial"/>
        <w:color w:val="888888"/>
        <w:sz w:val="16"/>
        <w:szCs w:val="16"/>
      </w:rPr>
      <w:t xml:space="preserve">Confidential — Distribusi Terbatas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1060" w:sz="4" w:space="1"/>
      </w:pBdr>
      <w:tabs>
        <w:tab w:val="right" w:pos="10080"/>
      </w:tabs>
      <w:spacing w:after="100" w:before="0"/>
    </w:pPr>
    <w:r>
      <w:rPr>
        <w:rFonts w:ascii="Arial" w:cs="Arial" w:eastAsia="Arial" w:hAnsi="Arial"/>
        <w:b/>
        <w:bCs/>
        <w:color w:val="4A1060"/>
        <w:sz w:val="17"/>
        <w:szCs w:val="17"/>
      </w:rPr>
      <w:t xml:space="preserve">HUKUM &amp; HAM WATCH </w:t>
    </w:r>
    <w:r>
      <w:rPr>
        <w:rFonts w:ascii="Arial" w:cs="Arial" w:eastAsia="Arial" w:hAnsi="Arial"/>
        <w:sz w:val="17"/>
        <w:szCs w:val="17"/>
      </w:rPr>
      <w:t xml:space="preserve">	</w:t>
    </w:r>
    <w:r>
      <w:rPr>
        <w:rFonts w:ascii="Arial" w:cs="Arial" w:eastAsia="Arial" w:hAnsi="Arial"/>
        <w:color w:val="888888"/>
        <w:sz w:val="17"/>
        <w:szCs w:val="17"/>
      </w:rPr>
      <w:t xml:space="preserve">EDISI KHUSUS — 12 APRIL 2026  |  INTELIJEN INSTITUSIONAL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E1E1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1A30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2026-04-12T14:15:04.659Z</dcterms:created>
  <dcterms:modified xsi:type="dcterms:W3CDTF">2026-04-12T14:15:04.659Z</dcterms:modified>
</cp:coreProperties>
</file>

<file path=docProps/custom.xml><?xml version="1.0" encoding="utf-8"?>
<Properties xmlns="http://schemas.openxmlformats.org/officeDocument/2006/custom-properties" xmlns:vt="http://schemas.openxmlformats.org/officeDocument/2006/docPropsVTypes"/>
</file>