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Program to implement constructor Overloading.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CODE: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real = 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imag = 0.0;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  <w:r>
        <w:rPr>
          <w:rFonts w:ascii="Helvetica" w:hAnsi="Helvetica" w:cs="Helvetica"/>
          <w:sz w:val="19"/>
          <w:sz-cs w:val="19"/>
          <w:color w:val="000000"/>
        </w:rPr>
        <w:t xml:space="preserve">() { 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real)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.real = real;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imag)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.imag = imag;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r, </w:t>
      </w:r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i)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.real = r;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.imag = i;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Complex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i,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r)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.imag = i;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this</w:t>
      </w:r>
      <w:r>
        <w:rPr>
          <w:rFonts w:ascii="Helvetica" w:hAnsi="Helvetica" w:cs="Helvetica"/>
          <w:sz w:val="19"/>
          <w:sz-cs w:val="19"/>
          <w:color w:val="000000"/>
        </w:rPr>
        <w:t xml:space="preserve">.real = r;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display()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"Complex Number: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real + </w:t>
      </w:r>
      <w:r>
        <w:rPr>
          <w:rFonts w:ascii="Helvetica" w:hAnsi="Helvetica" w:cs="Helvetica"/>
          <w:sz w:val="19"/>
          <w:sz-cs w:val="19"/>
          <w:color w:val="900112"/>
        </w:rPr>
        <w:t xml:space="preserve">" +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imag + </w:t>
      </w:r>
      <w:r>
        <w:rPr>
          <w:rFonts w:ascii="Helvetica" w:hAnsi="Helvetica" w:cs="Helvetica"/>
          <w:sz w:val="19"/>
          <w:sz-cs w:val="19"/>
          <w:color w:val="900112"/>
        </w:rPr>
        <w:t xml:space="preserve">"i"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Program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Main(</w:t>
      </w:r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[] args)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Complex c1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Complex();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c1.display();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Complex c2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Complex(5);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c2.display();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Complex c3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Complex(3.2);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c3.display();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Complex c4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Complex(4,7.8);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c4.display();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Complex c5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Complex(1.4, 6);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c5.display();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Console.ReadKey();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