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F30E8" w:rsidRDefault="001F30E8" w:rsidP="00C174EB">
      <w:pPr>
        <w:keepNext/>
        <w:keepLines/>
        <w:autoSpaceDE w:val="0"/>
        <w:autoSpaceDN w:val="0"/>
        <w:adjustRightInd w:val="0"/>
        <w:jc w:val="both"/>
        <w:rPr>
          <w:rFonts w:ascii="Courier New" w:hAnsi="Courier New"/>
          <w:sz w:val="22"/>
          <w:szCs w:val="22"/>
        </w:rPr>
      </w:pPr>
      <w:bookmarkStart w:id="0" w:name="_GoBack"/>
      <w:bookmarkEnd w:id="0"/>
      <w:r>
        <w:rPr>
          <w:rFonts w:ascii="Courier New" w:hAnsi="Courier New"/>
          <w:sz w:val="22"/>
          <w:szCs w:val="22"/>
        </w:rPr>
        <w:t>MASTER SPECIFICATION</w:t>
      </w:r>
    </w:p>
    <w:p w:rsidR="001F30E8" w:rsidRDefault="00731193" w:rsidP="00C174EB">
      <w:pPr>
        <w:keepNext/>
        <w:keepLines/>
        <w:autoSpaceDE w:val="0"/>
        <w:autoSpaceDN w:val="0"/>
        <w:adjustRightInd w:val="0"/>
        <w:jc w:val="both"/>
        <w:rPr>
          <w:rFonts w:ascii="Courier New" w:hAnsi="Courier New"/>
          <w:sz w:val="22"/>
          <w:szCs w:val="22"/>
        </w:rPr>
      </w:pPr>
      <w:r>
        <w:rPr>
          <w:rFonts w:ascii="Courier New" w:hAnsi="Courier New"/>
          <w:sz w:val="22"/>
          <w:szCs w:val="22"/>
        </w:rPr>
        <w:t>2/11</w:t>
      </w:r>
    </w:p>
    <w:p w:rsidR="001F30E8" w:rsidRDefault="001F30E8" w:rsidP="00C174EB">
      <w:pPr>
        <w:keepNext/>
        <w:keepLines/>
        <w:autoSpaceDE w:val="0"/>
        <w:autoSpaceDN w:val="0"/>
        <w:adjustRightInd w:val="0"/>
        <w:jc w:val="both"/>
        <w:rPr>
          <w:rFonts w:ascii="Courier New" w:hAnsi="Courier New"/>
          <w:sz w:val="22"/>
          <w:szCs w:val="22"/>
        </w:rPr>
      </w:pPr>
    </w:p>
    <w:p w:rsidR="001F30E8" w:rsidRDefault="001F30E8" w:rsidP="00C174EB">
      <w:pPr>
        <w:keepNext/>
        <w:keepLines/>
        <w:autoSpaceDE w:val="0"/>
        <w:autoSpaceDN w:val="0"/>
        <w:adjustRightInd w:val="0"/>
        <w:jc w:val="center"/>
        <w:rPr>
          <w:rFonts w:ascii="Courier New" w:hAnsi="Courier New"/>
          <w:sz w:val="22"/>
          <w:szCs w:val="22"/>
        </w:rPr>
      </w:pPr>
      <w:r>
        <w:rPr>
          <w:rFonts w:ascii="Courier New" w:hAnsi="Courier New"/>
          <w:sz w:val="22"/>
          <w:szCs w:val="22"/>
        </w:rPr>
        <w:t>SECTION 15013 [23 05 13]</w:t>
      </w:r>
    </w:p>
    <w:p w:rsidR="001F30E8" w:rsidRDefault="001F30E8" w:rsidP="00C174EB">
      <w:pPr>
        <w:keepNext/>
        <w:keepLines/>
        <w:autoSpaceDE w:val="0"/>
        <w:autoSpaceDN w:val="0"/>
        <w:adjustRightInd w:val="0"/>
        <w:jc w:val="center"/>
        <w:rPr>
          <w:rFonts w:ascii="Courier New" w:hAnsi="Courier New"/>
          <w:sz w:val="22"/>
          <w:szCs w:val="22"/>
        </w:rPr>
      </w:pPr>
    </w:p>
    <w:p w:rsidR="001F30E8" w:rsidRDefault="001F30E8" w:rsidP="00C174EB">
      <w:pPr>
        <w:keepNext/>
        <w:keepLines/>
        <w:autoSpaceDE w:val="0"/>
        <w:autoSpaceDN w:val="0"/>
        <w:adjustRightInd w:val="0"/>
        <w:jc w:val="center"/>
        <w:rPr>
          <w:rFonts w:ascii="Courier New" w:hAnsi="Courier New"/>
          <w:sz w:val="22"/>
          <w:szCs w:val="22"/>
        </w:rPr>
      </w:pPr>
      <w:r>
        <w:rPr>
          <w:rFonts w:ascii="Courier New" w:hAnsi="Courier New"/>
          <w:sz w:val="22"/>
          <w:szCs w:val="22"/>
        </w:rPr>
        <w:t>STARTERS AND DISCONNECT SWITCHES</w:t>
      </w:r>
    </w:p>
    <w:p w:rsidR="001F30E8" w:rsidRDefault="001F30E8" w:rsidP="00C174EB">
      <w:pPr>
        <w:keepNext/>
        <w:keepLines/>
        <w:autoSpaceDE w:val="0"/>
        <w:autoSpaceDN w:val="0"/>
        <w:adjustRightInd w:val="0"/>
        <w:jc w:val="center"/>
        <w:rPr>
          <w:rFonts w:ascii="Courier New" w:hAnsi="Courier New"/>
          <w:sz w:val="22"/>
          <w:szCs w:val="22"/>
        </w:rPr>
      </w:pPr>
    </w:p>
    <w:p w:rsidR="001F30E8" w:rsidRDefault="001F30E8" w:rsidP="003A221E">
      <w:pPr>
        <w:pStyle w:val="Heading1"/>
        <w:keepNext w:val="0"/>
      </w:pPr>
      <w:r>
        <w:t>GENERAL</w:t>
      </w:r>
    </w:p>
    <w:p w:rsidR="001F30E8" w:rsidRDefault="001F30E8" w:rsidP="003A221E">
      <w:pPr>
        <w:pStyle w:val="Heading2"/>
        <w:keepNext w:val="0"/>
      </w:pPr>
      <w:r>
        <w:t>RELATED DOCUMENTS:</w:t>
      </w:r>
    </w:p>
    <w:p w:rsidR="001F30E8" w:rsidRDefault="001F30E8" w:rsidP="003A221E">
      <w:pPr>
        <w:pStyle w:val="Heading3"/>
        <w:keepNext w:val="0"/>
      </w:pPr>
      <w:r>
        <w:t>The requirements of the General Conditions, Special Conditions and Section 15010 [23 00 00], Mechanical General, apply to all work specified in this section.</w:t>
      </w:r>
    </w:p>
    <w:p w:rsidR="001F30E8" w:rsidRDefault="001F30E8" w:rsidP="003A221E">
      <w:pPr>
        <w:pStyle w:val="Heading2"/>
        <w:keepNext w:val="0"/>
      </w:pPr>
      <w:r>
        <w:t>SCOPE OF WORK:</w:t>
      </w:r>
    </w:p>
    <w:p w:rsidR="001F30E8" w:rsidRDefault="001F30E8" w:rsidP="003A221E">
      <w:pPr>
        <w:pStyle w:val="Heading3"/>
        <w:keepNext w:val="0"/>
      </w:pPr>
      <w:r>
        <w:t>Furnish and install all motor starters and disconnect switches required by this section. Where starters and/or disconnect switches are furnished by equipment manufacturers, comply with all requirements of this section. Refer to Division 16 [26] for disconnect switches provided therein.</w:t>
      </w:r>
    </w:p>
    <w:p w:rsidR="001F30E8" w:rsidRDefault="001F30E8" w:rsidP="003A221E">
      <w:pPr>
        <w:pStyle w:val="Heading3"/>
        <w:keepNext w:val="0"/>
      </w:pPr>
      <w:r>
        <w:t>All items required for a complete installation shall be provided.</w:t>
      </w:r>
    </w:p>
    <w:p w:rsidR="001F30E8" w:rsidRDefault="001F30E8" w:rsidP="003A221E">
      <w:pPr>
        <w:pStyle w:val="Heading2"/>
        <w:keepNext w:val="0"/>
      </w:pPr>
      <w:r>
        <w:t>QUALITY ASSURANCE:</w:t>
      </w:r>
    </w:p>
    <w:p w:rsidR="001F30E8" w:rsidRDefault="001F30E8" w:rsidP="003A221E">
      <w:pPr>
        <w:pStyle w:val="Heading3"/>
        <w:keepNext w:val="0"/>
      </w:pPr>
      <w:r>
        <w:t>Furnish all starters and disconnect switches to be installed under this section of these specifications to be the product of one manufacturer.</w:t>
      </w:r>
    </w:p>
    <w:p w:rsidR="001F30E8" w:rsidRDefault="001F30E8" w:rsidP="003A221E">
      <w:pPr>
        <w:pStyle w:val="Heading3"/>
        <w:keepNext w:val="0"/>
      </w:pPr>
      <w:r>
        <w:t xml:space="preserve">Starters and disconnect switches manufactured by </w:t>
      </w:r>
      <w:proofErr w:type="spellStart"/>
      <w:r>
        <w:t>Asea</w:t>
      </w:r>
      <w:proofErr w:type="spellEnd"/>
      <w:r>
        <w:t xml:space="preserve"> Brown </w:t>
      </w:r>
      <w:proofErr w:type="spellStart"/>
      <w:r>
        <w:t>Boveri</w:t>
      </w:r>
      <w:proofErr w:type="spellEnd"/>
      <w:r>
        <w:t xml:space="preserve"> (ABB), Allen-Bradley, </w:t>
      </w:r>
      <w:r w:rsidR="00011641">
        <w:t>Eaton</w:t>
      </w:r>
      <w:r>
        <w:t xml:space="preserve">, </w:t>
      </w:r>
      <w:r w:rsidR="00011641">
        <w:t>General Electric, Schneider or Siemens</w:t>
      </w:r>
      <w:r>
        <w:t xml:space="preserve"> will be acceptable.</w:t>
      </w:r>
    </w:p>
    <w:p w:rsidR="001F30E8" w:rsidRDefault="001F30E8" w:rsidP="003A221E">
      <w:pPr>
        <w:pStyle w:val="Heading1"/>
        <w:keepNext w:val="0"/>
      </w:pPr>
      <w:r>
        <w:t>PRODUCTS</w:t>
      </w:r>
    </w:p>
    <w:p w:rsidR="001F30E8" w:rsidRDefault="001F30E8" w:rsidP="003A221E">
      <w:pPr>
        <w:pStyle w:val="Heading2"/>
        <w:keepNext w:val="0"/>
      </w:pPr>
      <w:r>
        <w:t>STARTERS AND CONTACTORS:</w:t>
      </w:r>
    </w:p>
    <w:p w:rsidR="001F30E8" w:rsidRDefault="001F30E8" w:rsidP="003A221E">
      <w:pPr>
        <w:pStyle w:val="Heading3"/>
        <w:keepNext w:val="0"/>
      </w:pPr>
      <w:r>
        <w:t>Furnish starters for all motors unless indicated to be equipment furnished with mechanical equipment, or as a part of Division 16 [26] motor control centers.</w:t>
      </w:r>
    </w:p>
    <w:p w:rsidR="001F30E8" w:rsidRDefault="001F30E8" w:rsidP="003A221E">
      <w:pPr>
        <w:pStyle w:val="Heading3"/>
        <w:keepNext w:val="0"/>
      </w:pPr>
      <w:r>
        <w:t>Each starter shall incorporate overload elements of proper size to protect motors.</w:t>
      </w:r>
    </w:p>
    <w:p w:rsidR="001F30E8" w:rsidRDefault="001F30E8" w:rsidP="003A221E">
      <w:pPr>
        <w:pStyle w:val="Heading3"/>
        <w:keepNext w:val="0"/>
      </w:pPr>
      <w:r>
        <w:t>Coordinate starter holding coils with Section 15900 [15950] [23 09 33] [23 09 23], Automatic Temperature Controls [Building Automation System]. Holding coils shall be 120 volt or less.</w:t>
      </w:r>
    </w:p>
    <w:p w:rsidR="001F30E8" w:rsidRDefault="001F30E8" w:rsidP="003A221E">
      <w:pPr>
        <w:pStyle w:val="Heading3"/>
        <w:keepNext w:val="0"/>
      </w:pPr>
      <w:r>
        <w:t>Provide 480V/120V control transformer with each 480 volt magnetic starter or control panel.</w:t>
      </w:r>
    </w:p>
    <w:p w:rsidR="001F30E8" w:rsidRDefault="001F30E8" w:rsidP="003A221E">
      <w:pPr>
        <w:pStyle w:val="Heading3"/>
        <w:keepNext w:val="0"/>
      </w:pPr>
      <w:r>
        <w:lastRenderedPageBreak/>
        <w:t>Provide 208V/120V control transformer with each 208 magnetic starter or control panel.</w:t>
      </w:r>
    </w:p>
    <w:p w:rsidR="001F30E8" w:rsidRDefault="001F30E8" w:rsidP="003A221E">
      <w:pPr>
        <w:pStyle w:val="Heading3"/>
        <w:keepNext w:val="0"/>
      </w:pPr>
      <w:r>
        <w:t>Provide one set of spare auxiliary contacts (1 normally open set and 1 normally closed set) in each starter for the future, in addition to sealed contact.</w:t>
      </w:r>
    </w:p>
    <w:p w:rsidR="001F30E8" w:rsidRDefault="001F30E8" w:rsidP="003A221E">
      <w:pPr>
        <w:pStyle w:val="Heading3"/>
        <w:keepNext w:val="0"/>
      </w:pPr>
      <w:r>
        <w:t>Starters for 3 phase motors shall be magnetic type and unless otherwise indicated shall be as follows:</w:t>
      </w:r>
    </w:p>
    <w:p w:rsidR="001F30E8" w:rsidRDefault="001F30E8" w:rsidP="003A221E">
      <w:pPr>
        <w:autoSpaceDE w:val="0"/>
        <w:autoSpaceDN w:val="0"/>
        <w:adjustRightInd w:val="0"/>
        <w:ind w:left="1440" w:hanging="720"/>
        <w:jc w:val="both"/>
        <w:rPr>
          <w:rFonts w:ascii="Courier New" w:hAnsi="Courier New"/>
          <w:sz w:val="22"/>
          <w:szCs w:val="22"/>
        </w:rPr>
      </w:pPr>
    </w:p>
    <w:p w:rsidR="001F30E8" w:rsidRDefault="001F30E8" w:rsidP="003A221E">
      <w:pPr>
        <w:pStyle w:val="Heading4"/>
        <w:keepNext w:val="0"/>
      </w:pPr>
      <w:r>
        <w:t>NEMA 1 enclosure, combination line starter with disconnect (</w:t>
      </w:r>
      <w:proofErr w:type="gramStart"/>
      <w:r>
        <w:t>no</w:t>
      </w:r>
      <w:r w:rsidR="00731193">
        <w:t>n</w:t>
      </w:r>
      <w:proofErr w:type="gramEnd"/>
      <w:r>
        <w:t xml:space="preserve"> fused) and thermal overload protection on all 3 phases.</w:t>
      </w:r>
    </w:p>
    <w:p w:rsidR="001F30E8" w:rsidRDefault="001F30E8" w:rsidP="003A221E">
      <w:pPr>
        <w:pStyle w:val="Heading4"/>
        <w:keepNext w:val="0"/>
      </w:pPr>
      <w:r>
        <w:t>24V coil or 120V coil (to agree with control circuit - not to exceed 120V) and control transformer built-in, with fuses in primary leads and in hot secondary lead, other secondary grounded.</w:t>
      </w:r>
    </w:p>
    <w:p w:rsidR="001F30E8" w:rsidRDefault="001F30E8" w:rsidP="003A221E">
      <w:pPr>
        <w:pStyle w:val="Heading4"/>
        <w:keepNext w:val="0"/>
      </w:pPr>
      <w:r>
        <w:t>Furnish HAND-OFF-AUTO control for all automatically controlled starters and remotely controlled starters. Furnish ON-OFF selector switch where there is no automatic, remote or interlock control.</w:t>
      </w:r>
    </w:p>
    <w:p w:rsidR="001F30E8" w:rsidRDefault="001F30E8" w:rsidP="003A221E">
      <w:pPr>
        <w:pStyle w:val="Heading3"/>
        <w:keepNext w:val="0"/>
      </w:pPr>
      <w:r>
        <w:t>Starters for single phase motors shall be manual type motor rated switches with thermal overload device (except omit overload device from switches for motors with built-in overload protection) and NEMA type 1 enclosure except for installation in public spaces or when noted for flush mounting. In such locations, provide jumbo stainless steel flush plate and pull box. Provide pilot lights in starters when noted.</w:t>
      </w:r>
    </w:p>
    <w:p w:rsidR="001F30E8" w:rsidRDefault="001F30E8" w:rsidP="003A221E">
      <w:pPr>
        <w:pStyle w:val="Heading2"/>
        <w:keepNext w:val="0"/>
      </w:pPr>
      <w:r>
        <w:t>DISCONNECT SWITCHES:</w:t>
      </w:r>
    </w:p>
    <w:p w:rsidR="001F30E8" w:rsidRDefault="001F30E8" w:rsidP="003A221E">
      <w:pPr>
        <w:pStyle w:val="Heading3"/>
        <w:keepNext w:val="0"/>
      </w:pPr>
      <w:r>
        <w:t>Furnish and install a disconnect switch for all equipment requiring electrical power, unless provided under Division 16 [26].</w:t>
      </w:r>
    </w:p>
    <w:p w:rsidR="001F30E8" w:rsidRDefault="001F30E8" w:rsidP="003A221E">
      <w:pPr>
        <w:pStyle w:val="Heading3"/>
        <w:keepNext w:val="0"/>
      </w:pPr>
      <w:r>
        <w:t>When equipment manufacturer recommends over</w:t>
      </w:r>
      <w:r w:rsidR="00731193">
        <w:t>-</w:t>
      </w:r>
      <w:r>
        <w:t xml:space="preserve">current protection by HARC circuit breaker or fuses, the disconnect switch for that piece of equipment shall be fused at the maximum recommended fuse size. Otherwise, </w:t>
      </w:r>
      <w:proofErr w:type="gramStart"/>
      <w:r>
        <w:t>the</w:t>
      </w:r>
      <w:r w:rsidR="00731193">
        <w:t xml:space="preserve"> </w:t>
      </w:r>
      <w:r>
        <w:t>disconnect</w:t>
      </w:r>
      <w:proofErr w:type="gramEnd"/>
      <w:r>
        <w:t xml:space="preserve"> shall be non-fused.</w:t>
      </w:r>
    </w:p>
    <w:p w:rsidR="001F30E8" w:rsidRDefault="001F30E8" w:rsidP="003A221E">
      <w:pPr>
        <w:pStyle w:val="Heading3"/>
        <w:keepNext w:val="0"/>
      </w:pPr>
      <w:r>
        <w:t>All disconnect switches and switch installation shall meet the requirements of NFPA 70.</w:t>
      </w:r>
    </w:p>
    <w:p w:rsidR="001F30E8" w:rsidRDefault="001F30E8" w:rsidP="003A221E">
      <w:pPr>
        <w:pStyle w:val="Heading3"/>
        <w:keepNext w:val="0"/>
      </w:pPr>
      <w:r>
        <w:t>Coordinate switch size and configuration with the equipment manufacturer’s recommended maximum fuse size or other applicable data.</w:t>
      </w:r>
    </w:p>
    <w:p w:rsidR="001F30E8" w:rsidRDefault="001F30E8" w:rsidP="003A221E">
      <w:pPr>
        <w:pStyle w:val="Heading1"/>
        <w:keepNext w:val="0"/>
      </w:pPr>
      <w:r>
        <w:t>- EXECUTION</w:t>
      </w:r>
    </w:p>
    <w:p w:rsidR="001F30E8" w:rsidRDefault="001F30E8" w:rsidP="003A221E">
      <w:pPr>
        <w:pStyle w:val="Heading2"/>
        <w:keepNext w:val="0"/>
      </w:pPr>
      <w:r>
        <w:t>INSTALLATION:</w:t>
      </w:r>
    </w:p>
    <w:p w:rsidR="001F30E8" w:rsidRDefault="001F30E8" w:rsidP="003A221E">
      <w:pPr>
        <w:pStyle w:val="Heading3"/>
        <w:keepNext w:val="0"/>
      </w:pPr>
      <w:r>
        <w:lastRenderedPageBreak/>
        <w:t>Install equipment complete with all components connecting services and adjustments for its safe operation and in compliance with requirements of the Contract.</w:t>
      </w:r>
    </w:p>
    <w:p w:rsidR="001F30E8" w:rsidRDefault="001F30E8" w:rsidP="00C174EB">
      <w:pPr>
        <w:keepNext/>
        <w:keepLines/>
        <w:autoSpaceDE w:val="0"/>
        <w:autoSpaceDN w:val="0"/>
        <w:adjustRightInd w:val="0"/>
        <w:ind w:left="1440" w:hanging="720"/>
        <w:jc w:val="both"/>
        <w:rPr>
          <w:rFonts w:ascii="Courier New" w:hAnsi="Courier New"/>
          <w:sz w:val="22"/>
          <w:szCs w:val="22"/>
        </w:rPr>
      </w:pPr>
    </w:p>
    <w:p w:rsidR="00731193" w:rsidRDefault="00731193" w:rsidP="00C174EB">
      <w:pPr>
        <w:keepNext/>
        <w:keepLines/>
        <w:autoSpaceDE w:val="0"/>
        <w:autoSpaceDN w:val="0"/>
        <w:adjustRightInd w:val="0"/>
        <w:rPr>
          <w:rFonts w:ascii="Courier New" w:hAnsi="Courier New"/>
          <w:sz w:val="22"/>
          <w:szCs w:val="22"/>
        </w:rPr>
      </w:pPr>
    </w:p>
    <w:p w:rsidR="001F30E8" w:rsidRDefault="00731193" w:rsidP="00C174EB">
      <w:pPr>
        <w:keepNext/>
        <w:keepLines/>
        <w:autoSpaceDE w:val="0"/>
        <w:autoSpaceDN w:val="0"/>
        <w:adjustRightInd w:val="0"/>
        <w:rPr>
          <w:rFonts w:ascii="Courier New" w:hAnsi="Courier New"/>
          <w:sz w:val="22"/>
          <w:szCs w:val="22"/>
        </w:rPr>
      </w:pPr>
      <w:r>
        <w:rPr>
          <w:rFonts w:ascii="Courier New" w:hAnsi="Courier New"/>
          <w:sz w:val="22"/>
          <w:szCs w:val="22"/>
        </w:rPr>
        <w:t>END OF SECTION</w:t>
      </w:r>
    </w:p>
    <w:sectPr w:rsidR="001F30E8" w:rsidSect="001F30E8">
      <w:headerReference w:type="default" r:id="rId7"/>
      <w:footerReference w:type="default" r:id="rId8"/>
      <w:pgSz w:w="12240" w:h="15840"/>
      <w:pgMar w:top="1440" w:right="1440" w:bottom="1440" w:left="1440" w:header="720" w:footer="1080" w:gutter="0"/>
      <w:cols w:space="720"/>
      <w:noEndnote/>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3F3812" w:rsidRDefault="003F3812" w:rsidP="00C401D5">
      <w:r>
        <w:separator/>
      </w:r>
    </w:p>
  </w:endnote>
  <w:endnote w:type="continuationSeparator" w:id="0">
    <w:p w:rsidR="003F3812" w:rsidRDefault="003F3812" w:rsidP="00C401D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F30E8" w:rsidRDefault="001F30E8">
    <w:pPr>
      <w:widowControl w:val="0"/>
      <w:tabs>
        <w:tab w:val="center" w:pos="4320"/>
        <w:tab w:val="right" w:pos="8640"/>
      </w:tabs>
      <w:autoSpaceDE w:val="0"/>
      <w:autoSpaceDN w:val="0"/>
      <w:adjustRightInd w:val="0"/>
      <w:jc w:val="center"/>
      <w:rPr>
        <w:rFonts w:ascii="Courier New" w:hAnsi="Courier New"/>
        <w:sz w:val="22"/>
        <w:szCs w:val="22"/>
      </w:rPr>
    </w:pPr>
    <w:r>
      <w:rPr>
        <w:rFonts w:ascii="Courier New" w:hAnsi="Courier New"/>
        <w:sz w:val="22"/>
        <w:szCs w:val="22"/>
      </w:rPr>
      <w:t>[23 05 13]15013-</w:t>
    </w:r>
    <w:r>
      <w:rPr>
        <w:rFonts w:ascii="Courier New" w:hAnsi="Courier New"/>
        <w:sz w:val="22"/>
        <w:szCs w:val="22"/>
      </w:rPr>
      <w:pgNum/>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3F3812" w:rsidRDefault="003F3812" w:rsidP="00C401D5">
      <w:r>
        <w:separator/>
      </w:r>
    </w:p>
  </w:footnote>
  <w:footnote w:type="continuationSeparator" w:id="0">
    <w:p w:rsidR="003F3812" w:rsidRDefault="003F3812" w:rsidP="00C401D5">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F30E8" w:rsidRDefault="001F30E8">
    <w:pPr>
      <w:widowControl w:val="0"/>
      <w:tabs>
        <w:tab w:val="center" w:pos="4320"/>
        <w:tab w:val="right" w:pos="8640"/>
      </w:tabs>
      <w:autoSpaceDE w:val="0"/>
      <w:autoSpaceDN w:val="0"/>
      <w:adjustRightInd w:val="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64744E3"/>
    <w:multiLevelType w:val="multilevel"/>
    <w:tmpl w:val="A48E88D4"/>
    <w:lvl w:ilvl="0">
      <w:start w:val="1"/>
      <w:numFmt w:val="decimal"/>
      <w:pStyle w:val="Heading1"/>
      <w:lvlText w:val="PART %1"/>
      <w:lvlJc w:val="left"/>
      <w:pPr>
        <w:tabs>
          <w:tab w:val="num" w:pos="1440"/>
        </w:tabs>
        <w:ind w:left="1440" w:hanging="1440"/>
      </w:pPr>
      <w:rPr>
        <w:rFonts w:ascii="Courier New" w:hAnsi="Courier New" w:hint="default"/>
        <w:b/>
        <w:i w:val="0"/>
        <w:sz w:val="20"/>
      </w:rPr>
    </w:lvl>
    <w:lvl w:ilvl="1">
      <w:start w:val="1"/>
      <w:numFmt w:val="decimalZero"/>
      <w:pStyle w:val="Heading2"/>
      <w:lvlText w:val="%1.%2"/>
      <w:lvlJc w:val="left"/>
      <w:pPr>
        <w:tabs>
          <w:tab w:val="num" w:pos="720"/>
        </w:tabs>
        <w:ind w:left="720" w:hanging="720"/>
      </w:pPr>
      <w:rPr>
        <w:rFonts w:ascii="Courier New" w:hAnsi="Courier New" w:cs="Courier New" w:hint="default"/>
        <w:b w:val="0"/>
        <w:i w:val="0"/>
        <w:sz w:val="20"/>
      </w:rPr>
    </w:lvl>
    <w:lvl w:ilvl="2">
      <w:start w:val="1"/>
      <w:numFmt w:val="upperLetter"/>
      <w:pStyle w:val="Heading3"/>
      <w:lvlText w:val="%3."/>
      <w:lvlJc w:val="left"/>
      <w:pPr>
        <w:tabs>
          <w:tab w:val="num" w:pos="1440"/>
        </w:tabs>
        <w:ind w:left="1440" w:hanging="720"/>
      </w:pPr>
      <w:rPr>
        <w:rFonts w:hint="default"/>
        <w:b w:val="0"/>
        <w:i w:val="0"/>
        <w:sz w:val="20"/>
      </w:rPr>
    </w:lvl>
    <w:lvl w:ilvl="3">
      <w:start w:val="1"/>
      <w:numFmt w:val="decimal"/>
      <w:pStyle w:val="Heading4"/>
      <w:lvlText w:val="%4."/>
      <w:lvlJc w:val="left"/>
      <w:pPr>
        <w:tabs>
          <w:tab w:val="num" w:pos="2160"/>
        </w:tabs>
        <w:ind w:left="2160" w:hanging="720"/>
      </w:pPr>
      <w:rPr>
        <w:rFonts w:ascii="Courier New" w:hAnsi="Courier New" w:cs="Courier New" w:hint="default"/>
        <w:b w:val="0"/>
        <w:i w:val="0"/>
        <w:sz w:val="20"/>
      </w:rPr>
    </w:lvl>
    <w:lvl w:ilvl="4">
      <w:start w:val="1"/>
      <w:numFmt w:val="lowerLetter"/>
      <w:pStyle w:val="Heading5"/>
      <w:lvlText w:val="%5."/>
      <w:lvlJc w:val="left"/>
      <w:pPr>
        <w:tabs>
          <w:tab w:val="num" w:pos="2880"/>
        </w:tabs>
        <w:ind w:left="2880" w:hanging="720"/>
      </w:pPr>
      <w:rPr>
        <w:rFonts w:ascii="Courier New" w:hAnsi="Courier New" w:cs="Courier New" w:hint="default"/>
        <w:b w:val="0"/>
        <w:i w:val="0"/>
        <w:sz w:val="20"/>
      </w:rPr>
    </w:lvl>
    <w:lvl w:ilvl="5">
      <w:start w:val="1"/>
      <w:numFmt w:val="decimal"/>
      <w:pStyle w:val="Heading6"/>
      <w:lvlText w:val="(%6)"/>
      <w:lvlJc w:val="left"/>
      <w:pPr>
        <w:tabs>
          <w:tab w:val="num" w:pos="3600"/>
        </w:tabs>
        <w:ind w:left="3600" w:hanging="720"/>
      </w:pPr>
      <w:rPr>
        <w:rFonts w:hint="default"/>
      </w:rPr>
    </w:lvl>
    <w:lvl w:ilvl="6">
      <w:start w:val="1"/>
      <w:numFmt w:val="lowerRoman"/>
      <w:pStyle w:val="Heading7"/>
      <w:lvlText w:val="(%7)"/>
      <w:lvlJc w:val="left"/>
      <w:pPr>
        <w:tabs>
          <w:tab w:val="num" w:pos="4608"/>
        </w:tabs>
        <w:ind w:left="4608" w:hanging="720"/>
      </w:pPr>
      <w:rPr>
        <w:rFonts w:hint="default"/>
      </w:rPr>
    </w:lvl>
    <w:lvl w:ilvl="7">
      <w:start w:val="1"/>
      <w:numFmt w:val="lowerLetter"/>
      <w:pStyle w:val="Heading8"/>
      <w:lvlText w:val="(%8)"/>
      <w:lvlJc w:val="left"/>
      <w:pPr>
        <w:tabs>
          <w:tab w:val="num" w:pos="5760"/>
        </w:tabs>
        <w:ind w:left="5760" w:hanging="720"/>
      </w:pPr>
      <w:rPr>
        <w:rFonts w:hint="default"/>
      </w:rPr>
    </w:lvl>
    <w:lvl w:ilvl="8">
      <w:start w:val="1"/>
      <w:numFmt w:val="lowerRoman"/>
      <w:pStyle w:val="Heading9"/>
      <w:lvlText w:val="(%9)"/>
      <w:lvlJc w:val="left"/>
      <w:pPr>
        <w:tabs>
          <w:tab w:val="num" w:pos="6480"/>
        </w:tabs>
        <w:ind w:left="6480" w:hanging="720"/>
      </w:pPr>
      <w:rPr>
        <w:rFonts w:hint="default"/>
      </w:rPr>
    </w:lvl>
  </w:abstractNum>
  <w:num w:numId="1">
    <w:abstractNumId w:val="0"/>
  </w:num>
  <w:num w:numId="2">
    <w:abstractNumId w:val="0"/>
  </w:num>
  <w:num w:numId="3">
    <w:abstractNumId w:val="0"/>
  </w:num>
  <w:num w:numId="4">
    <w:abstractNumId w:val="0"/>
  </w:num>
  <w:num w:numId="5">
    <w:abstractNumId w:val="0"/>
  </w:num>
  <w:num w:numId="6">
    <w:abstractNumId w:val="0"/>
  </w:num>
  <w:num w:numId="7">
    <w:abstractNumId w:val="0"/>
  </w:num>
  <w:num w:numId="8">
    <w:abstractNumId w:val="0"/>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F30E8"/>
    <w:rsid w:val="00011641"/>
    <w:rsid w:val="001A5ABD"/>
    <w:rsid w:val="001B340C"/>
    <w:rsid w:val="001F30E8"/>
    <w:rsid w:val="00276178"/>
    <w:rsid w:val="003A221E"/>
    <w:rsid w:val="003F3812"/>
    <w:rsid w:val="00544721"/>
    <w:rsid w:val="00731193"/>
    <w:rsid w:val="0075025A"/>
    <w:rsid w:val="009A5693"/>
    <w:rsid w:val="00A63480"/>
    <w:rsid w:val="00C10CD7"/>
    <w:rsid w:val="00C174EB"/>
    <w:rsid w:val="00C401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oNotEmbedSmartTags/>
  <w:decimalSymbol w:val="."/>
  <w:listSeparator w:val=","/>
  <w15:chartTrackingRefBased/>
  <w15:docId w15:val="{D52C4974-42C4-4842-B1FE-6F8DBE1365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4"/>
      <w:szCs w:val="24"/>
    </w:rPr>
  </w:style>
  <w:style w:type="paragraph" w:styleId="Heading1">
    <w:name w:val="heading 1"/>
    <w:basedOn w:val="Normal"/>
    <w:next w:val="Normal"/>
    <w:link w:val="Heading1Char"/>
    <w:qFormat/>
    <w:rsid w:val="00C10CD7"/>
    <w:pPr>
      <w:keepNext/>
      <w:numPr>
        <w:numId w:val="9"/>
      </w:numPr>
      <w:tabs>
        <w:tab w:val="left" w:pos="720"/>
      </w:tabs>
      <w:spacing w:before="240"/>
      <w:outlineLvl w:val="0"/>
    </w:pPr>
    <w:rPr>
      <w:rFonts w:ascii="Courier New" w:hAnsi="Courier New" w:cs="Arial"/>
      <w:kern w:val="32"/>
      <w:sz w:val="20"/>
      <w:szCs w:val="32"/>
    </w:rPr>
  </w:style>
  <w:style w:type="paragraph" w:styleId="Heading2">
    <w:name w:val="heading 2"/>
    <w:basedOn w:val="Normal"/>
    <w:link w:val="Heading2Char"/>
    <w:qFormat/>
    <w:rsid w:val="00C10CD7"/>
    <w:pPr>
      <w:keepNext/>
      <w:numPr>
        <w:ilvl w:val="1"/>
        <w:numId w:val="9"/>
      </w:numPr>
      <w:spacing w:before="240"/>
      <w:outlineLvl w:val="1"/>
    </w:pPr>
    <w:rPr>
      <w:rFonts w:ascii="Courier New" w:hAnsi="Courier New" w:cs="Arial"/>
      <w:sz w:val="20"/>
      <w:szCs w:val="28"/>
    </w:rPr>
  </w:style>
  <w:style w:type="paragraph" w:styleId="Heading3">
    <w:name w:val="heading 3"/>
    <w:basedOn w:val="Normal"/>
    <w:link w:val="Heading3Char"/>
    <w:qFormat/>
    <w:rsid w:val="00C10CD7"/>
    <w:pPr>
      <w:keepNext/>
      <w:numPr>
        <w:ilvl w:val="2"/>
        <w:numId w:val="9"/>
      </w:numPr>
      <w:spacing w:before="240"/>
      <w:outlineLvl w:val="2"/>
    </w:pPr>
    <w:rPr>
      <w:rFonts w:ascii="Courier New" w:hAnsi="Courier New" w:cs="Arial"/>
      <w:sz w:val="20"/>
      <w:szCs w:val="26"/>
    </w:rPr>
  </w:style>
  <w:style w:type="paragraph" w:styleId="Heading4">
    <w:name w:val="heading 4"/>
    <w:basedOn w:val="Normal"/>
    <w:link w:val="Heading4Char"/>
    <w:qFormat/>
    <w:rsid w:val="00C10CD7"/>
    <w:pPr>
      <w:keepNext/>
      <w:numPr>
        <w:ilvl w:val="3"/>
        <w:numId w:val="9"/>
      </w:numPr>
      <w:spacing w:before="240"/>
      <w:outlineLvl w:val="3"/>
    </w:pPr>
    <w:rPr>
      <w:rFonts w:ascii="Courier New" w:hAnsi="Courier New" w:cs="Arial"/>
      <w:sz w:val="20"/>
      <w:szCs w:val="28"/>
    </w:rPr>
  </w:style>
  <w:style w:type="paragraph" w:styleId="Heading5">
    <w:name w:val="heading 5"/>
    <w:basedOn w:val="Normal"/>
    <w:link w:val="Heading5Char"/>
    <w:qFormat/>
    <w:rsid w:val="00C10CD7"/>
    <w:pPr>
      <w:numPr>
        <w:ilvl w:val="4"/>
        <w:numId w:val="9"/>
      </w:numPr>
      <w:spacing w:before="240"/>
      <w:outlineLvl w:val="4"/>
    </w:pPr>
    <w:rPr>
      <w:rFonts w:ascii="Courier New" w:hAnsi="Courier New" w:cs="Arial"/>
      <w:sz w:val="20"/>
      <w:szCs w:val="26"/>
    </w:rPr>
  </w:style>
  <w:style w:type="paragraph" w:styleId="Heading6">
    <w:name w:val="heading 6"/>
    <w:basedOn w:val="Normal"/>
    <w:link w:val="Heading6Char"/>
    <w:qFormat/>
    <w:rsid w:val="00C10CD7"/>
    <w:pPr>
      <w:numPr>
        <w:ilvl w:val="5"/>
        <w:numId w:val="9"/>
      </w:numPr>
      <w:spacing w:before="240"/>
      <w:outlineLvl w:val="5"/>
    </w:pPr>
    <w:rPr>
      <w:rFonts w:ascii="Courier New" w:hAnsi="Courier New" w:cs="Arial"/>
      <w:sz w:val="20"/>
      <w:szCs w:val="22"/>
    </w:rPr>
  </w:style>
  <w:style w:type="paragraph" w:styleId="Heading7">
    <w:name w:val="heading 7"/>
    <w:basedOn w:val="Normal"/>
    <w:link w:val="Heading7Char"/>
    <w:qFormat/>
    <w:rsid w:val="00C10CD7"/>
    <w:pPr>
      <w:numPr>
        <w:ilvl w:val="6"/>
        <w:numId w:val="9"/>
      </w:numPr>
      <w:spacing w:before="240"/>
      <w:outlineLvl w:val="6"/>
    </w:pPr>
    <w:rPr>
      <w:rFonts w:ascii="Courier New" w:hAnsi="Courier New"/>
      <w:sz w:val="20"/>
    </w:rPr>
  </w:style>
  <w:style w:type="paragraph" w:styleId="Heading8">
    <w:name w:val="heading 8"/>
    <w:basedOn w:val="Normal"/>
    <w:link w:val="Heading8Char"/>
    <w:qFormat/>
    <w:rsid w:val="00C10CD7"/>
    <w:pPr>
      <w:numPr>
        <w:ilvl w:val="7"/>
        <w:numId w:val="9"/>
      </w:numPr>
      <w:spacing w:before="240"/>
      <w:outlineLvl w:val="7"/>
    </w:pPr>
    <w:rPr>
      <w:rFonts w:ascii="Courier New" w:hAnsi="Courier New"/>
      <w:i/>
      <w:iCs/>
      <w:sz w:val="20"/>
    </w:rPr>
  </w:style>
  <w:style w:type="paragraph" w:styleId="Heading9">
    <w:name w:val="heading 9"/>
    <w:basedOn w:val="Normal"/>
    <w:link w:val="Heading9Char"/>
    <w:qFormat/>
    <w:rsid w:val="00C10CD7"/>
    <w:pPr>
      <w:numPr>
        <w:ilvl w:val="8"/>
        <w:numId w:val="9"/>
      </w:numPr>
      <w:spacing w:before="240"/>
      <w:outlineLvl w:val="8"/>
    </w:pPr>
    <w:rPr>
      <w:rFonts w:ascii="Courier New" w:hAnsi="Courier New" w:cs="Arial"/>
      <w:sz w:val="20"/>
      <w:szCs w:val="2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Header">
    <w:name w:val="header"/>
    <w:basedOn w:val="Normal"/>
    <w:link w:val="HeaderChar"/>
    <w:uiPriority w:val="99"/>
    <w:semiHidden/>
    <w:unhideWhenUsed/>
    <w:rsid w:val="00731193"/>
    <w:pPr>
      <w:tabs>
        <w:tab w:val="center" w:pos="4680"/>
        <w:tab w:val="right" w:pos="9360"/>
      </w:tabs>
    </w:pPr>
  </w:style>
  <w:style w:type="character" w:customStyle="1" w:styleId="HeaderChar">
    <w:name w:val="Header Char"/>
    <w:link w:val="Header"/>
    <w:uiPriority w:val="99"/>
    <w:semiHidden/>
    <w:rsid w:val="00731193"/>
    <w:rPr>
      <w:sz w:val="24"/>
      <w:szCs w:val="24"/>
    </w:rPr>
  </w:style>
  <w:style w:type="paragraph" w:styleId="Footer">
    <w:name w:val="footer"/>
    <w:basedOn w:val="Normal"/>
    <w:link w:val="FooterChar"/>
    <w:uiPriority w:val="99"/>
    <w:semiHidden/>
    <w:unhideWhenUsed/>
    <w:rsid w:val="00731193"/>
    <w:pPr>
      <w:tabs>
        <w:tab w:val="center" w:pos="4680"/>
        <w:tab w:val="right" w:pos="9360"/>
      </w:tabs>
    </w:pPr>
  </w:style>
  <w:style w:type="character" w:customStyle="1" w:styleId="FooterChar">
    <w:name w:val="Footer Char"/>
    <w:link w:val="Footer"/>
    <w:uiPriority w:val="99"/>
    <w:semiHidden/>
    <w:rsid w:val="00731193"/>
    <w:rPr>
      <w:sz w:val="24"/>
      <w:szCs w:val="24"/>
    </w:rPr>
  </w:style>
  <w:style w:type="character" w:customStyle="1" w:styleId="Heading1Char">
    <w:name w:val="Heading 1 Char"/>
    <w:link w:val="Heading1"/>
    <w:rsid w:val="00C10CD7"/>
    <w:rPr>
      <w:rFonts w:ascii="Courier New" w:hAnsi="Courier New" w:cs="Arial"/>
      <w:kern w:val="32"/>
      <w:szCs w:val="32"/>
    </w:rPr>
  </w:style>
  <w:style w:type="character" w:customStyle="1" w:styleId="Heading2Char">
    <w:name w:val="Heading 2 Char"/>
    <w:link w:val="Heading2"/>
    <w:rsid w:val="00C10CD7"/>
    <w:rPr>
      <w:rFonts w:ascii="Courier New" w:hAnsi="Courier New" w:cs="Arial"/>
      <w:szCs w:val="28"/>
    </w:rPr>
  </w:style>
  <w:style w:type="character" w:customStyle="1" w:styleId="Heading3Char">
    <w:name w:val="Heading 3 Char"/>
    <w:link w:val="Heading3"/>
    <w:rsid w:val="00C10CD7"/>
    <w:rPr>
      <w:rFonts w:ascii="Courier New" w:hAnsi="Courier New" w:cs="Arial"/>
      <w:szCs w:val="26"/>
    </w:rPr>
  </w:style>
  <w:style w:type="character" w:customStyle="1" w:styleId="Heading4Char">
    <w:name w:val="Heading 4 Char"/>
    <w:link w:val="Heading4"/>
    <w:rsid w:val="00C10CD7"/>
    <w:rPr>
      <w:rFonts w:ascii="Courier New" w:hAnsi="Courier New" w:cs="Arial"/>
      <w:szCs w:val="28"/>
    </w:rPr>
  </w:style>
  <w:style w:type="character" w:customStyle="1" w:styleId="Heading5Char">
    <w:name w:val="Heading 5 Char"/>
    <w:link w:val="Heading5"/>
    <w:rsid w:val="00C10CD7"/>
    <w:rPr>
      <w:rFonts w:ascii="Courier New" w:hAnsi="Courier New" w:cs="Arial"/>
      <w:szCs w:val="26"/>
    </w:rPr>
  </w:style>
  <w:style w:type="character" w:customStyle="1" w:styleId="Heading6Char">
    <w:name w:val="Heading 6 Char"/>
    <w:link w:val="Heading6"/>
    <w:rsid w:val="00C10CD7"/>
    <w:rPr>
      <w:rFonts w:ascii="Courier New" w:hAnsi="Courier New" w:cs="Arial"/>
      <w:szCs w:val="22"/>
    </w:rPr>
  </w:style>
  <w:style w:type="character" w:customStyle="1" w:styleId="Heading7Char">
    <w:name w:val="Heading 7 Char"/>
    <w:link w:val="Heading7"/>
    <w:rsid w:val="00C10CD7"/>
    <w:rPr>
      <w:rFonts w:ascii="Courier New" w:hAnsi="Courier New"/>
      <w:szCs w:val="24"/>
    </w:rPr>
  </w:style>
  <w:style w:type="character" w:customStyle="1" w:styleId="Heading8Char">
    <w:name w:val="Heading 8 Char"/>
    <w:link w:val="Heading8"/>
    <w:rsid w:val="00C10CD7"/>
    <w:rPr>
      <w:rFonts w:ascii="Courier New" w:hAnsi="Courier New"/>
      <w:i/>
      <w:iCs/>
      <w:szCs w:val="24"/>
    </w:rPr>
  </w:style>
  <w:style w:type="character" w:customStyle="1" w:styleId="Heading9Char">
    <w:name w:val="Heading 9 Char"/>
    <w:link w:val="Heading9"/>
    <w:rsid w:val="00C10CD7"/>
    <w:rPr>
      <w:rFonts w:ascii="Courier New" w:hAnsi="Courier New" w:cs="Arial"/>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targetScreenSz w:val="800x600"/>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535</Words>
  <Characters>3053</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MASTER SPECIFICATION</vt:lpstr>
    </vt:vector>
  </TitlesOfParts>
  <Company/>
  <LinksUpToDate>false</LinksUpToDate>
  <CharactersWithSpaces>3581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MASTER SPECIFICATION</dc:title>
  <dc:subject/>
  <dc:creator>Michael Hughes</dc:creator>
  <cp:keywords/>
  <dc:description/>
  <cp:lastModifiedBy>Doris Smith</cp:lastModifiedBy>
  <cp:revision>2</cp:revision>
  <dcterms:created xsi:type="dcterms:W3CDTF">2016-03-07T15:15:00Z</dcterms:created>
  <dcterms:modified xsi:type="dcterms:W3CDTF">2016-03-07T15:15:00Z</dcterms:modified>
</cp:coreProperties>
</file>