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72201" w:rsidRDefault="00472201" w:rsidP="004C6712">
      <w:pPr>
        <w:widowControl w:val="0"/>
        <w:autoSpaceDE w:val="0"/>
        <w:autoSpaceDN w:val="0"/>
        <w:adjustRightInd w:val="0"/>
        <w:jc w:val="both"/>
        <w:rPr>
          <w:rFonts w:ascii="Courier New" w:hAnsi="Courier New"/>
          <w:color w:val="000000"/>
          <w:sz w:val="22"/>
          <w:szCs w:val="22"/>
        </w:rPr>
      </w:pPr>
      <w:bookmarkStart w:id="0" w:name="_GoBack"/>
      <w:bookmarkEnd w:id="0"/>
      <w:r>
        <w:rPr>
          <w:rFonts w:ascii="Courier New" w:hAnsi="Courier New"/>
          <w:color w:val="000000"/>
          <w:sz w:val="22"/>
          <w:szCs w:val="22"/>
        </w:rPr>
        <w:t>MASTER SPECIFICATION</w:t>
      </w:r>
    </w:p>
    <w:p w:rsidR="00472201" w:rsidRDefault="00472201" w:rsidP="004C6712">
      <w:pPr>
        <w:widowControl w:val="0"/>
        <w:autoSpaceDE w:val="0"/>
        <w:autoSpaceDN w:val="0"/>
        <w:adjustRightInd w:val="0"/>
        <w:jc w:val="both"/>
        <w:rPr>
          <w:rFonts w:ascii="Courier New" w:hAnsi="Courier New"/>
          <w:color w:val="000000"/>
          <w:sz w:val="22"/>
          <w:szCs w:val="22"/>
        </w:rPr>
      </w:pPr>
      <w:r>
        <w:rPr>
          <w:rFonts w:ascii="Courier New" w:hAnsi="Courier New"/>
          <w:color w:val="000000"/>
          <w:sz w:val="22"/>
          <w:szCs w:val="22"/>
        </w:rPr>
        <w:t>06/06</w:t>
      </w:r>
    </w:p>
    <w:p w:rsidR="00472201" w:rsidRDefault="00472201" w:rsidP="004C6712">
      <w:pPr>
        <w:widowControl w:val="0"/>
        <w:autoSpaceDE w:val="0"/>
        <w:autoSpaceDN w:val="0"/>
        <w:adjustRightInd w:val="0"/>
        <w:jc w:val="center"/>
        <w:rPr>
          <w:rFonts w:ascii="Courier New" w:hAnsi="Courier New"/>
          <w:color w:val="000000"/>
          <w:sz w:val="22"/>
          <w:szCs w:val="22"/>
        </w:rPr>
      </w:pPr>
      <w:r>
        <w:rPr>
          <w:rFonts w:ascii="Courier New" w:hAnsi="Courier New"/>
          <w:color w:val="000000"/>
          <w:sz w:val="22"/>
          <w:szCs w:val="22"/>
        </w:rPr>
        <w:t>SECTION 15606 [23 82 16]</w:t>
      </w:r>
    </w:p>
    <w:p w:rsidR="00472201" w:rsidRDefault="00472201" w:rsidP="004C6712">
      <w:pPr>
        <w:widowControl w:val="0"/>
        <w:autoSpaceDE w:val="0"/>
        <w:autoSpaceDN w:val="0"/>
        <w:adjustRightInd w:val="0"/>
        <w:jc w:val="both"/>
        <w:rPr>
          <w:rFonts w:ascii="Courier New" w:hAnsi="Courier New"/>
          <w:color w:val="000000"/>
          <w:sz w:val="22"/>
          <w:szCs w:val="22"/>
        </w:rPr>
      </w:pPr>
    </w:p>
    <w:p w:rsidR="00472201" w:rsidRDefault="00472201" w:rsidP="004C6712">
      <w:pPr>
        <w:widowControl w:val="0"/>
        <w:autoSpaceDE w:val="0"/>
        <w:autoSpaceDN w:val="0"/>
        <w:adjustRightInd w:val="0"/>
        <w:jc w:val="center"/>
        <w:rPr>
          <w:rFonts w:ascii="Courier New" w:hAnsi="Courier New"/>
          <w:color w:val="000000"/>
          <w:sz w:val="22"/>
          <w:szCs w:val="22"/>
        </w:rPr>
      </w:pPr>
      <w:r>
        <w:rPr>
          <w:rFonts w:ascii="Courier New" w:hAnsi="Courier New"/>
          <w:color w:val="000000"/>
          <w:sz w:val="22"/>
          <w:szCs w:val="22"/>
        </w:rPr>
        <w:t>HEATING AND COOLING COILS - WATER, STEAM, REFRIGERANT AND ELECTRIC</w:t>
      </w:r>
    </w:p>
    <w:p w:rsidR="00472201" w:rsidRDefault="00472201" w:rsidP="004C6712">
      <w:pPr>
        <w:pStyle w:val="Heading1"/>
        <w:keepNext w:val="0"/>
      </w:pPr>
      <w:r>
        <w:t>- GENERAL</w:t>
      </w:r>
    </w:p>
    <w:p w:rsidR="00472201" w:rsidRDefault="00472201" w:rsidP="004C6712">
      <w:pPr>
        <w:pStyle w:val="Heading2"/>
        <w:keepNext w:val="0"/>
      </w:pPr>
      <w:r>
        <w:t>RELATED DOCUMENTS:</w:t>
      </w:r>
    </w:p>
    <w:p w:rsidR="00472201" w:rsidRDefault="00472201" w:rsidP="004C6712">
      <w:pPr>
        <w:pStyle w:val="Heading3"/>
        <w:keepNext w:val="0"/>
      </w:pPr>
      <w:r>
        <w:t>The requirements of the General Conditions, Special Conditions and Section 15010 [23 00 00], Mechanical General, apply to all work specified in this section.</w:t>
      </w:r>
    </w:p>
    <w:p w:rsidR="00472201" w:rsidRDefault="00472201" w:rsidP="004C6712">
      <w:pPr>
        <w:pStyle w:val="Heading2"/>
        <w:keepNext w:val="0"/>
      </w:pPr>
      <w:r>
        <w:t>QUALITY ASSURANCE:</w:t>
      </w:r>
    </w:p>
    <w:p w:rsidR="00472201" w:rsidRDefault="00472201" w:rsidP="004C6712">
      <w:pPr>
        <w:pStyle w:val="Heading3"/>
        <w:keepNext w:val="0"/>
      </w:pPr>
      <w:r>
        <w:t>Codes and standards referred to herein are minimum standards. Where the requirements of these specifications or drawings exceed those of the codes and standards, the drawings and specifications shall govern.</w:t>
      </w:r>
    </w:p>
    <w:p w:rsidR="00472201" w:rsidRDefault="00472201" w:rsidP="004C6712">
      <w:pPr>
        <w:pStyle w:val="Heading3"/>
        <w:keepNext w:val="0"/>
      </w:pPr>
      <w:r>
        <w:t xml:space="preserve">Heating and cooling coils manufactured by Carrier, Trane, McQuay or </w:t>
      </w:r>
      <w:r w:rsidR="00DA5A86">
        <w:t>York</w:t>
      </w:r>
      <w:r>
        <w:t xml:space="preserve"> will be acceptable.</w:t>
      </w:r>
    </w:p>
    <w:p w:rsidR="00472201" w:rsidRDefault="00472201" w:rsidP="004C6712">
      <w:pPr>
        <w:pStyle w:val="Heading3"/>
        <w:keepNext w:val="0"/>
      </w:pPr>
      <w:r>
        <w:t>Electric heating coils manufactured by Indeeco, Chromalox or Brasch will be acceptable.</w:t>
      </w:r>
    </w:p>
    <w:p w:rsidR="00472201" w:rsidRDefault="00472201" w:rsidP="004C6712">
      <w:pPr>
        <w:pStyle w:val="Heading1"/>
        <w:keepNext w:val="0"/>
      </w:pPr>
      <w:r>
        <w:t>- PRODUCTS</w:t>
      </w:r>
    </w:p>
    <w:p w:rsidR="00472201" w:rsidRDefault="00472201" w:rsidP="004C6712">
      <w:pPr>
        <w:pStyle w:val="Heading2"/>
        <w:keepNext w:val="0"/>
      </w:pPr>
      <w:r>
        <w:t>WATER COILS:</w:t>
      </w:r>
    </w:p>
    <w:p w:rsidR="00472201" w:rsidRDefault="00472201" w:rsidP="004C6712">
      <w:pPr>
        <w:pStyle w:val="Heading3"/>
        <w:keepNext w:val="0"/>
      </w:pPr>
      <w:r>
        <w:t xml:space="preserve">Water coils shall be of the extended surface type with 1/2" O.D. seamless copper tubes and configured or spiral fins of aluminum [copper] mechanically bonded to the tubes. Tube length shall not exceed 42" without intermediate tube supports. </w:t>
      </w:r>
    </w:p>
    <w:p w:rsidR="00472201" w:rsidRDefault="00472201" w:rsidP="004C6712">
      <w:pPr>
        <w:pStyle w:val="Heading3"/>
        <w:keepNext w:val="0"/>
      </w:pPr>
      <w:r>
        <w:t xml:space="preserve">Casings and support sheets shall be 16 gauge galvanized steel, formed to provide structural strength. Coils mounted in ductwork shall be provided with flanges for mating with flanges in the duct connections. </w:t>
      </w:r>
      <w:r>
        <w:tab/>
      </w:r>
    </w:p>
    <w:p w:rsidR="00472201" w:rsidRDefault="00472201" w:rsidP="004C6712">
      <w:pPr>
        <w:pStyle w:val="Heading3"/>
        <w:keepNext w:val="0"/>
      </w:pPr>
      <w:r>
        <w:t>Coils shall have an equalizing manifold to ensure that each coil circuit receives the same amount of water. Coils shall be fully drainable when installed level and shall be equipped with drain and vent connections. Chilled water coils and multi-row hot water coils shall be arranged for counter-flow water with respect to the air. Supply and return connections shall be the same end unless indicated otherwise.</w:t>
      </w:r>
    </w:p>
    <w:p w:rsidR="00472201" w:rsidRDefault="00472201" w:rsidP="004C6712">
      <w:pPr>
        <w:pStyle w:val="Heading3"/>
        <w:keepNext w:val="0"/>
      </w:pPr>
      <w:r>
        <w:t xml:space="preserve">Coil capacities shall be not less than that scheduled on the drawings and selections shall be based on a minimum of 2 feet per second (fps) water velocity and a maximum of 6 fps. Air velocities shall not exceed 500 feet per minute (fpm) for chilled </w:t>
      </w:r>
      <w:proofErr w:type="gramStart"/>
      <w:r>
        <w:t>water</w:t>
      </w:r>
      <w:proofErr w:type="gramEnd"/>
      <w:r>
        <w:t xml:space="preserve"> coils nor 950 fpm for hot water coils. Water pressure drop shall not exceed 15 ft. for chilled water coils nor 5 ft. for hot water coils.</w:t>
      </w:r>
    </w:p>
    <w:p w:rsidR="00472201" w:rsidRDefault="00472201" w:rsidP="004C6712">
      <w:pPr>
        <w:pStyle w:val="Heading3"/>
        <w:keepNext w:val="0"/>
      </w:pPr>
      <w:r>
        <w:lastRenderedPageBreak/>
        <w:t>Chilled water coils shall be capable of operating at the specified conditions without moisture carry-over. Chilled water coil drain pans shall be double wall construction with the manufacturer's standard insulation between the inner and outer walls. Where coils are stacked a drain gutter shall be provided between coils to drain condensate from the upper coil. Drain piping shall be provided from the gutter(s) to the main drain pan.</w:t>
      </w:r>
    </w:p>
    <w:p w:rsidR="00472201" w:rsidRDefault="00472201" w:rsidP="004C6712">
      <w:pPr>
        <w:pStyle w:val="Heading3"/>
        <w:keepNext w:val="0"/>
      </w:pPr>
      <w:r>
        <w:t>Coils shall be factory leak tested using air under water at 300 psi, and shall be suitable for a 200 psi working pressure. Water coil capacities, pressure drops and selection procedures shall be certified in accordance with ARI Standard 410.</w:t>
      </w:r>
    </w:p>
    <w:p w:rsidR="00472201" w:rsidRDefault="00472201" w:rsidP="004C6712">
      <w:pPr>
        <w:pStyle w:val="Heading2"/>
        <w:keepNext w:val="0"/>
      </w:pPr>
      <w:r>
        <w:t>STEAM COILS:</w:t>
      </w:r>
    </w:p>
    <w:p w:rsidR="00472201" w:rsidRDefault="00472201" w:rsidP="004C6712">
      <w:pPr>
        <w:pStyle w:val="Heading3"/>
        <w:keepNext w:val="0"/>
      </w:pPr>
      <w:r>
        <w:t>Steam coils shall be of the extended surface type with seamless copper tubes for service up to 100 psi working pressure and red brass tubes for service over 100 psi. Fins shall be configured or spiral aluminum mechanically bonded to the tubes. Tube length shall not exceed 42" without intermediate tube supports. Coils shall be equipped with vacuum breaker connections.</w:t>
      </w:r>
    </w:p>
    <w:p w:rsidR="00472201" w:rsidRDefault="00472201" w:rsidP="004C6712">
      <w:pPr>
        <w:pStyle w:val="Heading3"/>
        <w:keepNext w:val="0"/>
      </w:pPr>
      <w:r>
        <w:t>Coils shall be of the inner distribution steam tube and outer condensate tube type and shall be non-freeze type. Piping connections shall be the same end unless indicated otherwise. There shall be not more than 4 deg. F temperature difference in the leaving air temperature from any lengthwise quadrant of coil area, averaged over the entire coil face area.</w:t>
      </w:r>
    </w:p>
    <w:p w:rsidR="00472201" w:rsidRDefault="00472201" w:rsidP="004C6712">
      <w:pPr>
        <w:pStyle w:val="Heading3"/>
        <w:keepNext w:val="0"/>
      </w:pPr>
      <w:r>
        <w:t>Casings and tube support sheets shall be 16 gauge galvanized steel, formed to provide structural strength. Coils mounted in ductwork shall be provided with flanges for mating with flanges in the duct connections.</w:t>
      </w:r>
    </w:p>
    <w:p w:rsidR="00472201" w:rsidRDefault="00472201" w:rsidP="004C6712">
      <w:pPr>
        <w:pStyle w:val="Heading3"/>
        <w:keepNext w:val="0"/>
      </w:pPr>
      <w:r>
        <w:t>Coil capacities shall be not less than that scheduled on the drawings and coil selections shall be based on a maximum air velocity of 750 fpm.</w:t>
      </w:r>
    </w:p>
    <w:p w:rsidR="00472201" w:rsidRDefault="00472201" w:rsidP="004C6712">
      <w:pPr>
        <w:pStyle w:val="Heading3"/>
        <w:keepNext w:val="0"/>
      </w:pPr>
      <w:r>
        <w:t>Coil capacities, pressure drops and selection procedures shall be certified in accordance with ARI Standard 410.</w:t>
      </w:r>
    </w:p>
    <w:p w:rsidR="00472201" w:rsidRDefault="00472201" w:rsidP="004C6712">
      <w:pPr>
        <w:pStyle w:val="Heading2"/>
        <w:keepNext w:val="0"/>
      </w:pPr>
      <w:r>
        <w:t>REFRIGERANT COILS:</w:t>
      </w:r>
    </w:p>
    <w:p w:rsidR="00472201" w:rsidRDefault="00472201" w:rsidP="004C6712">
      <w:pPr>
        <w:pStyle w:val="Heading3"/>
        <w:keepNext w:val="0"/>
      </w:pPr>
      <w:r>
        <w:t>Refrigerant coils shall be of the extended surface type with seamless copper tubes and configured or spiral aluminum fins mechanically bonded to the tubes. Tube length shall not exceed 42" without intermediate tube supports.</w:t>
      </w:r>
    </w:p>
    <w:p w:rsidR="00472201" w:rsidRDefault="00472201" w:rsidP="004C6712">
      <w:pPr>
        <w:pStyle w:val="Heading3"/>
        <w:keepNext w:val="0"/>
      </w:pPr>
      <w:r>
        <w:t xml:space="preserve">Casings and support sheets shall be 16 gauge galvanized steel, formed to provide structural strength. Coils mounted in ductwork shall be provided with flanges for mating with flanges in the duct connections. </w:t>
      </w:r>
      <w:r>
        <w:tab/>
      </w:r>
    </w:p>
    <w:p w:rsidR="00472201" w:rsidRDefault="00472201" w:rsidP="004C6712">
      <w:pPr>
        <w:pStyle w:val="Heading3"/>
        <w:keepNext w:val="0"/>
      </w:pPr>
      <w:r>
        <w:t>Refrigerant distributors shall be arranged for down feed with a maximum of 12 circuits per distributor.</w:t>
      </w:r>
    </w:p>
    <w:p w:rsidR="00472201" w:rsidRDefault="00472201" w:rsidP="004C6712">
      <w:pPr>
        <w:pStyle w:val="Heading3"/>
        <w:keepNext w:val="0"/>
      </w:pPr>
      <w:r>
        <w:lastRenderedPageBreak/>
        <w:t>Coil capacities shall be not less than that scheduled on the drawings and selections shall be based on a maximum air velocity of 700 fpm.</w:t>
      </w:r>
    </w:p>
    <w:p w:rsidR="00472201" w:rsidRDefault="00472201" w:rsidP="004C6712">
      <w:pPr>
        <w:pStyle w:val="Heading3"/>
        <w:keepNext w:val="0"/>
      </w:pPr>
      <w:r>
        <w:t xml:space="preserve"> Refrigerant coils shall be capable of operating at the specified conditions without moisture carry-over. Drain pans shall be double wall construction with the manufacturer's standard insulation between the inner and outer walls. [Where coils are stacked a drain gutter shall be provided between coils to drain condensate from the upper coil. Drain piping shall be provided from the gutter(s) to the main drain pan.]</w:t>
      </w:r>
    </w:p>
    <w:p w:rsidR="00472201" w:rsidRDefault="00472201" w:rsidP="004C6712">
      <w:pPr>
        <w:pStyle w:val="Heading3"/>
        <w:keepNext w:val="0"/>
      </w:pPr>
      <w:r>
        <w:t>Coils shall be factory leak tested using air under water at 300 psi, suitable for a 200 psi working pressure and shall be cleaned, dehydrated and sealed with dry nitrogen. Coil capacities, pressure drops and selection procedures shall be certified in accordance with ARI Standard 410.</w:t>
      </w:r>
    </w:p>
    <w:p w:rsidR="00472201" w:rsidRDefault="00472201" w:rsidP="004C6712">
      <w:pPr>
        <w:pStyle w:val="Heading2"/>
        <w:keepNext w:val="0"/>
      </w:pPr>
      <w:r>
        <w:t>ELECTRIC HEATING COILS:</w:t>
      </w:r>
    </w:p>
    <w:p w:rsidR="00472201" w:rsidRDefault="00472201" w:rsidP="004C6712">
      <w:pPr>
        <w:pStyle w:val="Heading3"/>
        <w:keepNext w:val="0"/>
      </w:pPr>
      <w:r>
        <w:t>Electric coils shall be UL listed with 80% nickel and 20% chrome resistance elements, complete with a terminal box with removable cover, intermediate element supports, automatic reset thermal cutouts for primary over-temperature protection, manual reset thermal cutouts for secondary over-temperature protection and a pressure differential air proving switch. Coil circuiting shall be arranged to prevent stratification of hot and cold air.</w:t>
      </w:r>
    </w:p>
    <w:p w:rsidR="00472201" w:rsidRDefault="00472201" w:rsidP="004C6712">
      <w:pPr>
        <w:pStyle w:val="Heading3"/>
        <w:keepNext w:val="0"/>
      </w:pPr>
      <w:r>
        <w:t>Coils installed in ductwork shall have dimensions the same as the duct in which they are installed. Where the ductwork is internally lined the electric coil dimensions shall be reduced by the thickness of the liner. Protective screens shall be provided on the entering and leaving sides of each coil.</w:t>
      </w:r>
    </w:p>
    <w:p w:rsidR="00472201" w:rsidRDefault="00472201" w:rsidP="004C6712">
      <w:pPr>
        <w:pStyle w:val="Heading3"/>
        <w:keepNext w:val="0"/>
      </w:pPr>
      <w:r>
        <w:t>Coils rated at more than 48 amperes shall be fuse protected. Coil terminals shall be of stainless steel with ceramic terminal insulators and bushings. Terminals shall be machine crimped to the coil elements.</w:t>
      </w:r>
    </w:p>
    <w:p w:rsidR="00472201" w:rsidRDefault="00472201" w:rsidP="004C6712">
      <w:pPr>
        <w:pStyle w:val="Heading3"/>
        <w:keepNext w:val="0"/>
      </w:pPr>
      <w:r>
        <w:t>Terminal box shall be provided with a solid, hinged cover with an interlocking disconnect switch. The terminal box shall be totally enclosed meeting the requirements of UL Standard 1096, Paragraph 5.6. Integral boxes shall contain a terminal block sized for the line feeder, control circuit transformer with fused primary and 120 volt secondary, 100,000 cycle service, 3-pole line break contactor for each circuit and fuses as required all housed in a dust-tight enclosure.</w:t>
      </w:r>
    </w:p>
    <w:p w:rsidR="00472201" w:rsidRDefault="00472201" w:rsidP="004C6712">
      <w:pPr>
        <w:pStyle w:val="Heading3"/>
        <w:keepNext w:val="0"/>
      </w:pPr>
      <w:r>
        <w:t>All safety devices shall be serviceable through the terminal box without removing the heater and transformer fusing shall be accessible from outside the heater without opening the doors. A wiring diagram shall be provided showing terminal designations of power and control circuits, mounted inside the control box.</w:t>
      </w:r>
    </w:p>
    <w:p w:rsidR="00472201" w:rsidRDefault="00472201" w:rsidP="004C6712">
      <w:pPr>
        <w:pStyle w:val="Heading1"/>
        <w:keepNext w:val="0"/>
      </w:pPr>
      <w:r>
        <w:t>- EXECUTION</w:t>
      </w:r>
    </w:p>
    <w:p w:rsidR="00472201" w:rsidRDefault="00472201" w:rsidP="004C6712">
      <w:pPr>
        <w:pStyle w:val="Heading2"/>
        <w:keepNext w:val="0"/>
      </w:pPr>
      <w:r>
        <w:t>GENERAL:</w:t>
      </w:r>
    </w:p>
    <w:p w:rsidR="00472201" w:rsidRDefault="00472201" w:rsidP="004C6712">
      <w:pPr>
        <w:pStyle w:val="Heading3"/>
        <w:keepNext w:val="0"/>
      </w:pPr>
      <w:r>
        <w:lastRenderedPageBreak/>
        <w:t>Coils shall be installed in accordance with the manufacturer's published recommendations.</w:t>
      </w:r>
    </w:p>
    <w:p w:rsidR="00472201" w:rsidRDefault="00472201" w:rsidP="004C6712">
      <w:pPr>
        <w:pStyle w:val="Heading2"/>
        <w:keepNext w:val="0"/>
      </w:pPr>
      <w:r>
        <w:t>STEAM COILS:</w:t>
      </w:r>
    </w:p>
    <w:p w:rsidR="00472201" w:rsidRDefault="00472201" w:rsidP="004C6712">
      <w:pPr>
        <w:pStyle w:val="Heading3"/>
        <w:keepNext w:val="0"/>
      </w:pPr>
      <w:r>
        <w:t>A vacuum breaker and condensate trap shall be installed in each coil in a bank. Coils shall be installed pitched to ensure free flow of condensate.</w:t>
      </w:r>
    </w:p>
    <w:p w:rsidR="00472201" w:rsidRDefault="00472201" w:rsidP="004C6712">
      <w:pPr>
        <w:pStyle w:val="Heading2"/>
        <w:keepNext w:val="0"/>
      </w:pPr>
      <w:r>
        <w:t>ELECTRIC HEATING COILS:</w:t>
      </w:r>
    </w:p>
    <w:p w:rsidR="00472201" w:rsidRDefault="00472201" w:rsidP="004C6712">
      <w:pPr>
        <w:pStyle w:val="Heading3"/>
        <w:keepNext w:val="0"/>
      </w:pPr>
      <w:r>
        <w:t>Duct mounted electric heating coils shall be installed with sufficient clearance from piping, ductwork, structural members, etc. so that the control box door will open through its full arc.</w:t>
      </w:r>
    </w:p>
    <w:p w:rsidR="00472201" w:rsidRDefault="00472201" w:rsidP="004C6712">
      <w:pPr>
        <w:widowControl w:val="0"/>
        <w:autoSpaceDE w:val="0"/>
        <w:autoSpaceDN w:val="0"/>
        <w:adjustRightInd w:val="0"/>
        <w:jc w:val="both"/>
        <w:rPr>
          <w:rFonts w:ascii="Courier New" w:hAnsi="Courier New"/>
          <w:color w:val="000000"/>
          <w:sz w:val="22"/>
          <w:szCs w:val="22"/>
        </w:rPr>
      </w:pPr>
    </w:p>
    <w:p w:rsidR="00472201" w:rsidRDefault="00472201" w:rsidP="004C6712">
      <w:pPr>
        <w:widowControl w:val="0"/>
        <w:autoSpaceDE w:val="0"/>
        <w:autoSpaceDN w:val="0"/>
        <w:adjustRightInd w:val="0"/>
        <w:jc w:val="center"/>
        <w:rPr>
          <w:rFonts w:ascii="Courier New" w:hAnsi="Courier New"/>
          <w:color w:val="000000"/>
          <w:sz w:val="22"/>
          <w:szCs w:val="22"/>
        </w:rPr>
      </w:pPr>
    </w:p>
    <w:p w:rsidR="00472201" w:rsidRDefault="00472201" w:rsidP="004C6712">
      <w:pPr>
        <w:widowControl w:val="0"/>
        <w:autoSpaceDE w:val="0"/>
        <w:autoSpaceDN w:val="0"/>
        <w:adjustRightInd w:val="0"/>
        <w:jc w:val="center"/>
        <w:rPr>
          <w:rFonts w:ascii="Courier New" w:hAnsi="Courier New"/>
          <w:sz w:val="22"/>
          <w:szCs w:val="22"/>
        </w:rPr>
      </w:pPr>
      <w:r>
        <w:rPr>
          <w:rFonts w:ascii="Courier New" w:hAnsi="Courier New"/>
          <w:color w:val="000000"/>
          <w:sz w:val="22"/>
          <w:szCs w:val="22"/>
        </w:rPr>
        <w:t>End of Section</w:t>
      </w:r>
    </w:p>
    <w:sectPr w:rsidR="00472201" w:rsidSect="00472201">
      <w:headerReference w:type="default" r:id="rId7"/>
      <w:footerReference w:type="default" r:id="rId8"/>
      <w:pgSz w:w="12240" w:h="15840"/>
      <w:pgMar w:top="1440" w:right="1440" w:bottom="1440" w:left="1440" w:header="720" w:footer="1080" w:gutter="0"/>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D62AB" w:rsidRDefault="000D62AB">
      <w:r>
        <w:separator/>
      </w:r>
    </w:p>
  </w:endnote>
  <w:endnote w:type="continuationSeparator" w:id="0">
    <w:p w:rsidR="000D62AB" w:rsidRDefault="000D62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72201" w:rsidRDefault="00472201">
    <w:pPr>
      <w:widowControl w:val="0"/>
      <w:autoSpaceDE w:val="0"/>
      <w:autoSpaceDN w:val="0"/>
      <w:adjustRightInd w:val="0"/>
      <w:jc w:val="center"/>
      <w:rPr>
        <w:rFonts w:ascii="Courier New" w:hAnsi="Courier New"/>
        <w:sz w:val="22"/>
        <w:szCs w:val="22"/>
      </w:rPr>
    </w:pPr>
    <w:r>
      <w:rPr>
        <w:rFonts w:ascii="Courier New" w:hAnsi="Courier New"/>
        <w:sz w:val="22"/>
        <w:szCs w:val="22"/>
      </w:rPr>
      <w:t>[23 82 16]15606-</w:t>
    </w:r>
    <w:r>
      <w:rPr>
        <w:rFonts w:ascii="Courier New" w:hAnsi="Courier New"/>
        <w:sz w:val="22"/>
        <w:szCs w:val="22"/>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D62AB" w:rsidRDefault="000D62AB">
      <w:r>
        <w:separator/>
      </w:r>
    </w:p>
  </w:footnote>
  <w:footnote w:type="continuationSeparator" w:id="0">
    <w:p w:rsidR="000D62AB" w:rsidRDefault="000D62A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72201" w:rsidRDefault="00472201">
    <w:pPr>
      <w:widowControl w:val="0"/>
      <w:autoSpaceDE w:val="0"/>
      <w:autoSpaceDN w:val="0"/>
      <w:adjustRightInd w:val="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64744E3"/>
    <w:multiLevelType w:val="multilevel"/>
    <w:tmpl w:val="817CDEF2"/>
    <w:lvl w:ilvl="0">
      <w:start w:val="1"/>
      <w:numFmt w:val="decimal"/>
      <w:pStyle w:val="Heading1"/>
      <w:lvlText w:val="PART %1"/>
      <w:lvlJc w:val="left"/>
      <w:pPr>
        <w:tabs>
          <w:tab w:val="num" w:pos="1440"/>
        </w:tabs>
        <w:ind w:left="1440" w:hanging="1440"/>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Zero"/>
      <w:pStyle w:val="Heading2"/>
      <w:lvlText w:val="%1.%2"/>
      <w:lvlJc w:val="left"/>
      <w:pPr>
        <w:tabs>
          <w:tab w:val="num" w:pos="720"/>
        </w:tabs>
        <w:ind w:left="720" w:hanging="720"/>
      </w:pPr>
      <w:rPr>
        <w:rFonts w:ascii="Courier New" w:hAnsi="Courier New" w:cs="Courier New" w:hint="default"/>
        <w:b w:val="0"/>
        <w:i w:val="0"/>
        <w:sz w:val="20"/>
      </w:rPr>
    </w:lvl>
    <w:lvl w:ilvl="2">
      <w:start w:val="1"/>
      <w:numFmt w:val="upperLetter"/>
      <w:pStyle w:val="Heading3"/>
      <w:lvlText w:val="%3."/>
      <w:lvlJc w:val="left"/>
      <w:pPr>
        <w:tabs>
          <w:tab w:val="num" w:pos="1440"/>
        </w:tabs>
        <w:ind w:left="1440" w:hanging="720"/>
      </w:pPr>
      <w:rPr>
        <w:rFonts w:hint="default"/>
        <w:b w:val="0"/>
        <w:i w:val="0"/>
        <w:sz w:val="20"/>
      </w:rPr>
    </w:lvl>
    <w:lvl w:ilvl="3">
      <w:start w:val="1"/>
      <w:numFmt w:val="decimal"/>
      <w:pStyle w:val="Heading4"/>
      <w:lvlText w:val="%4."/>
      <w:lvlJc w:val="left"/>
      <w:pPr>
        <w:tabs>
          <w:tab w:val="num" w:pos="2160"/>
        </w:tabs>
        <w:ind w:left="2160" w:hanging="720"/>
      </w:pPr>
      <w:rPr>
        <w:rFonts w:ascii="Courier New" w:hAnsi="Courier New" w:cs="Courier New" w:hint="default"/>
        <w:b w:val="0"/>
        <w:i w:val="0"/>
        <w:sz w:val="20"/>
      </w:rPr>
    </w:lvl>
    <w:lvl w:ilvl="4">
      <w:start w:val="1"/>
      <w:numFmt w:val="lowerLetter"/>
      <w:pStyle w:val="Heading5"/>
      <w:lvlText w:val="%5."/>
      <w:lvlJc w:val="left"/>
      <w:pPr>
        <w:tabs>
          <w:tab w:val="num" w:pos="2880"/>
        </w:tabs>
        <w:ind w:left="2880" w:hanging="720"/>
      </w:pPr>
      <w:rPr>
        <w:rFonts w:ascii="Courier New" w:hAnsi="Courier New" w:cs="Courier New" w:hint="default"/>
        <w:b w:val="0"/>
        <w:i w:val="0"/>
        <w:sz w:val="20"/>
      </w:rPr>
    </w:lvl>
    <w:lvl w:ilvl="5">
      <w:start w:val="1"/>
      <w:numFmt w:val="decimal"/>
      <w:pStyle w:val="Heading6"/>
      <w:lvlText w:val="(%6)"/>
      <w:lvlJc w:val="left"/>
      <w:pPr>
        <w:tabs>
          <w:tab w:val="num" w:pos="3600"/>
        </w:tabs>
        <w:ind w:left="3600" w:hanging="720"/>
      </w:pPr>
      <w:rPr>
        <w:rFonts w:hint="default"/>
      </w:rPr>
    </w:lvl>
    <w:lvl w:ilvl="6">
      <w:start w:val="1"/>
      <w:numFmt w:val="lowerRoman"/>
      <w:pStyle w:val="Heading7"/>
      <w:lvlText w:val="(%7)"/>
      <w:lvlJc w:val="left"/>
      <w:pPr>
        <w:tabs>
          <w:tab w:val="num" w:pos="4608"/>
        </w:tabs>
        <w:ind w:left="4608" w:hanging="720"/>
      </w:pPr>
      <w:rPr>
        <w:rFonts w:hint="default"/>
      </w:rPr>
    </w:lvl>
    <w:lvl w:ilvl="7">
      <w:start w:val="1"/>
      <w:numFmt w:val="lowerLetter"/>
      <w:pStyle w:val="Heading8"/>
      <w:lvlText w:val="(%8)"/>
      <w:lvlJc w:val="left"/>
      <w:pPr>
        <w:tabs>
          <w:tab w:val="num" w:pos="5760"/>
        </w:tabs>
        <w:ind w:left="5760" w:hanging="720"/>
      </w:pPr>
      <w:rPr>
        <w:rFonts w:hint="default"/>
      </w:rPr>
    </w:lvl>
    <w:lvl w:ilvl="8">
      <w:start w:val="1"/>
      <w:numFmt w:val="lowerRoman"/>
      <w:pStyle w:val="Heading9"/>
      <w:lvlText w:val="(%9)"/>
      <w:lvlJc w:val="left"/>
      <w:pPr>
        <w:tabs>
          <w:tab w:val="num" w:pos="6480"/>
        </w:tabs>
        <w:ind w:left="6480" w:hanging="720"/>
      </w:pPr>
      <w:rPr>
        <w:rFonts w:hint="default"/>
      </w:r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2201"/>
    <w:rsid w:val="00097FDE"/>
    <w:rsid w:val="000D62AB"/>
    <w:rsid w:val="00107732"/>
    <w:rsid w:val="001D7210"/>
    <w:rsid w:val="003F1ADC"/>
    <w:rsid w:val="00472201"/>
    <w:rsid w:val="004C6712"/>
    <w:rsid w:val="004D7CD1"/>
    <w:rsid w:val="00547BFE"/>
    <w:rsid w:val="0059121F"/>
    <w:rsid w:val="008A6762"/>
    <w:rsid w:val="008E33BC"/>
    <w:rsid w:val="00A94201"/>
    <w:rsid w:val="00DA5A86"/>
    <w:rsid w:val="00EF4F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oNotEmbedSmartTags/>
  <w:decimalSymbol w:val="."/>
  <w:listSeparator w:val=","/>
  <w15:chartTrackingRefBased/>
  <w15:docId w15:val="{79924C27-3C55-463F-8C6B-6E628C1A67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1">
    <w:name w:val="heading 1"/>
    <w:basedOn w:val="Normal"/>
    <w:next w:val="Normal"/>
    <w:link w:val="Heading1Char"/>
    <w:qFormat/>
    <w:rsid w:val="004C6712"/>
    <w:pPr>
      <w:keepNext/>
      <w:numPr>
        <w:numId w:val="9"/>
      </w:numPr>
      <w:tabs>
        <w:tab w:val="left" w:pos="810"/>
      </w:tabs>
      <w:spacing w:before="240"/>
      <w:outlineLvl w:val="0"/>
    </w:pPr>
    <w:rPr>
      <w:rFonts w:ascii="Courier New" w:hAnsi="Courier New" w:cs="Arial"/>
      <w:kern w:val="32"/>
      <w:sz w:val="20"/>
      <w:szCs w:val="32"/>
    </w:rPr>
  </w:style>
  <w:style w:type="paragraph" w:styleId="Heading2">
    <w:name w:val="heading 2"/>
    <w:basedOn w:val="Normal"/>
    <w:link w:val="Heading2Char"/>
    <w:qFormat/>
    <w:rsid w:val="00097FDE"/>
    <w:pPr>
      <w:keepNext/>
      <w:numPr>
        <w:ilvl w:val="1"/>
        <w:numId w:val="9"/>
      </w:numPr>
      <w:spacing w:before="240"/>
      <w:outlineLvl w:val="1"/>
    </w:pPr>
    <w:rPr>
      <w:rFonts w:ascii="Courier New" w:hAnsi="Courier New" w:cs="Arial"/>
      <w:sz w:val="20"/>
      <w:szCs w:val="28"/>
    </w:rPr>
  </w:style>
  <w:style w:type="paragraph" w:styleId="Heading3">
    <w:name w:val="heading 3"/>
    <w:basedOn w:val="Normal"/>
    <w:link w:val="Heading3Char"/>
    <w:qFormat/>
    <w:rsid w:val="00097FDE"/>
    <w:pPr>
      <w:keepNext/>
      <w:numPr>
        <w:ilvl w:val="2"/>
        <w:numId w:val="9"/>
      </w:numPr>
      <w:spacing w:before="240"/>
      <w:outlineLvl w:val="2"/>
    </w:pPr>
    <w:rPr>
      <w:rFonts w:ascii="Courier New" w:hAnsi="Courier New" w:cs="Arial"/>
      <w:sz w:val="20"/>
      <w:szCs w:val="26"/>
    </w:rPr>
  </w:style>
  <w:style w:type="paragraph" w:styleId="Heading4">
    <w:name w:val="heading 4"/>
    <w:basedOn w:val="Normal"/>
    <w:link w:val="Heading4Char"/>
    <w:qFormat/>
    <w:rsid w:val="00097FDE"/>
    <w:pPr>
      <w:keepNext/>
      <w:numPr>
        <w:ilvl w:val="3"/>
        <w:numId w:val="9"/>
      </w:numPr>
      <w:spacing w:before="240"/>
      <w:outlineLvl w:val="3"/>
    </w:pPr>
    <w:rPr>
      <w:rFonts w:ascii="Courier New" w:hAnsi="Courier New" w:cs="Arial"/>
      <w:sz w:val="20"/>
      <w:szCs w:val="28"/>
    </w:rPr>
  </w:style>
  <w:style w:type="paragraph" w:styleId="Heading5">
    <w:name w:val="heading 5"/>
    <w:basedOn w:val="Normal"/>
    <w:link w:val="Heading5Char"/>
    <w:qFormat/>
    <w:rsid w:val="00097FDE"/>
    <w:pPr>
      <w:numPr>
        <w:ilvl w:val="4"/>
        <w:numId w:val="9"/>
      </w:numPr>
      <w:spacing w:before="240"/>
      <w:outlineLvl w:val="4"/>
    </w:pPr>
    <w:rPr>
      <w:rFonts w:ascii="Courier New" w:hAnsi="Courier New" w:cs="Arial"/>
      <w:sz w:val="20"/>
      <w:szCs w:val="26"/>
    </w:rPr>
  </w:style>
  <w:style w:type="paragraph" w:styleId="Heading6">
    <w:name w:val="heading 6"/>
    <w:basedOn w:val="Normal"/>
    <w:link w:val="Heading6Char"/>
    <w:qFormat/>
    <w:rsid w:val="00097FDE"/>
    <w:pPr>
      <w:numPr>
        <w:ilvl w:val="5"/>
        <w:numId w:val="9"/>
      </w:numPr>
      <w:spacing w:before="240"/>
      <w:outlineLvl w:val="5"/>
    </w:pPr>
    <w:rPr>
      <w:rFonts w:ascii="Courier New" w:hAnsi="Courier New" w:cs="Arial"/>
      <w:sz w:val="20"/>
      <w:szCs w:val="22"/>
    </w:rPr>
  </w:style>
  <w:style w:type="paragraph" w:styleId="Heading7">
    <w:name w:val="heading 7"/>
    <w:basedOn w:val="Normal"/>
    <w:link w:val="Heading7Char"/>
    <w:qFormat/>
    <w:rsid w:val="00097FDE"/>
    <w:pPr>
      <w:numPr>
        <w:ilvl w:val="6"/>
        <w:numId w:val="9"/>
      </w:numPr>
      <w:spacing w:before="240"/>
      <w:outlineLvl w:val="6"/>
    </w:pPr>
    <w:rPr>
      <w:rFonts w:ascii="Courier New" w:hAnsi="Courier New"/>
      <w:sz w:val="20"/>
    </w:rPr>
  </w:style>
  <w:style w:type="paragraph" w:styleId="Heading8">
    <w:name w:val="heading 8"/>
    <w:basedOn w:val="Normal"/>
    <w:link w:val="Heading8Char"/>
    <w:qFormat/>
    <w:rsid w:val="00097FDE"/>
    <w:pPr>
      <w:numPr>
        <w:ilvl w:val="7"/>
        <w:numId w:val="9"/>
      </w:numPr>
      <w:spacing w:before="240"/>
      <w:outlineLvl w:val="7"/>
    </w:pPr>
    <w:rPr>
      <w:rFonts w:ascii="Courier New" w:hAnsi="Courier New"/>
      <w:i/>
      <w:iCs/>
      <w:sz w:val="20"/>
    </w:rPr>
  </w:style>
  <w:style w:type="paragraph" w:styleId="Heading9">
    <w:name w:val="heading 9"/>
    <w:basedOn w:val="Normal"/>
    <w:link w:val="Heading9Char"/>
    <w:qFormat/>
    <w:rsid w:val="00097FDE"/>
    <w:pPr>
      <w:numPr>
        <w:ilvl w:val="8"/>
        <w:numId w:val="9"/>
      </w:numPr>
      <w:spacing w:before="240"/>
      <w:outlineLvl w:val="8"/>
    </w:pPr>
    <w:rPr>
      <w:rFonts w:ascii="Courier New" w:hAnsi="Courier New" w:cs="Arial"/>
      <w:sz w:val="20"/>
      <w:szCs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Heading1Char">
    <w:name w:val="Heading 1 Char"/>
    <w:link w:val="Heading1"/>
    <w:rsid w:val="004C6712"/>
    <w:rPr>
      <w:rFonts w:ascii="Courier New" w:hAnsi="Courier New" w:cs="Arial"/>
      <w:kern w:val="32"/>
      <w:szCs w:val="32"/>
    </w:rPr>
  </w:style>
  <w:style w:type="character" w:customStyle="1" w:styleId="Heading2Char">
    <w:name w:val="Heading 2 Char"/>
    <w:link w:val="Heading2"/>
    <w:rsid w:val="00097FDE"/>
    <w:rPr>
      <w:rFonts w:ascii="Courier New" w:hAnsi="Courier New" w:cs="Arial"/>
      <w:szCs w:val="28"/>
    </w:rPr>
  </w:style>
  <w:style w:type="character" w:customStyle="1" w:styleId="Heading3Char">
    <w:name w:val="Heading 3 Char"/>
    <w:link w:val="Heading3"/>
    <w:rsid w:val="00097FDE"/>
    <w:rPr>
      <w:rFonts w:ascii="Courier New" w:hAnsi="Courier New" w:cs="Arial"/>
      <w:szCs w:val="26"/>
    </w:rPr>
  </w:style>
  <w:style w:type="character" w:customStyle="1" w:styleId="Heading4Char">
    <w:name w:val="Heading 4 Char"/>
    <w:link w:val="Heading4"/>
    <w:rsid w:val="00097FDE"/>
    <w:rPr>
      <w:rFonts w:ascii="Courier New" w:hAnsi="Courier New" w:cs="Arial"/>
      <w:szCs w:val="28"/>
    </w:rPr>
  </w:style>
  <w:style w:type="character" w:customStyle="1" w:styleId="Heading5Char">
    <w:name w:val="Heading 5 Char"/>
    <w:link w:val="Heading5"/>
    <w:rsid w:val="00097FDE"/>
    <w:rPr>
      <w:rFonts w:ascii="Courier New" w:hAnsi="Courier New" w:cs="Arial"/>
      <w:szCs w:val="26"/>
    </w:rPr>
  </w:style>
  <w:style w:type="character" w:customStyle="1" w:styleId="Heading6Char">
    <w:name w:val="Heading 6 Char"/>
    <w:link w:val="Heading6"/>
    <w:rsid w:val="00097FDE"/>
    <w:rPr>
      <w:rFonts w:ascii="Courier New" w:hAnsi="Courier New" w:cs="Arial"/>
      <w:szCs w:val="22"/>
    </w:rPr>
  </w:style>
  <w:style w:type="character" w:customStyle="1" w:styleId="Heading7Char">
    <w:name w:val="Heading 7 Char"/>
    <w:link w:val="Heading7"/>
    <w:rsid w:val="00097FDE"/>
    <w:rPr>
      <w:rFonts w:ascii="Courier New" w:hAnsi="Courier New"/>
      <w:szCs w:val="24"/>
    </w:rPr>
  </w:style>
  <w:style w:type="character" w:customStyle="1" w:styleId="Heading8Char">
    <w:name w:val="Heading 8 Char"/>
    <w:link w:val="Heading8"/>
    <w:rsid w:val="00097FDE"/>
    <w:rPr>
      <w:rFonts w:ascii="Courier New" w:hAnsi="Courier New"/>
      <w:i/>
      <w:iCs/>
      <w:szCs w:val="24"/>
    </w:rPr>
  </w:style>
  <w:style w:type="character" w:customStyle="1" w:styleId="Heading9Char">
    <w:name w:val="Heading 9 Char"/>
    <w:link w:val="Heading9"/>
    <w:rsid w:val="00097FDE"/>
    <w:rPr>
      <w:rFonts w:ascii="Courier New" w:hAnsi="Courier New" w:cs="Arial"/>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1126</Words>
  <Characters>6420</Characters>
  <Application>Microsoft Office Word</Application>
  <DocSecurity>4</DocSecurity>
  <Lines>53</Lines>
  <Paragraphs>15</Paragraphs>
  <ScaleCrop>false</ScaleCrop>
  <HeadingPairs>
    <vt:vector size="2" baseType="variant">
      <vt:variant>
        <vt:lpstr>Title</vt:lpstr>
      </vt:variant>
      <vt:variant>
        <vt:i4>1</vt:i4>
      </vt:variant>
    </vt:vector>
  </HeadingPairs>
  <TitlesOfParts>
    <vt:vector size="1" baseType="lpstr">
      <vt:lpstr>MASTER SPECIFICATION</vt:lpstr>
    </vt:vector>
  </TitlesOfParts>
  <Company/>
  <LinksUpToDate>false</LinksUpToDate>
  <CharactersWithSpaces>7531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SPECIFICATION</dc:title>
  <dc:subject/>
  <dc:creator>Michael Hughes</dc:creator>
  <cp:keywords/>
  <dc:description/>
  <cp:lastModifiedBy>Doris Smith</cp:lastModifiedBy>
  <cp:revision>2</cp:revision>
  <dcterms:created xsi:type="dcterms:W3CDTF">2016-03-08T19:33:00Z</dcterms:created>
  <dcterms:modified xsi:type="dcterms:W3CDTF">2016-03-08T19:33:00Z</dcterms:modified>
</cp:coreProperties>
</file>