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340" w:type="dxa"/>
              <w:left w:w="260" w:type="dxa"/>
              <w:bottom w:w="340" w:type="dxa"/>
              <w:right w:w="260" w:type="dxa"/>
            </w:tcMar>
          </w:tcPr>
          <w:p w14:paraId="4F49597C" w14:textId="77777777" w:rsidR="00CA4605" w:rsidRDefault="00F77340">
            <w:pPr>
              <w:spacing w:after="60"/>
            </w:pPr>
            <w:r>
              <w:rPr>
                <w:b/>
                <w:bCs/>
                <w:color w:val="FFFFFF"/>
                <w:sz w:val="24"/>
                <w:szCs w:val="24"/>
              </w:rPr>
              <w:t>PUPILA INC.</w:t>
            </w:r>
          </w:p>
          <w:p w14:paraId="4F49597D" w14:textId="77777777" w:rsidR="00CA4605" w:rsidRDefault="00F77340">
            <w:pPr>
              <w:spacing w:after="200"/>
            </w:pPr>
            <w:r>
              <w:rPr>
                <w:color w:val="00ADBB"/>
                <w:sz w:val="18"/>
                <w:szCs w:val="18"/>
              </w:rPr>
              <w:t>Expediente Clínico Electrónico</w:t>
            </w:r>
          </w:p>
          <w:p w14:paraId="4F49597E" w14:textId="77777777" w:rsidR="00CA4605" w:rsidRDefault="00F77340">
            <w:pPr>
              <w:spacing w:after="60"/>
            </w:pPr>
            <w:r>
              <w:rPr>
                <w:b/>
                <w:bCs/>
                <w:color w:val="00ADBB"/>
                <w:sz w:val="22"/>
                <w:szCs w:val="22"/>
              </w:rPr>
              <w:t>GUÍA DE LECTURA</w:t>
            </w:r>
          </w:p>
          <w:p w14:paraId="4F49597F" w14:textId="77777777" w:rsidR="00CA4605" w:rsidRDefault="00F77340">
            <w:pPr>
              <w:spacing w:after="60"/>
            </w:pPr>
            <w:r>
              <w:rPr>
                <w:b/>
                <w:bCs/>
                <w:color w:val="FFFFFF"/>
                <w:sz w:val="30"/>
                <w:szCs w:val="30"/>
              </w:rPr>
              <w:t>Cómo leer el paquete de especificación</w:t>
            </w:r>
          </w:p>
          <w:p w14:paraId="4F495980" w14:textId="77777777" w:rsidR="00CA4605" w:rsidRDefault="00F77340">
            <w:r>
              <w:rPr>
                <w:color w:val="FFFFFF"/>
              </w:rPr>
              <w:t xml:space="preserve">Agosto </w:t>
            </w:r>
            <w:proofErr w:type="gramStart"/>
            <w:r>
              <w:rPr>
                <w:color w:val="FFFFFF"/>
              </w:rPr>
              <w:t>2026  ·</w:t>
            </w:r>
            <w:proofErr w:type="gramEnd"/>
            <w:r>
              <w:rPr>
                <w:color w:val="FFFFFF"/>
              </w:rPr>
              <w:t xml:space="preserve">  Dirigido al equipo de desarrollo</w:t>
            </w:r>
          </w:p>
        </w:tc>
      </w:tr>
    </w:tbl>
    <w:p w14:paraId="4F495982" w14:textId="77777777" w:rsidR="00CA4605" w:rsidRDefault="00CA4605">
      <w:pPr>
        <w:spacing w:after="200"/>
      </w:pPr>
    </w:p>
    <w:tbl>
      <w:tblPr>
        <w:tblW w:w="9638" w:type="dxa"/>
        <w:tblBorders>
          <w:top w:val="single" w:sz="2" w:space="0" w:color="D9DDE0"/>
          <w:left w:val="single" w:sz="18" w:space="0" w:color="00ADBB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8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9DDE0"/>
              <w:left w:val="single" w:sz="18" w:space="0" w:color="00ADBB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4F495983" w14:textId="77777777" w:rsidR="00CA4605" w:rsidRDefault="00F77340">
            <w:pPr>
              <w:spacing w:after="40" w:line="250" w:lineRule="auto"/>
            </w:pPr>
            <w:r>
              <w:rPr>
                <w:b/>
                <w:bCs/>
                <w:color w:val="263545"/>
                <w:sz w:val="18"/>
                <w:szCs w:val="18"/>
              </w:rPr>
              <w:t>Lee esto primero, antes de abrir cualquier otro archivo</w:t>
            </w:r>
          </w:p>
          <w:p w14:paraId="4F495984" w14:textId="77777777" w:rsidR="00CA4605" w:rsidRDefault="00F77340">
            <w:pPr>
              <w:spacing w:line="264" w:lineRule="auto"/>
            </w:pPr>
            <w:r>
              <w:rPr>
                <w:sz w:val="18"/>
                <w:szCs w:val="18"/>
              </w:rPr>
              <w:t>El paquete son seis archivos. No están escritos para leerse en cualquier orden ni todos con la misma profundidad: hay uno que se lee completo, dos que se consultan, uno que se importa y uno que se ejecuta. Esta guía dice cuál es cuál, en qué orden abrirlos y qué esperar de cada uno. Toma diez minutos y ahorra bastante más.</w:t>
            </w:r>
          </w:p>
        </w:tc>
      </w:tr>
    </w:tbl>
    <w:p w14:paraId="4F495986" w14:textId="77777777" w:rsidR="00CA4605" w:rsidRDefault="00CA4605">
      <w:pPr>
        <w:spacing w:after="24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8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987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t>1.  QUÉ TRAE EL PAQUETE</w:t>
            </w:r>
          </w:p>
        </w:tc>
      </w:tr>
    </w:tbl>
    <w:p w14:paraId="4F495989" w14:textId="77777777" w:rsidR="00CA4605" w:rsidRDefault="00CA4605">
      <w:pPr>
        <w:spacing w:after="12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300"/>
        <w:gridCol w:w="2000"/>
        <w:gridCol w:w="3138"/>
      </w:tblGrid>
      <w:tr w:rsidR="00CA4605" w14:paraId="4F4959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8A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Orden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8B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Archivo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8C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Formato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8D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Cómo se usa</w:t>
            </w:r>
          </w:p>
        </w:tc>
      </w:tr>
      <w:tr w:rsidR="00CA4605" w14:paraId="4F49599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8F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0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Guía de Lectura (este documento)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1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Word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E8F5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2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lee completo. 10 minutos.</w:t>
            </w:r>
          </w:p>
        </w:tc>
      </w:tr>
      <w:tr w:rsidR="00CA4605" w14:paraId="4F495998" w14:textId="77777777" w:rsidTr="00C160F9">
        <w:tblPrEx>
          <w:tblCellMar>
            <w:top w:w="0" w:type="dxa"/>
            <w:bottom w:w="0" w:type="dxa"/>
          </w:tblCellMar>
        </w:tblPrEx>
        <w:trPr>
          <w:trHeight w:val="1155"/>
        </w:trPr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4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5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Motor de Exploración — demostración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D0028" w14:textId="77777777" w:rsidR="00CA4605" w:rsidRDefault="00F77340">
            <w:pPr>
              <w:spacing w:line="25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HTML</w:t>
            </w:r>
          </w:p>
          <w:p w14:paraId="5BDD7ED4" w14:textId="77777777" w:rsidR="00C52AB3" w:rsidRDefault="00C52AB3">
            <w:pPr>
              <w:spacing w:line="250" w:lineRule="auto"/>
              <w:rPr>
                <w:sz w:val="17"/>
                <w:szCs w:val="17"/>
              </w:rPr>
            </w:pPr>
          </w:p>
          <w:p w14:paraId="4F495996" w14:textId="0BB1D7ED" w:rsidR="00C52AB3" w:rsidRDefault="00C52AB3">
            <w:pPr>
              <w:spacing w:line="250" w:lineRule="auto"/>
            </w:pPr>
            <w:r>
              <w:rPr>
                <w:sz w:val="17"/>
                <w:szCs w:val="17"/>
              </w:rPr>
              <w:t>López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E8F5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7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abre en el navegador y se juega con él. 15 minutos.</w:t>
            </w:r>
          </w:p>
        </w:tc>
      </w:tr>
      <w:tr w:rsidR="00CA4605" w14:paraId="4F49599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9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A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 xml:space="preserve">A.14 — Especificación del </w:t>
            </w:r>
            <w:proofErr w:type="spellStart"/>
            <w:r>
              <w:rPr>
                <w:b/>
                <w:bCs/>
                <w:sz w:val="17"/>
                <w:szCs w:val="17"/>
              </w:rPr>
              <w:t>Wizard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y Motor de Hallazgos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B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Word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E8F5E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C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lee completo. Es el documento principal.</w:t>
            </w:r>
          </w:p>
        </w:tc>
      </w:tr>
      <w:tr w:rsidR="00CA4605" w14:paraId="4F4959A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E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9F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A.12 — Catálogo de Descripciones de Hallazgo Esperado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Word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1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consulta. No se lee de corrido.</w:t>
            </w:r>
          </w:p>
        </w:tc>
      </w:tr>
      <w:tr w:rsidR="00CA4605" w14:paraId="4F4959A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3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4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A.13 — Catálogo de Hallazgos por Región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5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Excel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6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importa a la base de datos. No se lee.</w:t>
            </w:r>
          </w:p>
        </w:tc>
      </w:tr>
      <w:tr w:rsidR="00CA4605" w14:paraId="4F4959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8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9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A.15 — Matriz de Campos y Modelo de Activación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A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Excel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B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consulta al conectar con la mensajería.</w:t>
            </w:r>
          </w:p>
        </w:tc>
      </w:tr>
      <w:tr w:rsidR="00CA4605" w14:paraId="4F4959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D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33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E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Doc 3.0a — Selector de Protocolos Clínicos</w:t>
            </w:r>
          </w:p>
        </w:tc>
        <w:tc>
          <w:tcPr>
            <w:tcW w:w="20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AF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Word</w:t>
            </w:r>
          </w:p>
        </w:tc>
        <w:tc>
          <w:tcPr>
            <w:tcW w:w="31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Se lee al construir el paso 6.</w:t>
            </w:r>
          </w:p>
        </w:tc>
      </w:tr>
    </w:tbl>
    <w:p w14:paraId="4F4959B2" w14:textId="77777777" w:rsidR="00CA4605" w:rsidRDefault="00CA4605">
      <w:pPr>
        <w:spacing w:after="2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B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9B3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t>2.  QUÉ ES Y QUÉ NO ES CADA DOCUMENTO</w:t>
            </w:r>
          </w:p>
        </w:tc>
      </w:tr>
    </w:tbl>
    <w:p w14:paraId="4F4959B5" w14:textId="77777777" w:rsidR="00CA4605" w:rsidRDefault="00CA4605">
      <w:pPr>
        <w:spacing w:after="12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738"/>
      </w:tblGrid>
      <w:tr w:rsidR="00CA4605" w14:paraId="4F495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6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Documento</w:t>
            </w:r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7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es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8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NO es</w:t>
            </w:r>
          </w:p>
        </w:tc>
      </w:tr>
      <w:tr w:rsidR="00CA4605" w14:paraId="4F495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A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A.14</w:t>
            </w:r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B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 xml:space="preserve">La especificación del sistema. Define los doce tipos de nota, los seis pasos del </w:t>
            </w:r>
            <w:proofErr w:type="spellStart"/>
            <w:r>
              <w:rPr>
                <w:sz w:val="17"/>
                <w:szCs w:val="17"/>
              </w:rPr>
              <w:t>wizard</w:t>
            </w:r>
            <w:proofErr w:type="spellEnd"/>
            <w:r>
              <w:rPr>
                <w:sz w:val="17"/>
                <w:szCs w:val="17"/>
              </w:rPr>
              <w:t>, el motor de hallazgos, el inventario completo de campos y los treinta y seis criterios de aceptación.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C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No es un catálogo de contenido clínico. Ningún término médico se toma de aquí.</w:t>
            </w:r>
          </w:p>
        </w:tc>
      </w:tr>
      <w:tr w:rsidR="00CA4605" w14:paraId="4F495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E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A.12</w:t>
            </w:r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BF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El texto exacto que el sistema escribe cuando una región se exploró y no hay nada anormal. Veintitrés regiones, cada una en forma bilateral y unilateral.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No es una guía de exploración ni material de estudio. Es contenido que el sistema imprime literalmente.</w:t>
            </w:r>
          </w:p>
        </w:tc>
      </w:tr>
      <w:tr w:rsidR="00CA4605" w14:paraId="4F495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2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A.13</w:t>
            </w:r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3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La tabla de datos que alimenta el motor. 289 hallazgos con sus atributos, sinónimos de búsqueda y reglas de obligatoriedad.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4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No es documentación. Es un archivo de datos que se importa y que la clínica editará después sin ustedes.</w:t>
            </w:r>
          </w:p>
        </w:tc>
      </w:tr>
      <w:tr w:rsidR="00CA4605" w14:paraId="4F4959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6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A.15</w:t>
            </w:r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7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Los campos que el sistema de mensajería consume y las reglas que activan cada protocolo de seguimiento al paciente.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8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No es el inventario de campos del expediente. Ese está en el A.14, sección 13.</w:t>
            </w:r>
          </w:p>
        </w:tc>
      </w:tr>
      <w:tr w:rsidR="00CA4605" w14:paraId="4F495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A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 xml:space="preserve">Doc </w:t>
            </w:r>
            <w:proofErr w:type="gramStart"/>
            <w:r>
              <w:rPr>
                <w:b/>
                <w:bCs/>
                <w:sz w:val="17"/>
                <w:szCs w:val="17"/>
              </w:rPr>
              <w:t>3.0a</w:t>
            </w:r>
            <w:proofErr w:type="gramEnd"/>
          </w:p>
        </w:tc>
        <w:tc>
          <w:tcPr>
            <w:tcW w:w="37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B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La lógica de qué protocolo de seguimiento se activa al cerrar la consulta, y el árbol de decisión que la resuelve.</w:t>
            </w:r>
          </w:p>
        </w:tc>
        <w:tc>
          <w:tcPr>
            <w:tcW w:w="37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CC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No define la estructura del expediente. Eso cambió: hoy vive en el A.14.</w:t>
            </w:r>
          </w:p>
        </w:tc>
      </w:tr>
    </w:tbl>
    <w:p w14:paraId="4F4959CE" w14:textId="77777777" w:rsidR="00CA4605" w:rsidRDefault="00CA4605">
      <w:pPr>
        <w:spacing w:after="280"/>
      </w:pPr>
    </w:p>
    <w:p w14:paraId="4F4959CF" w14:textId="77777777" w:rsidR="00CA4605" w:rsidRDefault="00F77340">
      <w:r>
        <w:br w:type="page"/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D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9D0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3.  CÓMO SE CONECTAN ENTRE SÍ</w:t>
            </w:r>
          </w:p>
        </w:tc>
      </w:tr>
    </w:tbl>
    <w:p w14:paraId="4F4959D2" w14:textId="77777777" w:rsidR="00CA4605" w:rsidRDefault="00CA4605">
      <w:pPr>
        <w:spacing w:after="12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CA4605" w14:paraId="4F4959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3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Relación</w:t>
            </w:r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4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significa en la práctica</w:t>
            </w:r>
          </w:p>
        </w:tc>
      </w:tr>
      <w:tr w:rsidR="00CA4605" w14:paraId="4F4959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6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A.14 → A.12</w:t>
            </w:r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7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Cuando el A.14 dice «se emite la descripción esperada», el texto exacto está en el A.12. El sistema lo lee de una tabla, nunca escrito dentro del código.</w:t>
            </w:r>
          </w:p>
        </w:tc>
      </w:tr>
      <w:tr w:rsidR="00CA4605" w14:paraId="4F4959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9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A.14 → A.13</w:t>
            </w:r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A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Cuando el A.14 dice «se registra un hallazgo», las opciones disponibles están en el A.13, filtradas por la región donde se abre el registro.</w:t>
            </w:r>
          </w:p>
        </w:tc>
      </w:tr>
      <w:tr w:rsidR="00CA4605" w14:paraId="4F4959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C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 xml:space="preserve">A.14 → Doc </w:t>
            </w:r>
            <w:proofErr w:type="gramStart"/>
            <w:r>
              <w:rPr>
                <w:b/>
                <w:bCs/>
                <w:sz w:val="17"/>
                <w:szCs w:val="17"/>
              </w:rPr>
              <w:t>3.0a</w:t>
            </w:r>
            <w:proofErr w:type="gramEnd"/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D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 xml:space="preserve">El paso 6 del </w:t>
            </w:r>
            <w:proofErr w:type="spellStart"/>
            <w:r>
              <w:rPr>
                <w:sz w:val="17"/>
                <w:szCs w:val="17"/>
              </w:rPr>
              <w:t>wizard</w:t>
            </w:r>
            <w:proofErr w:type="spellEnd"/>
            <w:r>
              <w:rPr>
                <w:sz w:val="17"/>
                <w:szCs w:val="17"/>
              </w:rPr>
              <w:t xml:space="preserve"> contiene el Selector de Protocolos. Su lógica está en el Doc 3.0a, no en el A.14.</w:t>
            </w:r>
          </w:p>
        </w:tc>
      </w:tr>
      <w:tr w:rsidR="00CA4605" w14:paraId="4F4959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DF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A.14 → A.15</w:t>
            </w:r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E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Algunos campos del expediente disparan mensajes al paciente. Cuáles y con qué reglas está en el A.15.</w:t>
            </w:r>
          </w:p>
        </w:tc>
      </w:tr>
      <w:tr w:rsidR="00CA4605" w14:paraId="4F4959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E2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A.12 ↔ A.13</w:t>
            </w:r>
          </w:p>
        </w:tc>
        <w:tc>
          <w:tcPr>
            <w:tcW w:w="70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E3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Mismas 23 regiones, sin excepción. El A.12 dice qué se escribe cuando no hay nada; el A.13, qué opciones hay cuando sí lo hay.</w:t>
            </w:r>
          </w:p>
        </w:tc>
      </w:tr>
    </w:tbl>
    <w:p w14:paraId="4F4959E5" w14:textId="77777777" w:rsidR="00CA4605" w:rsidRDefault="00CA4605">
      <w:pPr>
        <w:spacing w:after="140"/>
      </w:pPr>
    </w:p>
    <w:tbl>
      <w:tblPr>
        <w:tblW w:w="9638" w:type="dxa"/>
        <w:tblBorders>
          <w:top w:val="single" w:sz="2" w:space="0" w:color="D9DDE0"/>
          <w:left w:val="single" w:sz="18" w:space="0" w:color="00ADBB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E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9DDE0"/>
              <w:left w:val="single" w:sz="18" w:space="0" w:color="00ADBB"/>
              <w:bottom w:val="single" w:sz="2" w:space="0" w:color="D9DDE0"/>
              <w:right w:val="single" w:sz="2" w:space="0" w:color="D9DDE0"/>
            </w:tcBorders>
            <w:shd w:val="clear" w:color="auto" w:fill="E8F5EE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4F4959E6" w14:textId="77777777" w:rsidR="00CA4605" w:rsidRDefault="00F77340">
            <w:pPr>
              <w:spacing w:after="40" w:line="250" w:lineRule="auto"/>
            </w:pPr>
            <w:r>
              <w:rPr>
                <w:b/>
                <w:bCs/>
                <w:color w:val="263545"/>
                <w:sz w:val="18"/>
                <w:szCs w:val="18"/>
              </w:rPr>
              <w:t>La regla que explica toda la arquitectura</w:t>
            </w:r>
          </w:p>
          <w:p w14:paraId="4F4959E7" w14:textId="77777777" w:rsidR="00CA4605" w:rsidRDefault="00F77340">
            <w:pPr>
              <w:spacing w:line="264" w:lineRule="auto"/>
            </w:pPr>
            <w:r>
              <w:rPr>
                <w:sz w:val="18"/>
                <w:szCs w:val="18"/>
              </w:rPr>
              <w:t>Cada materia se define en un solo documento y los demás lo invocan. Si encuentran la misma información en dos archivos, uno de los dos está desactualizado y hay que avisar antes de programar. En concreto: los términos clínicos nunca se escriben dentro del código, siempre se leen de los catálogos A.12 y A.13, porque la clínica los va a modificar sin ustedes y cada nota firmada debe conservar la versión de catálogo con la que se generó.</w:t>
            </w:r>
          </w:p>
        </w:tc>
      </w:tr>
    </w:tbl>
    <w:p w14:paraId="4F4959E9" w14:textId="77777777" w:rsidR="00CA4605" w:rsidRDefault="00CA4605">
      <w:pPr>
        <w:spacing w:after="2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9E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9EA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t>4.  ORDEN DE LECTURA SUGERIDO</w:t>
            </w:r>
          </w:p>
        </w:tc>
      </w:tr>
    </w:tbl>
    <w:p w14:paraId="4F4959EC" w14:textId="77777777" w:rsidR="00CA4605" w:rsidRDefault="00CA4605">
      <w:pPr>
        <w:spacing w:after="120"/>
      </w:pPr>
    </w:p>
    <w:p w14:paraId="4F4959ED" w14:textId="77777777" w:rsidR="00CA4605" w:rsidRDefault="00F77340">
      <w:pPr>
        <w:spacing w:after="100" w:line="264" w:lineRule="auto"/>
      </w:pPr>
      <w:r>
        <w:t>No hace falta leer los seis archivos para empezar. Este orden lleva del panorama al detalle en aproximadamente dos horas.</w:t>
      </w:r>
    </w:p>
    <w:p w14:paraId="4F4959EE" w14:textId="77777777" w:rsidR="00CA4605" w:rsidRDefault="00CA4605">
      <w:pPr>
        <w:spacing w:after="6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838"/>
      </w:tblGrid>
      <w:tr w:rsidR="00CA4605" w14:paraId="4F4959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EF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Paso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0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hacer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1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Por qué en ese orden</w:t>
            </w:r>
          </w:p>
        </w:tc>
      </w:tr>
      <w:tr w:rsidR="00CA4605" w14:paraId="4F4959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3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4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Abrir el HTML y jugar con él quince minutos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5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Es una demostración funcional del motor de hallazgos, que es la parte más difícil de entender leyendo. Prueben los cuatro escenarios precargados y muevan los controles. Al terminar van a entender el 80 por ciento del A.14 antes de abrirlo. No es código para reutilizar: es una maqueta de comportamiento.</w:t>
            </w:r>
          </w:p>
        </w:tc>
      </w:tr>
      <w:tr w:rsidR="00CA4605" w14:paraId="4F4959F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7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8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Leer del A.14 solo las secciones 1 a 5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9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 xml:space="preserve">Ficha, principios de diseño, barra fija, tipos de nota y estructura del </w:t>
            </w:r>
            <w:proofErr w:type="spellStart"/>
            <w:r>
              <w:rPr>
                <w:sz w:val="17"/>
                <w:szCs w:val="17"/>
              </w:rPr>
              <w:t>wizard</w:t>
            </w:r>
            <w:proofErr w:type="spellEnd"/>
            <w:r>
              <w:rPr>
                <w:sz w:val="17"/>
                <w:szCs w:val="17"/>
              </w:rPr>
              <w:t>. Es el panorama completo en pocas páginas. La sección 2 son los siete principios: si algo no está previsto más adelante, se resuelve a favor del principio.</w:t>
            </w:r>
          </w:p>
        </w:tc>
      </w:tr>
      <w:tr w:rsidR="00CA4605" w14:paraId="4F4959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B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C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Leer la sección 16 del A.14, los criterios de aceptación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D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Son treinta y seis condiciones verificables sobre el sistema construido. Leerlas temprano evita descubrir al final que algo tenía que comportarse de otra manera. Es la condición de entrega.</w:t>
            </w:r>
          </w:p>
        </w:tc>
      </w:tr>
      <w:tr w:rsidR="00CA4605" w14:paraId="4F495A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9FF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0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Leer el A.14 completo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1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Ya con el panorama y los criterios en la cabeza, el resto se lee rápido.</w:t>
            </w:r>
          </w:p>
        </w:tc>
      </w:tr>
      <w:tr w:rsidR="00CA4605" w14:paraId="4F495A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3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4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Abrir el A.13 en Excel y revisar su estructura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5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Cinco hojas. Miren las columnas y una región de ejemplo. No lo lean fila por fila: son datos, no documentación.</w:t>
            </w:r>
          </w:p>
        </w:tc>
      </w:tr>
      <w:tr w:rsidR="00CA4605" w14:paraId="4F495A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7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8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Hojear el A.12 sin leerlo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9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Basta con ver una tabla para entender el formato: región, descripción bilateral, descripción unilateral. Lo importante son las secciones 3 y 5, el modelo de declaración y las reglas de redacción.</w:t>
            </w:r>
          </w:p>
        </w:tc>
      </w:tr>
      <w:tr w:rsidR="00CA4605" w14:paraId="4F495A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B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26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C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Doc 3.0a y A.15 cuando toque</w:t>
            </w:r>
          </w:p>
        </w:tc>
        <w:tc>
          <w:tcPr>
            <w:tcW w:w="5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0D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El Doc 3.0a al construir el paso 6. El A.15 al conectar con la mensajería. Ninguno de los dos hace falta para empezar.</w:t>
            </w:r>
          </w:p>
        </w:tc>
      </w:tr>
    </w:tbl>
    <w:p w14:paraId="4F495A0F" w14:textId="77777777" w:rsidR="00CA4605" w:rsidRDefault="00CA4605">
      <w:pPr>
        <w:spacing w:after="280"/>
      </w:pPr>
    </w:p>
    <w:p w14:paraId="4F495A10" w14:textId="77777777" w:rsidR="00CA4605" w:rsidRDefault="00F77340">
      <w:r>
        <w:br w:type="page"/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A1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A11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5.  LAS CINCO DECISIONES QUE NO ADMITEN CORRECCIÓN DESPUÉS</w:t>
            </w:r>
          </w:p>
        </w:tc>
      </w:tr>
    </w:tbl>
    <w:p w14:paraId="4F495A13" w14:textId="77777777" w:rsidR="00CA4605" w:rsidRDefault="00CA4605">
      <w:pPr>
        <w:spacing w:after="120"/>
      </w:pPr>
    </w:p>
    <w:p w14:paraId="4F495A14" w14:textId="77777777" w:rsidR="00CA4605" w:rsidRDefault="00F77340">
      <w:pPr>
        <w:spacing w:after="100" w:line="264" w:lineRule="auto"/>
      </w:pPr>
      <w:r>
        <w:t>Todo lo demás se puede ajustar sobre la marcha. Estas cinco no, y por eso conviene confirmarlas antes de escribir la primera línea.</w:t>
      </w:r>
    </w:p>
    <w:p w14:paraId="4F495A15" w14:textId="77777777" w:rsidR="00CA4605" w:rsidRDefault="00CA4605">
      <w:pPr>
        <w:spacing w:after="6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A4605" w14:paraId="4F495A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6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Decisión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7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Por qué no admite corrección posterior</w:t>
            </w:r>
          </w:p>
        </w:tc>
      </w:tr>
      <w:tr w:rsidR="00CA4605" w14:paraId="4F495A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9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Las medidas se guardan como números, no como texto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EEC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A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Presión intraocular, agudeza visual, refracción, queratometría. De esto dependen el histórico, la comparación entre consultas y las marcas de cambio. Corregirlo después obliga a migrar todo el historial de pacientes.</w:t>
            </w:r>
          </w:p>
        </w:tc>
      </w:tr>
      <w:tr w:rsidR="00CA4605" w14:paraId="4F495A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C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La nota firmada es inmutable y las correcciones son adendas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EEC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D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Es requisito legal, no una preferencia. No puede incorporarse después sobre notas ya firmadas.</w:t>
            </w:r>
          </w:p>
        </w:tc>
      </w:tr>
      <w:tr w:rsidR="00CA4605" w14:paraId="4F495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1F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Cada nota firmada sella la versión de catálogo que usó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EEC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Sin este dato, una nota de hace dos años se reinterpreta con el catálogo de hoy y deja de decir lo que decía.</w:t>
            </w:r>
          </w:p>
        </w:tc>
      </w:tr>
      <w:tr w:rsidR="00CA4605" w14:paraId="4F495A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2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El estado de exploración se guarda por región y por ojo, nunca compartido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EECE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3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El enlace entre ambos ojos es comportamiento de interfaz. Si se implementa como un campo compartido en la base de datos, después no se pueden separar.</w:t>
            </w:r>
          </w:p>
        </w:tc>
      </w:tr>
      <w:tr w:rsidR="00CA4605" w14:paraId="4F495A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5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El ojo derecho va a la izquierda de la pantalla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6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Es barato hoy y caro después: cambiarlo implica tocar interfaz, capacitación y documentación. Y en un expediente oftalmológico el orden invertido produce errores de lectura reales.</w:t>
            </w:r>
          </w:p>
        </w:tc>
      </w:tr>
    </w:tbl>
    <w:p w14:paraId="4F495A28" w14:textId="77777777" w:rsidR="00CA4605" w:rsidRDefault="00CA4605">
      <w:pPr>
        <w:spacing w:after="280"/>
      </w:pP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A2A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26354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F495A29" w14:textId="77777777" w:rsidR="00CA4605" w:rsidRDefault="00F77340">
            <w:r>
              <w:rPr>
                <w:b/>
                <w:bCs/>
                <w:color w:val="FFFFFF"/>
                <w:sz w:val="21"/>
                <w:szCs w:val="21"/>
              </w:rPr>
              <w:t>6.  CÓMO TRABAJAR CON EL PAQUETE</w:t>
            </w:r>
          </w:p>
        </w:tc>
      </w:tr>
    </w:tbl>
    <w:p w14:paraId="4F495A2B" w14:textId="77777777" w:rsidR="00CA4605" w:rsidRDefault="00CA4605">
      <w:pPr>
        <w:spacing w:after="120"/>
      </w:pPr>
    </w:p>
    <w:tbl>
      <w:tblPr>
        <w:tblW w:w="9638" w:type="dxa"/>
        <w:tblBorders>
          <w:top w:val="single" w:sz="2" w:space="0" w:color="D9DDE0"/>
          <w:left w:val="single" w:sz="2" w:space="0" w:color="D9DDE0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38"/>
      </w:tblGrid>
      <w:tr w:rsidR="00CA4605" w14:paraId="4F495A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C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Situación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26354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D" w14:textId="77777777" w:rsidR="00CA4605" w:rsidRDefault="00F77340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Qué hacer</w:t>
            </w:r>
          </w:p>
        </w:tc>
      </w:tr>
      <w:tr w:rsidR="00CA4605" w14:paraId="4F495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2F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Algo no está previsto en los documentos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0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Resolver a favor de los siete principios de la sección 2 del A.14, y avisar. No inventar una regla y seguir adelante.</w:t>
            </w:r>
          </w:p>
        </w:tc>
      </w:tr>
      <w:tr w:rsidR="00CA4605" w14:paraId="4F495A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2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Algo aparece distinto en dos documentos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3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Avisar antes de programar. Uno de los dos está desactualizado y hay que corregir el documento, no elegir uno.</w:t>
            </w:r>
          </w:p>
        </w:tc>
      </w:tr>
      <w:tr w:rsidR="00CA4605" w14:paraId="4F495A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5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Una función parece innecesariamente manual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FF8E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6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Revisar primero la sección 15 del A.14. Cinco automatizaciones fueron evaluadas y descartadas con su razón escrita. Si la propuesta es una de ellas, ya está contestada; si es distinta, plantearla.</w:t>
            </w:r>
          </w:p>
        </w:tc>
      </w:tr>
      <w:tr w:rsidR="00CA4605" w14:paraId="4F495A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8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Un requisito parece excesivo o costoso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9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Plantearlo. Varios de estos requisitos existen por razones legales o clínicas que no son evidentes desde el código, y conviene entender cuál antes de descartarlo o de aceptarlo.</w:t>
            </w:r>
          </w:p>
        </w:tc>
      </w:tr>
      <w:tr w:rsidR="00CA4605" w14:paraId="4F495A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B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Falta contenido clínico para avanzar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C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Los catálogos A.12 y A.13 están en revisión clínica. Se puede construir el motor contra su estructura sin esperar el contenido final: por eso viven fuera del código.</w:t>
            </w:r>
          </w:p>
        </w:tc>
      </w:tr>
      <w:tr w:rsidR="00CA4605" w14:paraId="4F495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E" w14:textId="77777777" w:rsidR="00CA4605" w:rsidRDefault="00F77340">
            <w:pPr>
              <w:spacing w:line="250" w:lineRule="auto"/>
            </w:pPr>
            <w:r>
              <w:rPr>
                <w:b/>
                <w:bCs/>
                <w:sz w:val="17"/>
                <w:szCs w:val="17"/>
              </w:rPr>
              <w:t>Los documentos cambian de versión</w:t>
            </w:r>
          </w:p>
        </w:tc>
        <w:tc>
          <w:tcPr>
            <w:tcW w:w="6838" w:type="dxa"/>
            <w:tcBorders>
              <w:top w:val="single" w:sz="2" w:space="0" w:color="D9DDE0"/>
              <w:left w:val="single" w:sz="2" w:space="0" w:color="D9DDE0"/>
              <w:bottom w:val="single" w:sz="2" w:space="0" w:color="D9DDE0"/>
              <w:right w:val="single" w:sz="2" w:space="0" w:color="D9DDE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95A3F" w14:textId="77777777" w:rsidR="00CA4605" w:rsidRDefault="00F77340">
            <w:pPr>
              <w:spacing w:line="250" w:lineRule="auto"/>
            </w:pPr>
            <w:r>
              <w:rPr>
                <w:sz w:val="17"/>
                <w:szCs w:val="17"/>
              </w:rPr>
              <w:t>Cada documento lleva su versión en el encabezado y su historial completo al final. Verificar siempre que trabajan contra la versión vigente.</w:t>
            </w:r>
          </w:p>
        </w:tc>
      </w:tr>
    </w:tbl>
    <w:p w14:paraId="4F495A41" w14:textId="77777777" w:rsidR="00CA4605" w:rsidRDefault="00CA4605">
      <w:pPr>
        <w:spacing w:after="140"/>
      </w:pPr>
    </w:p>
    <w:tbl>
      <w:tblPr>
        <w:tblW w:w="9638" w:type="dxa"/>
        <w:tblBorders>
          <w:top w:val="single" w:sz="2" w:space="0" w:color="D9DDE0"/>
          <w:left w:val="single" w:sz="18" w:space="0" w:color="00ADBB"/>
          <w:bottom w:val="single" w:sz="2" w:space="0" w:color="D9DDE0"/>
          <w:right w:val="single" w:sz="2" w:space="0" w:color="D9DD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CA4605" w14:paraId="4F495A4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2" w:space="0" w:color="D9DDE0"/>
              <w:left w:val="single" w:sz="18" w:space="0" w:color="00ADBB"/>
              <w:bottom w:val="single" w:sz="2" w:space="0" w:color="D9DDE0"/>
              <w:right w:val="single" w:sz="2" w:space="0" w:color="D9DDE0"/>
            </w:tcBorders>
            <w:shd w:val="clear" w:color="auto" w:fill="F2F4F5"/>
            <w:tcMar>
              <w:top w:w="110" w:type="dxa"/>
              <w:left w:w="160" w:type="dxa"/>
              <w:bottom w:w="110" w:type="dxa"/>
              <w:right w:w="140" w:type="dxa"/>
            </w:tcMar>
          </w:tcPr>
          <w:p w14:paraId="4F495A42" w14:textId="77777777" w:rsidR="00CA4605" w:rsidRDefault="00F77340">
            <w:pPr>
              <w:spacing w:after="40" w:line="250" w:lineRule="auto"/>
            </w:pPr>
            <w:r>
              <w:rPr>
                <w:b/>
                <w:bCs/>
                <w:color w:val="263545"/>
                <w:sz w:val="18"/>
                <w:szCs w:val="18"/>
              </w:rPr>
              <w:t>Lo que este sistema tiene de distinto</w:t>
            </w:r>
          </w:p>
          <w:p w14:paraId="4F495A43" w14:textId="77777777" w:rsidR="00CA4605" w:rsidRDefault="00F77340">
            <w:pPr>
              <w:spacing w:line="264" w:lineRule="auto"/>
            </w:pPr>
            <w:r>
              <w:rPr>
                <w:sz w:val="18"/>
                <w:szCs w:val="18"/>
              </w:rPr>
              <w:t>La mayoría de los expedientes electrónicos guardan texto libre y se vuelven inservibles para analizar, o guardan datos estructurados y producen notas que ningún médico querría firmar. Este diseño guarda las dos cosas: el dato estructurado para poder consultarlo después, y la descripción clínica redactada para que el expediente sirva como documento legal. El motor de hallazgos es el mecanismo que produce la segunda a partir de la primera. Si algo de la especificación parece complicado, casi siempre es por so</w:t>
            </w:r>
            <w:r>
              <w:rPr>
                <w:sz w:val="18"/>
                <w:szCs w:val="18"/>
              </w:rPr>
              <w:t>stener esa doble condición.</w:t>
            </w:r>
          </w:p>
        </w:tc>
      </w:tr>
    </w:tbl>
    <w:p w14:paraId="4F495A45" w14:textId="77777777" w:rsidR="00F77340" w:rsidRDefault="00F77340"/>
    <w:sectPr w:rsidR="00F7734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9FC0F3" w14:textId="77777777" w:rsidR="00F77340" w:rsidRDefault="00F77340">
      <w:r>
        <w:separator/>
      </w:r>
    </w:p>
  </w:endnote>
  <w:endnote w:type="continuationSeparator" w:id="0">
    <w:p w14:paraId="18DE145A" w14:textId="77777777" w:rsidR="00F77340" w:rsidRDefault="00F77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95A46" w14:textId="5B3B4E2C" w:rsidR="00CA4605" w:rsidRDefault="00F77340">
    <w:pPr>
      <w:jc w:val="center"/>
    </w:pPr>
    <w:r>
      <w:rPr>
        <w:color w:val="5F6B76"/>
        <w:sz w:val="15"/>
        <w:szCs w:val="15"/>
      </w:rPr>
      <w:t xml:space="preserve">Pupila Inc.  </w:t>
    </w:r>
    <w:proofErr w:type="gramStart"/>
    <w:r>
      <w:rPr>
        <w:color w:val="5F6B76"/>
        <w:sz w:val="15"/>
        <w:szCs w:val="15"/>
      </w:rPr>
      <w:t>·  Confidencial</w:t>
    </w:r>
    <w:proofErr w:type="gramEnd"/>
    <w:r>
      <w:rPr>
        <w:color w:val="5F6B76"/>
        <w:sz w:val="15"/>
        <w:szCs w:val="15"/>
      </w:rPr>
      <w:t xml:space="preserve">  </w:t>
    </w:r>
    <w:proofErr w:type="gramStart"/>
    <w:r>
      <w:rPr>
        <w:color w:val="5F6B76"/>
        <w:sz w:val="15"/>
        <w:szCs w:val="15"/>
      </w:rPr>
      <w:t>·  Página</w:t>
    </w:r>
    <w:proofErr w:type="gramEnd"/>
    <w:r>
      <w:rPr>
        <w:color w:val="5F6B76"/>
        <w:sz w:val="15"/>
        <w:szCs w:val="15"/>
      </w:rPr>
      <w:t xml:space="preserve"> </w:t>
    </w:r>
    <w:r>
      <w:rPr>
        <w:color w:val="5F6B76"/>
        <w:sz w:val="15"/>
        <w:szCs w:val="15"/>
      </w:rPr>
      <w:fldChar w:fldCharType="begin"/>
    </w:r>
    <w:r>
      <w:rPr>
        <w:color w:val="5F6B76"/>
        <w:sz w:val="15"/>
        <w:szCs w:val="15"/>
      </w:rPr>
      <w:instrText>PAGE</w:instrText>
    </w:r>
    <w:r>
      <w:rPr>
        <w:color w:val="5F6B76"/>
        <w:sz w:val="15"/>
        <w:szCs w:val="15"/>
      </w:rPr>
      <w:fldChar w:fldCharType="separate"/>
    </w:r>
    <w:r w:rsidR="00C52AB3">
      <w:rPr>
        <w:noProof/>
        <w:color w:val="5F6B76"/>
        <w:sz w:val="15"/>
        <w:szCs w:val="15"/>
      </w:rPr>
      <w:t>1</w:t>
    </w:r>
    <w:r>
      <w:rPr>
        <w:color w:val="5F6B76"/>
        <w:sz w:val="15"/>
        <w:szCs w:val="15"/>
      </w:rPr>
      <w:fldChar w:fldCharType="end"/>
    </w:r>
    <w:r>
      <w:rPr>
        <w:color w:val="5F6B76"/>
        <w:sz w:val="15"/>
        <w:szCs w:val="15"/>
      </w:rPr>
      <w:t xml:space="preserve"> de </w:t>
    </w:r>
    <w:r>
      <w:rPr>
        <w:color w:val="5F6B76"/>
        <w:sz w:val="15"/>
        <w:szCs w:val="15"/>
      </w:rPr>
      <w:fldChar w:fldCharType="begin"/>
    </w:r>
    <w:r>
      <w:rPr>
        <w:color w:val="5F6B76"/>
        <w:sz w:val="15"/>
        <w:szCs w:val="15"/>
      </w:rPr>
      <w:instrText>NUMPAGES</w:instrText>
    </w:r>
    <w:r>
      <w:rPr>
        <w:color w:val="5F6B76"/>
        <w:sz w:val="15"/>
        <w:szCs w:val="15"/>
      </w:rPr>
      <w:fldChar w:fldCharType="separate"/>
    </w:r>
    <w:r w:rsidR="00C52AB3">
      <w:rPr>
        <w:noProof/>
        <w:color w:val="5F6B76"/>
        <w:sz w:val="15"/>
        <w:szCs w:val="15"/>
      </w:rPr>
      <w:t>2</w:t>
    </w:r>
    <w:r>
      <w:rPr>
        <w:color w:val="5F6B7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F706BE" w14:textId="77777777" w:rsidR="00F77340" w:rsidRDefault="00F77340">
      <w:r>
        <w:separator/>
      </w:r>
    </w:p>
  </w:footnote>
  <w:footnote w:type="continuationSeparator" w:id="0">
    <w:p w14:paraId="61D05D38" w14:textId="77777777" w:rsidR="00F77340" w:rsidRDefault="00F773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495A45" w14:textId="77777777" w:rsidR="00CA4605" w:rsidRDefault="00F77340">
    <w:pPr>
      <w:pBdr>
        <w:bottom w:val="single" w:sz="4" w:space="0" w:color="00ADBB"/>
      </w:pBdr>
      <w:spacing w:after="120"/>
    </w:pPr>
    <w:r>
      <w:rPr>
        <w:color w:val="5F6B76"/>
        <w:sz w:val="15"/>
        <w:szCs w:val="15"/>
      </w:rPr>
      <w:t>PUPILA INC.   ·   Guía de Lectura — Paquete de Especificación del Expediente Clínico Electrónico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BFA70E4"/>
    <w:multiLevelType w:val="hybridMultilevel"/>
    <w:tmpl w:val="7652C84E"/>
    <w:lvl w:ilvl="0" w:tplc="D890C1FE">
      <w:start w:val="1"/>
      <w:numFmt w:val="bullet"/>
      <w:lvlText w:val="●"/>
      <w:lvlJc w:val="left"/>
      <w:pPr>
        <w:ind w:left="720" w:hanging="360"/>
      </w:pPr>
    </w:lvl>
    <w:lvl w:ilvl="1" w:tplc="DFFA2756">
      <w:start w:val="1"/>
      <w:numFmt w:val="bullet"/>
      <w:lvlText w:val="○"/>
      <w:lvlJc w:val="left"/>
      <w:pPr>
        <w:ind w:left="1440" w:hanging="360"/>
      </w:pPr>
    </w:lvl>
    <w:lvl w:ilvl="2" w:tplc="7FF8C130">
      <w:start w:val="1"/>
      <w:numFmt w:val="bullet"/>
      <w:lvlText w:val="■"/>
      <w:lvlJc w:val="left"/>
      <w:pPr>
        <w:ind w:left="2160" w:hanging="360"/>
      </w:pPr>
    </w:lvl>
    <w:lvl w:ilvl="3" w:tplc="CB448F34">
      <w:start w:val="1"/>
      <w:numFmt w:val="bullet"/>
      <w:lvlText w:val="●"/>
      <w:lvlJc w:val="left"/>
      <w:pPr>
        <w:ind w:left="2880" w:hanging="360"/>
      </w:pPr>
    </w:lvl>
    <w:lvl w:ilvl="4" w:tplc="45044164">
      <w:start w:val="1"/>
      <w:numFmt w:val="bullet"/>
      <w:lvlText w:val="○"/>
      <w:lvlJc w:val="left"/>
      <w:pPr>
        <w:ind w:left="3600" w:hanging="360"/>
      </w:pPr>
    </w:lvl>
    <w:lvl w:ilvl="5" w:tplc="26A85C60">
      <w:start w:val="1"/>
      <w:numFmt w:val="bullet"/>
      <w:lvlText w:val="■"/>
      <w:lvlJc w:val="left"/>
      <w:pPr>
        <w:ind w:left="4320" w:hanging="360"/>
      </w:pPr>
    </w:lvl>
    <w:lvl w:ilvl="6" w:tplc="37063BF2">
      <w:start w:val="1"/>
      <w:numFmt w:val="bullet"/>
      <w:lvlText w:val="●"/>
      <w:lvlJc w:val="left"/>
      <w:pPr>
        <w:ind w:left="5040" w:hanging="360"/>
      </w:pPr>
    </w:lvl>
    <w:lvl w:ilvl="7" w:tplc="1422C5FE">
      <w:start w:val="1"/>
      <w:numFmt w:val="bullet"/>
      <w:lvlText w:val="●"/>
      <w:lvlJc w:val="left"/>
      <w:pPr>
        <w:ind w:left="5760" w:hanging="360"/>
      </w:pPr>
    </w:lvl>
    <w:lvl w:ilvl="8" w:tplc="1F2069C0">
      <w:start w:val="1"/>
      <w:numFmt w:val="bullet"/>
      <w:lvlText w:val="●"/>
      <w:lvlJc w:val="left"/>
      <w:pPr>
        <w:ind w:left="6480" w:hanging="360"/>
      </w:pPr>
    </w:lvl>
  </w:abstractNum>
  <w:num w:numId="1" w16cid:durableId="4157146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605"/>
    <w:rsid w:val="00C160F9"/>
    <w:rsid w:val="00C52AB3"/>
    <w:rsid w:val="00CA4605"/>
    <w:rsid w:val="00F41633"/>
    <w:rsid w:val="00F7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49597C"/>
  <w15:docId w15:val="{614744C4-8201-F443-B459-2EA4D713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sz w:val="19"/>
        <w:szCs w:val="19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1336</Words>
  <Characters>7191</Characters>
  <Application>Microsoft Office Word</Application>
  <DocSecurity>0</DocSecurity>
  <Lines>224</Lines>
  <Paragraphs>147</Paragraphs>
  <ScaleCrop>false</ScaleCrop>
  <Company/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Rene Pulido</cp:lastModifiedBy>
  <cp:revision>3</cp:revision>
  <dcterms:created xsi:type="dcterms:W3CDTF">2026-08-03T22:17:00Z</dcterms:created>
  <dcterms:modified xsi:type="dcterms:W3CDTF">2026-08-07T20:41:00Z</dcterms:modified>
</cp:coreProperties>
</file>