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left w:val="none"/>
          <w:bottom w:val="none"/>
          <w:right w:val="none"/>
          <w:insideH w:val="single" w:color="auto" w:sz="4"/>
          <w:insideV w:val="single" w:color="auto" w:sz="4"/>
        </w:tblBorders>
      </w:tblPr>
      <w:tblGrid>
        <w:gridCol w:w="9638"/>
      </w:tblGrid>
      <w:tr>
        <w:tc>
          <w:tcPr>
            <w:tcW w:type="dxa" w:w="9638"/>
            <w:tcBorders>
              <w:top w:val="none"/>
              <w:left w:val="none"/>
              <w:bottom w:val="none"/>
              <w:right w:val="none"/>
            </w:tcBorders>
            <w:shd w:fill="263545" w:val="clear"/>
            <w:tcMar>
              <w:top w:type="dxa" w:w="340"/>
              <w:left w:type="dxa" w:w="260"/>
              <w:bottom w:type="dxa" w:w="340"/>
              <w:right w:type="dxa" w:w="260"/>
            </w:tcMar>
          </w:tcPr>
          <w:p>
            <w:pPr>
              <w:spacing w:after="60"/>
            </w:pPr>
            <w:r>
              <w:rPr>
                <w:rFonts w:ascii="Arial" w:cs="Arial" w:eastAsia="Arial" w:hAnsi="Arial"/>
                <w:b/>
                <w:bCs/>
                <w:color w:val="FFFFFF"/>
                <w:sz w:val="24"/>
                <w:szCs w:val="24"/>
              </w:rPr>
              <w:t xml:space="preserve">PUPILA INC.</w:t>
            </w:r>
          </w:p>
          <w:p>
            <w:pPr>
              <w:spacing w:after="200"/>
            </w:pPr>
            <w:r>
              <w:rPr>
                <w:rFonts w:ascii="Arial" w:cs="Arial" w:eastAsia="Arial" w:hAnsi="Arial"/>
                <w:color w:val="00ADBB"/>
                <w:sz w:val="18"/>
                <w:szCs w:val="18"/>
              </w:rPr>
              <w:t xml:space="preserve">Manual de Procesos  ·  Anexos — Instrumentos Clínicos</w:t>
            </w:r>
          </w:p>
          <w:p>
            <w:pPr>
              <w:spacing w:after="60"/>
            </w:pPr>
            <w:r>
              <w:rPr>
                <w:rFonts w:ascii="Arial" w:cs="Arial" w:eastAsia="Arial" w:hAnsi="Arial"/>
                <w:b/>
                <w:bCs/>
                <w:color w:val="00ADBB"/>
                <w:sz w:val="22"/>
                <w:szCs w:val="22"/>
              </w:rPr>
              <w:t xml:space="preserve">ANEXO A.12</w:t>
            </w:r>
          </w:p>
          <w:p>
            <w:pPr>
              <w:spacing w:after="60"/>
            </w:pPr>
            <w:r>
              <w:rPr>
                <w:rFonts w:ascii="Arial" w:cs="Arial" w:eastAsia="Arial" w:hAnsi="Arial"/>
                <w:b/>
                <w:bCs/>
                <w:color w:val="FFFFFF"/>
                <w:sz w:val="32"/>
                <w:szCs w:val="32"/>
              </w:rPr>
              <w:t xml:space="preserve">Catálogo de Descripciones Clínicas de Hallazgo Esperado</w:t>
            </w:r>
          </w:p>
          <w:p>
            <w:pPr>
              <w:spacing w:after="0"/>
            </w:pPr>
            <w:r>
              <w:rPr>
                <w:rFonts w:ascii="Arial" w:cs="Arial" w:eastAsia="Arial" w:hAnsi="Arial"/>
                <w:color w:val="FFFFFF"/>
                <w:sz w:val="19"/>
                <w:szCs w:val="19"/>
              </w:rPr>
              <w:t xml:space="preserve">Versión 1.7  ·  Agosto 2026</w:t>
            </w:r>
          </w:p>
        </w:tc>
      </w:tr>
    </w:tbl>
    <w:p>
      <w:pPr>
        <w:spacing w:after="200"/>
      </w:pPr>
    </w:p>
    <w:tbl>
      <w:tblPr>
        <w:tblW w:type="dxa" w:w="9638"/>
        <w:tblBorders>
          <w:top w:val="single" w:color="D9DDE0" w:sz="2"/>
          <w:left w:val="single" w:color="00ADBB" w:sz="18"/>
          <w:bottom w:val="single" w:color="D9DDE0" w:sz="2"/>
          <w:right w:val="single" w:color="D9DDE0" w:sz="2"/>
          <w:insideH w:val="single" w:color="auto" w:sz="4"/>
          <w:insideV w:val="single" w:color="auto" w:sz="4"/>
        </w:tblBorders>
      </w:tblPr>
      <w:tblGrid>
        <w:gridCol w:w="9638"/>
      </w:tblGrid>
      <w:tr>
        <w:tc>
          <w:tcPr>
            <w:tcW w:type="dxa" w:w="9638"/>
            <w:tcBorders>
              <w:top w:val="single" w:color="D9DDE0" w:sz="2"/>
              <w:left w:val="single" w:color="00ADBB" w:sz="18"/>
              <w:bottom w:val="single" w:color="D9DDE0" w:sz="2"/>
              <w:right w:val="single" w:color="D9DDE0" w:sz="2"/>
            </w:tcBorders>
            <w:shd w:fill="F2F4F5" w:val="clear"/>
            <w:tcMar>
              <w:top w:type="dxa" w:w="110"/>
              <w:left w:type="dxa" w:w="160"/>
              <w:bottom w:type="dxa" w:w="110"/>
              <w:right w:type="dxa" w:w="140"/>
            </w:tcMar>
          </w:tcPr>
          <w:p>
            <w:pPr>
              <w:spacing w:after="40" w:line="250"/>
            </w:pPr>
            <w:r>
              <w:rPr>
                <w:rFonts w:ascii="Arial" w:cs="Arial" w:eastAsia="Arial" w:hAnsi="Arial"/>
                <w:b/>
                <w:bCs/>
                <w:color w:val="263545"/>
                <w:sz w:val="18"/>
                <w:szCs w:val="18"/>
              </w:rPr>
              <w:t xml:space="preserve">Qué es este documento</w:t>
            </w:r>
          </w:p>
          <w:p>
            <w:pPr>
              <w:spacing w:after="0" w:line="264"/>
            </w:pPr>
            <w:r>
              <w:rPr>
                <w:rFonts w:ascii="Arial" w:cs="Arial" w:eastAsia="Arial" w:hAnsi="Arial"/>
                <w:color w:val="1A1A1A"/>
                <w:sz w:val="18"/>
                <w:szCs w:val="18"/>
              </w:rPr>
              <w:t xml:space="preserve">Este catálogo define, para cada región anatómica explorada, la descripción clínica exacta que el expediente imprime cuando no se registró ningún hallazgo. No es un texto de referencia ni una guía de exploración: es contenido normativo que el sistema consume literalmente. Cada frase que aparece aquí se convierte en una afirmación firmada por el médico tratante en el expediente clínico del paciente.</w:t>
            </w:r>
          </w:p>
        </w:tc>
      </w:tr>
    </w:tbl>
    <w:p>
      <w:pPr>
        <w:spacing w:after="240"/>
      </w:pPr>
    </w:p>
    <w:tbl>
      <w:tblPr>
        <w:tblW w:type="dxa" w:w="9638"/>
        <w:tblBorders>
          <w:top w:val="none"/>
          <w:left w:val="none"/>
          <w:bottom w:val="none"/>
          <w:right w:val="none"/>
          <w:insideH w:val="single" w:color="auto" w:sz="4"/>
          <w:insideV w:val="single" w:color="auto" w:sz="4"/>
        </w:tblBorders>
      </w:tblPr>
      <w:tblGrid>
        <w:gridCol w:w="9638"/>
      </w:tblGrid>
      <w:tr>
        <w:tc>
          <w:tcPr>
            <w:tcW w:type="dxa" w:w="9638"/>
            <w:tcBorders>
              <w:top w:val="none"/>
              <w:left w:val="none"/>
              <w:bottom w:val="none"/>
              <w:right w:val="none"/>
            </w:tcBorders>
            <w:shd w:fill="263545" w:val="clear"/>
            <w:tcMar>
              <w:top w:type="dxa" w:w="90"/>
              <w:left w:type="dxa" w:w="140"/>
              <w:bottom w:type="dxa" w:w="90"/>
              <w:right w:type="dxa" w:w="140"/>
            </w:tcMar>
          </w:tcPr>
          <w:p>
            <w:pPr>
              <w:spacing w:after="0" w:line="240"/>
            </w:pPr>
            <w:r>
              <w:rPr>
                <w:rFonts w:ascii="Arial" w:cs="Arial" w:eastAsia="Arial" w:hAnsi="Arial"/>
                <w:b/>
                <w:bCs/>
                <w:color w:val="FFFFFF"/>
                <w:sz w:val="21"/>
                <w:szCs w:val="21"/>
              </w:rPr>
              <w:t xml:space="preserve">1.  FICHA TÉCNICA</w:t>
            </w:r>
          </w:p>
        </w:tc>
      </w:tr>
    </w:tbl>
    <w:p>
      <w:pPr>
        <w:spacing w:after="120"/>
      </w:pPr>
    </w:p>
    <w:tbl>
      <w:tblPr>
        <w:tblW w:type="dxa" w:w="9638"/>
        <w:tblBorders>
          <w:top w:val="single" w:color="D9DDE0" w:sz="2"/>
          <w:left w:val="single" w:color="D9DDE0" w:sz="2"/>
          <w:bottom w:val="single" w:color="D9DDE0" w:sz="2"/>
          <w:right w:val="single" w:color="D9DDE0" w:sz="2"/>
          <w:insideH w:val="single" w:color="auto" w:sz="4"/>
          <w:insideV w:val="single" w:color="auto" w:sz="4"/>
        </w:tblBorders>
      </w:tblPr>
      <w:tblGrid>
        <w:gridCol w:w="3100"/>
        <w:gridCol w:w="6538"/>
      </w:tblGrid>
      <w:tr>
        <w:tc>
          <w:tcPr>
            <w:tcW w:type="dxa" w:w="3100"/>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Campo</w:t>
            </w:r>
          </w:p>
        </w:tc>
        <w:tc>
          <w:tcPr>
            <w:tcW w:type="dxa" w:w="6538"/>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Detalle</w:t>
            </w:r>
          </w:p>
        </w:tc>
      </w:tr>
      <w:tr>
        <w:tc>
          <w:tcPr>
            <w:tcW w:type="dxa" w:w="31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Número de documento</w:t>
            </w:r>
          </w:p>
        </w:tc>
        <w:tc>
          <w:tcPr>
            <w:tcW w:type="dxa" w:w="65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Anexo A.12</w:t>
            </w:r>
          </w:p>
        </w:tc>
      </w:tr>
      <w:tr>
        <w:tc>
          <w:tcPr>
            <w:tcW w:type="dxa" w:w="31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Nombre</w:t>
            </w:r>
          </w:p>
        </w:tc>
        <w:tc>
          <w:tcPr>
            <w:tcW w:type="dxa" w:w="65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Catálogo de Descripciones Clínicas de Hallazgo Esperado</w:t>
            </w:r>
          </w:p>
        </w:tc>
      </w:tr>
      <w:tr>
        <w:tc>
          <w:tcPr>
            <w:tcW w:type="dxa" w:w="31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Serie</w:t>
            </w:r>
          </w:p>
        </w:tc>
        <w:tc>
          <w:tcPr>
            <w:tcW w:type="dxa" w:w="65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Anexos — Instrumentos Clínicos</w:t>
            </w:r>
          </w:p>
        </w:tc>
      </w:tr>
      <w:tr>
        <w:tc>
          <w:tcPr>
            <w:tcW w:type="dxa" w:w="31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Versión</w:t>
            </w:r>
          </w:p>
        </w:tc>
        <w:tc>
          <w:tcPr>
            <w:tcW w:type="dxa" w:w="65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1.7</w:t>
            </w:r>
          </w:p>
        </w:tc>
      </w:tr>
      <w:tr>
        <w:tc>
          <w:tcPr>
            <w:tcW w:type="dxa" w:w="31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Fecha de emisión</w:t>
            </w:r>
          </w:p>
        </w:tc>
        <w:tc>
          <w:tcPr>
            <w:tcW w:type="dxa" w:w="65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Agosto 2026</w:t>
            </w:r>
          </w:p>
        </w:tc>
      </w:tr>
      <w:tr>
        <w:tc>
          <w:tcPr>
            <w:tcW w:type="dxa" w:w="31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Responsable de emisión</w:t>
            </w:r>
          </w:p>
        </w:tc>
        <w:tc>
          <w:tcPr>
            <w:tcW w:type="dxa" w:w="65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Dirección General</w:t>
            </w:r>
          </w:p>
        </w:tc>
      </w:tr>
      <w:tr>
        <w:tc>
          <w:tcPr>
            <w:tcW w:type="dxa" w:w="31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Responsable de aprobación clínica</w:t>
            </w:r>
          </w:p>
        </w:tc>
        <w:tc>
          <w:tcPr>
            <w:tcW w:type="dxa" w:w="65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Directora Médica</w:t>
            </w:r>
          </w:p>
        </w:tc>
      </w:tr>
      <w:tr>
        <w:tc>
          <w:tcPr>
            <w:tcW w:type="dxa" w:w="31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Naturaleza</w:t>
            </w:r>
          </w:p>
        </w:tc>
        <w:tc>
          <w:tcPr>
            <w:tcW w:type="dxa" w:w="65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Contenido normativo de fuente única. Ningún otro documento transcribe estas frases; las invocan por referencia.</w:t>
            </w:r>
          </w:p>
        </w:tc>
      </w:tr>
      <w:tr>
        <w:tc>
          <w:tcPr>
            <w:tcW w:type="dxa" w:w="31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Documentos que dependen de este</w:t>
            </w:r>
          </w:p>
        </w:tc>
        <w:tc>
          <w:tcPr>
            <w:tcW w:type="dxa" w:w="65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Anexo A.13 — Catálogo de Hallazgos por Región · Anexo A.14 — Especificación del Wizard de Consulta y Motor de Hallazgos</w:t>
            </w:r>
          </w:p>
        </w:tc>
      </w:tr>
      <w:tr>
        <w:tc>
          <w:tcPr>
            <w:tcW w:type="dxa" w:w="31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Marco de referencia</w:t>
            </w:r>
          </w:p>
        </w:tc>
        <w:tc>
          <w:tcPr>
            <w:tcW w:type="dxa" w:w="65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Doc 3.0a — Estructura del Expediente Clínico y Selector de Protocolos · NOM-004-SSA3-2012, Del expediente clínico</w:t>
            </w:r>
          </w:p>
        </w:tc>
      </w:tr>
      <w:tr>
        <w:tc>
          <w:tcPr>
            <w:tcW w:type="dxa" w:w="31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Estado</w:t>
            </w:r>
          </w:p>
        </w:tc>
        <w:tc>
          <w:tcPr>
            <w:tcW w:type="dxa" w:w="65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b/>
                <w:bCs/>
                <w:color w:val="8A5A00"/>
                <w:sz w:val="17"/>
                <w:szCs w:val="17"/>
              </w:rPr>
              <w:t xml:space="preserve">Revisar — pendiente de validación clínica frase por frase</w:t>
            </w:r>
          </w:p>
        </w:tc>
      </w:tr>
    </w:tbl>
    <w:p>
      <w:pPr>
        <w:spacing w:after="280"/>
      </w:pPr>
    </w:p>
    <w:tbl>
      <w:tblPr>
        <w:tblW w:type="dxa" w:w="9638"/>
        <w:tblBorders>
          <w:top w:val="none"/>
          <w:left w:val="none"/>
          <w:bottom w:val="none"/>
          <w:right w:val="none"/>
          <w:insideH w:val="single" w:color="auto" w:sz="4"/>
          <w:insideV w:val="single" w:color="auto" w:sz="4"/>
        </w:tblBorders>
      </w:tblPr>
      <w:tblGrid>
        <w:gridCol w:w="9638"/>
      </w:tblGrid>
      <w:tr>
        <w:tc>
          <w:tcPr>
            <w:tcW w:type="dxa" w:w="9638"/>
            <w:tcBorders>
              <w:top w:val="none"/>
              <w:left w:val="none"/>
              <w:bottom w:val="none"/>
              <w:right w:val="none"/>
            </w:tcBorders>
            <w:shd w:fill="263545" w:val="clear"/>
            <w:tcMar>
              <w:top w:type="dxa" w:w="90"/>
              <w:left w:type="dxa" w:w="140"/>
              <w:bottom w:type="dxa" w:w="90"/>
              <w:right w:type="dxa" w:w="140"/>
            </w:tcMar>
          </w:tcPr>
          <w:p>
            <w:pPr>
              <w:spacing w:after="0" w:line="240"/>
            </w:pPr>
            <w:r>
              <w:rPr>
                <w:rFonts w:ascii="Arial" w:cs="Arial" w:eastAsia="Arial" w:hAnsi="Arial"/>
                <w:b/>
                <w:bCs/>
                <w:color w:val="FFFFFF"/>
                <w:sz w:val="21"/>
                <w:szCs w:val="21"/>
              </w:rPr>
              <w:t xml:space="preserve">2.  OBJETIVO Y ALCANCE</w:t>
            </w:r>
          </w:p>
        </w:tc>
      </w:tr>
    </w:tbl>
    <w:p>
      <w:pPr>
        <w:spacing w:after="120"/>
      </w:pPr>
    </w:p>
    <w:p>
      <w:pPr>
        <w:spacing w:after="100" w:before="0" w:line="264"/>
      </w:pPr>
      <w:r>
        <w:rPr>
          <w:rFonts w:ascii="Arial" w:cs="Arial" w:eastAsia="Arial" w:hAnsi="Arial"/>
          <w:color w:val="1A1A1A"/>
          <w:sz w:val="19"/>
          <w:szCs w:val="19"/>
        </w:rPr>
        <w:t xml:space="preserve">Definir la descripción clínica que el expediente electrónico imprime, para cada región anatómica explorada, cuando el médico tratante no registró ningún hallazgo en ella.</w:t>
      </w:r>
    </w:p>
    <w:p>
      <w:pPr>
        <w:spacing w:after="100" w:before="0" w:line="264"/>
      </w:pPr>
      <w:r>
        <w:rPr>
          <w:rFonts w:ascii="Arial" w:cs="Arial" w:eastAsia="Arial" w:hAnsi="Arial"/>
          <w:color w:val="1A1A1A"/>
          <w:sz w:val="19"/>
          <w:szCs w:val="19"/>
        </w:rPr>
        <w:t xml:space="preserve">El expediente de Pupila Inc. opera bajo un modelo de documentación por excepción: cada región parte de un estado esperado y el médico interviene únicamente sobre lo que se desvía de ese estado. Este anexo es el contenido de ese estado esperado. Sin él, el modelo no puede operar.</w:t>
      </w:r>
    </w:p>
    <w:p>
      <w:pPr>
        <w:spacing w:after="100" w:before="0" w:line="264"/>
      </w:pPr>
      <w:r>
        <w:rPr>
          <w:rFonts w:ascii="Arial" w:cs="Arial" w:eastAsia="Arial" w:hAnsi="Arial"/>
          <w:color w:val="1A1A1A"/>
          <w:sz w:val="19"/>
          <w:szCs w:val="19"/>
        </w:rPr>
        <w:t xml:space="preserve">El alcance es la exploración oftalmológica de consulta. No cubre la exploración bajo anestesia, la nota quirúrgica ni la valoración preanestésica, que tienen instrumentos propios.</w:t>
      </w:r>
    </w:p>
    <w:p>
      <w:pPr>
        <w:spacing w:after="200"/>
      </w:pPr>
    </w:p>
    <w:tbl>
      <w:tblPr>
        <w:tblW w:type="dxa" w:w="9638"/>
        <w:tblBorders>
          <w:top w:val="none"/>
          <w:left w:val="none"/>
          <w:bottom w:val="none"/>
          <w:right w:val="none"/>
          <w:insideH w:val="single" w:color="auto" w:sz="4"/>
          <w:insideV w:val="single" w:color="auto" w:sz="4"/>
        </w:tblBorders>
      </w:tblPr>
      <w:tblGrid>
        <w:gridCol w:w="9638"/>
      </w:tblGrid>
      <w:tr>
        <w:tc>
          <w:tcPr>
            <w:tcW w:type="dxa" w:w="9638"/>
            <w:tcBorders>
              <w:top w:val="none"/>
              <w:left w:val="none"/>
              <w:bottom w:val="none"/>
              <w:right w:val="none"/>
            </w:tcBorders>
            <w:shd w:fill="263545" w:val="clear"/>
            <w:tcMar>
              <w:top w:type="dxa" w:w="90"/>
              <w:left w:type="dxa" w:w="140"/>
              <w:bottom w:type="dxa" w:w="90"/>
              <w:right w:type="dxa" w:w="140"/>
            </w:tcMar>
          </w:tcPr>
          <w:p>
            <w:pPr>
              <w:spacing w:after="0" w:line="240"/>
            </w:pPr>
            <w:r>
              <w:rPr>
                <w:rFonts w:ascii="Arial" w:cs="Arial" w:eastAsia="Arial" w:hAnsi="Arial"/>
                <w:b/>
                <w:bCs/>
                <w:color w:val="FFFFFF"/>
                <w:sz w:val="21"/>
                <w:szCs w:val="21"/>
              </w:rPr>
              <w:t xml:space="preserve">3.  EL MODELO DE REGISTRO — DOS PREGUNTAS EN DOS NIVELES</w:t>
            </w:r>
          </w:p>
        </w:tc>
      </w:tr>
    </w:tbl>
    <w:p>
      <w:pPr>
        <w:spacing w:after="120"/>
      </w:pPr>
    </w:p>
    <w:p>
      <w:pPr>
        <w:spacing w:after="100" w:before="0" w:line="264"/>
      </w:pPr>
      <w:r>
        <w:rPr>
          <w:rFonts w:ascii="Arial" w:cs="Arial" w:eastAsia="Arial" w:hAnsi="Arial"/>
          <w:color w:val="1A1A1A"/>
          <w:sz w:val="19"/>
          <w:szCs w:val="19"/>
        </w:rPr>
        <w:t xml:space="preserve">Ninguna frase de este catálogo se imprime por sí sola. Se imprime únicamente cuando la región fue explorada y su visualización fue concluyente. Esa declaración es la atestación del acto médico y es la condición que hace legítima toda descripción por omisión.</w:t>
      </w:r>
    </w:p>
    <w:p>
      <w:pPr>
        <w:spacing w:after="100" w:before="0" w:line="264"/>
      </w:pPr>
      <w:r>
        <w:rPr>
          <w:rFonts w:ascii="Arial" w:cs="Arial" w:eastAsia="Arial" w:hAnsi="Arial"/>
          <w:color w:val="1A1A1A"/>
          <w:sz w:val="19"/>
          <w:szCs w:val="19"/>
        </w:rPr>
        <w:t xml:space="preserve">El registro separa dos preguntas que no son la misma: si el acto médico ocurrió, y qué tan concluyente resultó lo observado. Un ojo con hemorragia vítrea se exploró —la maniobra se hizo— y aun así la observación no alcanza para afirmar normalidad. Confundir ambas preguntas en un solo campo obliga a declarar como no explorado algo que sí se exploró, lo cual es falso.</w:t>
      </w:r>
    </w:p>
    <w:p>
      <w:pPr>
        <w:spacing w:after="80"/>
      </w:pPr>
    </w:p>
    <w:tbl>
      <w:tblPr>
        <w:tblW w:type="dxa" w:w="9638"/>
        <w:tblBorders>
          <w:top w:val="single" w:color="D9DDE0" w:sz="2"/>
          <w:left w:val="single" w:color="D9DDE0" w:sz="2"/>
          <w:bottom w:val="single" w:color="D9DDE0" w:sz="2"/>
          <w:right w:val="single" w:color="D9DDE0" w:sz="2"/>
          <w:insideH w:val="single" w:color="auto" w:sz="4"/>
          <w:insideV w:val="single" w:color="auto" w:sz="4"/>
        </w:tblBorders>
      </w:tblPr>
      <w:tblGrid>
        <w:gridCol w:w="2000"/>
        <w:gridCol w:w="2100"/>
        <w:gridCol w:w="2600"/>
        <w:gridCol w:w="2938"/>
      </w:tblGrid>
      <w:tr>
        <w:tc>
          <w:tcPr>
            <w:tcW w:type="dxa" w:w="2000"/>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Nivel y pregunta</w:t>
            </w:r>
          </w:p>
        </w:tc>
        <w:tc>
          <w:tcPr>
            <w:tcW w:type="dxa" w:w="2100"/>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Dónde se captura</w:t>
            </w:r>
          </w:p>
        </w:tc>
        <w:tc>
          <w:tcPr>
            <w:tcW w:type="dxa" w:w="2600"/>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Valores</w:t>
            </w:r>
          </w:p>
        </w:tc>
        <w:tc>
          <w:tcPr>
            <w:tcW w:type="dxa" w:w="2938"/>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Efecto</w:t>
            </w:r>
          </w:p>
        </w:tc>
      </w:tr>
      <w:tr>
        <w:tc>
          <w:tcPr>
            <w:tcW w:type="dxa" w:w="20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Módulo — exploración</w:t>
            </w:r>
          </w:p>
        </w:tc>
        <w:tc>
          <w:tcPr>
            <w:tcW w:type="dxa" w:w="21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Módulo</w:t>
            </w:r>
          </w:p>
        </w:tc>
        <w:tc>
          <w:tcPr>
            <w:tcW w:type="dxa" w:w="26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No · Sí</w:t>
            </w:r>
          </w:p>
        </w:tc>
        <w:tc>
          <w:tcPr>
            <w:tcW w:type="dxa" w:w="29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«No» es el valor por omisión. Nada del módulo se imprime.</w:t>
            </w:r>
          </w:p>
        </w:tc>
      </w:tr>
      <w:tr>
        <w:tc>
          <w:tcPr>
            <w:tcW w:type="dxa" w:w="20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Módulo — excepciones</w:t>
            </w:r>
          </w:p>
        </w:tc>
        <w:tc>
          <w:tcPr>
            <w:tcW w:type="dxa" w:w="21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Módulo</w:t>
            </w:r>
          </w:p>
        </w:tc>
        <w:tc>
          <w:tcPr>
            <w:tcW w:type="dxa" w:w="26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Ninguna · Por región</w:t>
            </w:r>
          </w:p>
        </w:tc>
        <w:tc>
          <w:tcPr>
            <w:tcW w:type="dxa" w:w="29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«Ninguna» resuelve todas las regiones de ambos ojos como exploradas con visualización concluyente. «Por región» desciende al nivel inferior.</w:t>
            </w:r>
          </w:p>
        </w:tc>
      </w:tr>
      <w:tr>
        <w:tc>
          <w:tcPr>
            <w:tcW w:type="dxa" w:w="20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Región — exploración</w:t>
            </w:r>
          </w:p>
        </w:tc>
        <w:tc>
          <w:tcPr>
            <w:tcW w:type="dxa" w:w="21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Región y ojo — solo si el módulo declara excepciones</w:t>
            </w:r>
          </w:p>
        </w:tc>
        <w:tc>
          <w:tcPr>
            <w:tcW w:type="dxa" w:w="26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No · Sí</w:t>
            </w:r>
          </w:p>
        </w:tc>
        <w:tc>
          <w:tcPr>
            <w:tcW w:type="dxa" w:w="29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«No» significa que la maniobra no se intentó en esa región y ese ojo. La pregunta de visualización no aplica.</w:t>
            </w:r>
          </w:p>
        </w:tc>
      </w:tr>
      <w:tr>
        <w:tc>
          <w:tcPr>
            <w:tcW w:type="dxa" w:w="20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Región — visualización</w:t>
            </w:r>
          </w:p>
        </w:tc>
        <w:tc>
          <w:tcPr>
            <w:tcW w:type="dxa" w:w="21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Región y ojo — solo si la región se declaró explorada</w:t>
            </w:r>
          </w:p>
        </w:tc>
        <w:tc>
          <w:tcPr>
            <w:tcW w:type="dxa" w:w="26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Concluyente · Limitada · Nula</w:t>
            </w:r>
          </w:p>
        </w:tc>
        <w:tc>
          <w:tcPr>
            <w:tcW w:type="dxa" w:w="29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Determina qué se imprime para esa región en ese ojo.</w:t>
            </w:r>
          </w:p>
        </w:tc>
      </w:tr>
    </w:tbl>
    <w:p>
      <w:pPr>
        <w:spacing w:after="200"/>
      </w:pPr>
    </w:p>
    <w:p>
      <w:pPr>
        <w:spacing w:after="100" w:before="0" w:line="264"/>
      </w:pPr>
      <w:r>
        <w:rPr>
          <w:rFonts w:ascii="Arial" w:cs="Arial" w:eastAsia="Arial" w:hAnsi="Arial"/>
          <w:color w:val="1A1A1A"/>
          <w:sz w:val="19"/>
          <w:szCs w:val="19"/>
        </w:rPr>
        <w:t xml:space="preserve">La declaración es propiedad de la región en cada ojo, no del módulo. La razón es clínica y no admite simplificación: en un mismo segmento anterior la córnea puede visualizarse de forma concluyente y presentar edema, el iris, la pupila y el cristalino resultar de visualización nula por hipema en el ojo derecho y concluyente en el izquierdo, y la órbita no haberse explorado en absoluto. Un valor único a nivel de módulo no puede representar esa situación, que es cotidiana en urgencias y en trauma ocular.</w:t>
      </w:r>
    </w:p>
    <w:p>
      <w:pPr>
        <w:spacing w:after="100" w:before="0" w:line="264"/>
      </w:pPr>
      <w:r>
        <w:rPr>
          <w:rFonts w:ascii="Arial" w:cs="Arial" w:eastAsia="Arial" w:hAnsi="Arial"/>
          <w:color w:val="1A1A1A"/>
          <w:sz w:val="19"/>
          <w:szCs w:val="19"/>
        </w:rPr>
        <w:t xml:space="preserve">Las dos preguntas se repiten idénticas en los dos niveles, y esa simetría es deliberada. Una región no explorada no es una calidad de visualización deficiente: es la ausencia del acto médico, y por eso se declara en la pregunta de exploración y no en un valor extraño dentro de la lista de calidades. La distinción es legal y no cosmética. «No explorada» significa que la maniobra no se intentó y el expediente no afirma nada. «Visualización nula» significa que la maniobra se intentó y no rindió información, lo cual sí es una afirmación: declara que el acto médico ocurrió.</w:t>
      </w:r>
    </w:p>
    <w:p>
      <w:pPr>
        <w:spacing w:after="80"/>
      </w:pPr>
    </w:p>
    <w:tbl>
      <w:tblPr>
        <w:tblW w:type="dxa" w:w="9638"/>
        <w:tblBorders>
          <w:top w:val="single" w:color="D9DDE0" w:sz="2"/>
          <w:left w:val="single" w:color="D9DDE0" w:sz="2"/>
          <w:bottom w:val="single" w:color="D9DDE0" w:sz="2"/>
          <w:right w:val="single" w:color="D9DDE0" w:sz="2"/>
          <w:insideH w:val="single" w:color="auto" w:sz="4"/>
          <w:insideV w:val="single" w:color="auto" w:sz="4"/>
        </w:tblBorders>
      </w:tblPr>
      <w:tblGrid>
        <w:gridCol w:w="2400"/>
        <w:gridCol w:w="1700"/>
        <w:gridCol w:w="5538"/>
      </w:tblGrid>
      <w:tr>
        <w:tc>
          <w:tcPr>
            <w:tcW w:type="dxa" w:w="2400"/>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Declaración de la región y ojo</w:t>
            </w:r>
          </w:p>
        </w:tc>
        <w:tc>
          <w:tcPr>
            <w:tcW w:type="dxa" w:w="1700"/>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Motivo</w:t>
            </w:r>
          </w:p>
        </w:tc>
        <w:tc>
          <w:tcPr>
            <w:tcW w:type="dxa" w:w="5538"/>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Qué se imprime en la nota</w:t>
            </w:r>
          </w:p>
        </w:tc>
      </w:tr>
      <w:tr>
        <w:tc>
          <w:tcPr>
            <w:tcW w:type="dxa" w:w="24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No explorada</w:t>
            </w:r>
          </w:p>
        </w:tc>
        <w:tc>
          <w:tcPr>
            <w:tcW w:type="dxa" w:w="17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No aplica</w:t>
            </w:r>
          </w:p>
        </w:tc>
        <w:tc>
          <w:tcPr>
            <w:tcW w:type="dxa" w:w="5538"/>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Nada. La maniobra no se intentó y el expediente no emite afirmación alguna sobre esa región en ese ojo, ni descripción ni motivo.</w:t>
            </w:r>
          </w:p>
        </w:tc>
      </w:tr>
      <w:tr>
        <w:tc>
          <w:tcPr>
            <w:tcW w:type="dxa" w:w="24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Explorada · visualización concluyente</w:t>
            </w:r>
          </w:p>
        </w:tc>
        <w:tc>
          <w:tcPr>
            <w:tcW w:type="dxa" w:w="17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No aplica</w:t>
            </w:r>
          </w:p>
        </w:tc>
        <w:tc>
          <w:tcPr>
            <w:tcW w:type="dxa" w:w="5538"/>
            <w:tcBorders>
              <w:top w:val="single" w:color="D9DDE0" w:sz="2"/>
              <w:left w:val="single" w:color="D9DDE0" w:sz="2"/>
              <w:bottom w:val="single" w:color="D9DDE0" w:sz="2"/>
              <w:right w:val="single" w:color="D9DDE0" w:sz="2"/>
            </w:tcBorders>
            <w:shd w:fill="E8F5EE"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La descripción de este catálogo si no hay hallazgos, o la redacción de los hallazgos registrados si los hay.</w:t>
            </w:r>
          </w:p>
        </w:tc>
      </w:tr>
      <w:tr>
        <w:tc>
          <w:tcPr>
            <w:tcW w:type="dxa" w:w="24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Explorada · visualización limitada</w:t>
            </w:r>
          </w:p>
        </w:tc>
        <w:tc>
          <w:tcPr>
            <w:tcW w:type="dxa" w:w="17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Obligatorio</w:t>
            </w:r>
          </w:p>
        </w:tc>
        <w:tc>
          <w:tcPr>
            <w:tcW w:type="dxa" w:w="5538"/>
            <w:tcBorders>
              <w:top w:val="single" w:color="D9DDE0" w:sz="2"/>
              <w:left w:val="single" w:color="D9DDE0" w:sz="2"/>
              <w:bottom w:val="single" w:color="D9DDE0" w:sz="2"/>
              <w:right w:val="single" w:color="D9DDE0" w:sz="2"/>
            </w:tcBorders>
            <w:shd w:fill="FFF8E1"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La declaración de alcance limitado con su motivo, más los hallazgos identificados y el texto libre del médico tratante. Nunca la descripción de hallazgo esperado.</w:t>
            </w:r>
          </w:p>
        </w:tc>
      </w:tr>
      <w:tr>
        <w:tc>
          <w:tcPr>
            <w:tcW w:type="dxa" w:w="24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Explorada · visualización nula</w:t>
            </w:r>
          </w:p>
        </w:tc>
        <w:tc>
          <w:tcPr>
            <w:tcW w:type="dxa" w:w="17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Obligatorio</w:t>
            </w:r>
          </w:p>
        </w:tc>
        <w:tc>
          <w:tcPr>
            <w:tcW w:type="dxa" w:w="5538"/>
            <w:tcBorders>
              <w:top w:val="single" w:color="D9DDE0" w:sz="2"/>
              <w:left w:val="single" w:color="D9DDE0" w:sz="2"/>
              <w:bottom w:val="single" w:color="D9DDE0" w:sz="2"/>
              <w:right w:val="single" w:color="D9DDE0" w:sz="2"/>
            </w:tcBorders>
            <w:shd w:fill="FEECEC"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La declaración de imposibilidad con su motivo, más el texto libre del médico tratante. Nunca la descripción de hallazgo esperado y nunca hallazgos: si se identificó algo, la visualización no fue nula sino limitada.</w:t>
            </w:r>
          </w:p>
        </w:tc>
      </w:tr>
    </w:tbl>
    <w:p>
      <w:pPr>
        <w:spacing w:after="140"/>
      </w:pPr>
    </w:p>
    <w:tbl>
      <w:tblPr>
        <w:tblW w:type="dxa" w:w="9638"/>
        <w:tblBorders>
          <w:top w:val="single" w:color="D9DDE0" w:sz="2"/>
          <w:left w:val="single" w:color="00ADBB" w:sz="18"/>
          <w:bottom w:val="single" w:color="D9DDE0" w:sz="2"/>
          <w:right w:val="single" w:color="D9DDE0" w:sz="2"/>
          <w:insideH w:val="single" w:color="auto" w:sz="4"/>
          <w:insideV w:val="single" w:color="auto" w:sz="4"/>
        </w:tblBorders>
      </w:tblPr>
      <w:tblGrid>
        <w:gridCol w:w="9638"/>
      </w:tblGrid>
      <w:tr>
        <w:tc>
          <w:tcPr>
            <w:tcW w:type="dxa" w:w="9638"/>
            <w:tcBorders>
              <w:top w:val="single" w:color="D9DDE0" w:sz="2"/>
              <w:left w:val="single" w:color="00ADBB" w:sz="18"/>
              <w:bottom w:val="single" w:color="D9DDE0" w:sz="2"/>
              <w:right w:val="single" w:color="D9DDE0" w:sz="2"/>
            </w:tcBorders>
            <w:shd w:fill="F2F4F5" w:val="clear"/>
            <w:tcMar>
              <w:top w:type="dxa" w:w="110"/>
              <w:left w:type="dxa" w:w="160"/>
              <w:bottom w:type="dxa" w:w="110"/>
              <w:right w:type="dxa" w:w="140"/>
            </w:tcMar>
          </w:tcPr>
          <w:p>
            <w:pPr>
              <w:spacing w:after="40" w:line="250"/>
            </w:pPr>
            <w:r>
              <w:rPr>
                <w:rFonts w:ascii="Arial" w:cs="Arial" w:eastAsia="Arial" w:hAnsi="Arial"/>
                <w:b/>
                <w:bCs/>
                <w:color w:val="263545"/>
                <w:sz w:val="18"/>
                <w:szCs w:val="18"/>
              </w:rPr>
              <w:t xml:space="preserve">Regla de honestidad del expediente</w:t>
            </w:r>
          </w:p>
          <w:p>
            <w:pPr>
              <w:spacing w:after="0" w:line="264"/>
            </w:pPr>
            <w:r>
              <w:rPr>
                <w:rFonts w:ascii="Arial" w:cs="Arial" w:eastAsia="Arial" w:hAnsi="Arial"/>
                <w:color w:val="1A1A1A"/>
                <w:sz w:val="18"/>
                <w:szCs w:val="18"/>
              </w:rPr>
              <w:t xml:space="preserve">El valor por omisión de la dimensión de exploración es «No» en todos los módulos. El sistema no puede afirmar el resultado de una exploración que no ocurrió, y ninguna configuración, perfil de cita ni preferencia de usuario puede alterar ese valor inicial. Antes de firmar, el sistema muestra al médico tratante los módulos que quedaron sin explorar y solicita confirmación consciente. No bloquea la firma: una atención de urgencia legítimamente no explora todo.</w:t>
            </w:r>
          </w:p>
        </w:tc>
      </w:tr>
    </w:tbl>
    <w:p>
      <w:pPr>
        <w:spacing w:after="140"/>
      </w:pPr>
    </w:p>
    <w:tbl>
      <w:tblPr>
        <w:tblW w:type="dxa" w:w="9638"/>
        <w:tblBorders>
          <w:top w:val="single" w:color="D9DDE0" w:sz="2"/>
          <w:left w:val="single" w:color="00ADBB" w:sz="18"/>
          <w:bottom w:val="single" w:color="D9DDE0" w:sz="2"/>
          <w:right w:val="single" w:color="D9DDE0" w:sz="2"/>
          <w:insideH w:val="single" w:color="auto" w:sz="4"/>
          <w:insideV w:val="single" w:color="auto" w:sz="4"/>
        </w:tblBorders>
      </w:tblPr>
      <w:tblGrid>
        <w:gridCol w:w="9638"/>
      </w:tblGrid>
      <w:tr>
        <w:tc>
          <w:tcPr>
            <w:tcW w:type="dxa" w:w="9638"/>
            <w:tcBorders>
              <w:top w:val="single" w:color="D9DDE0" w:sz="2"/>
              <w:left w:val="single" w:color="00ADBB" w:sz="18"/>
              <w:bottom w:val="single" w:color="D9DDE0" w:sz="2"/>
              <w:right w:val="single" w:color="D9DDE0" w:sz="2"/>
            </w:tcBorders>
            <w:shd w:fill="F2F4F5" w:val="clear"/>
            <w:tcMar>
              <w:top w:type="dxa" w:w="110"/>
              <w:left w:type="dxa" w:w="160"/>
              <w:bottom w:type="dxa" w:w="110"/>
              <w:right w:type="dxa" w:w="140"/>
            </w:tcMar>
          </w:tcPr>
          <w:p>
            <w:pPr>
              <w:spacing w:after="40" w:line="250"/>
            </w:pPr>
            <w:r>
              <w:rPr>
                <w:rFonts w:ascii="Arial" w:cs="Arial" w:eastAsia="Arial" w:hAnsi="Arial"/>
                <w:b/>
                <w:bCs/>
                <w:color w:val="263545"/>
                <w:sz w:val="18"/>
                <w:szCs w:val="18"/>
              </w:rPr>
              <w:t xml:space="preserve">Economía de captura</w:t>
            </w:r>
          </w:p>
          <w:p>
            <w:pPr>
              <w:spacing w:after="0" w:line="264"/>
            </w:pPr>
            <w:r>
              <w:rPr>
                <w:rFonts w:ascii="Arial" w:cs="Arial" w:eastAsia="Arial" w:hAnsi="Arial"/>
                <w:color w:val="1A1A1A"/>
                <w:sz w:val="18"/>
                <w:szCs w:val="18"/>
              </w:rPr>
              <w:t xml:space="preserve">En una exploración sin excepciones el registro se resuelve con dos declaraciones por módulo —explorado y sin excepciones— y ninguna intervención sobre las regiones. La tercera dimensión no aparece en pantalla y no consume tiempo. Solo cuando el médico tratante declara excepciones por región, el sistema desciende. El costo de captura es proporcional a la complejidad real del caso, no uniforme.</w:t>
            </w:r>
          </w:p>
        </w:tc>
      </w:tr>
    </w:tbl>
    <w:p>
      <w:pPr>
        <w:spacing w:after="140"/>
      </w:pPr>
    </w:p>
    <w:tbl>
      <w:tblPr>
        <w:tblW w:type="dxa" w:w="9638"/>
        <w:tblBorders>
          <w:top w:val="single" w:color="D9DDE0" w:sz="2"/>
          <w:left w:val="single" w:color="00ADBB" w:sz="18"/>
          <w:bottom w:val="single" w:color="D9DDE0" w:sz="2"/>
          <w:right w:val="single" w:color="D9DDE0" w:sz="2"/>
          <w:insideH w:val="single" w:color="auto" w:sz="4"/>
          <w:insideV w:val="single" w:color="auto" w:sz="4"/>
        </w:tblBorders>
      </w:tblPr>
      <w:tblGrid>
        <w:gridCol w:w="9638"/>
      </w:tblGrid>
      <w:tr>
        <w:tc>
          <w:tcPr>
            <w:tcW w:type="dxa" w:w="9638"/>
            <w:tcBorders>
              <w:top w:val="single" w:color="D9DDE0" w:sz="2"/>
              <w:left w:val="single" w:color="00ADBB" w:sz="18"/>
              <w:bottom w:val="single" w:color="D9DDE0" w:sz="2"/>
              <w:right w:val="single" w:color="D9DDE0" w:sz="2"/>
            </w:tcBorders>
            <w:shd w:fill="FEECEC" w:val="clear"/>
            <w:tcMar>
              <w:top w:type="dxa" w:w="110"/>
              <w:left w:type="dxa" w:w="160"/>
              <w:bottom w:type="dxa" w:w="110"/>
              <w:right w:type="dxa" w:w="140"/>
            </w:tcMar>
          </w:tcPr>
          <w:p>
            <w:pPr>
              <w:spacing w:after="40" w:line="250"/>
            </w:pPr>
            <w:r>
              <w:rPr>
                <w:rFonts w:ascii="Arial" w:cs="Arial" w:eastAsia="Arial" w:hAnsi="Arial"/>
                <w:b/>
                <w:bCs/>
                <w:color w:val="263545"/>
                <w:sz w:val="18"/>
                <w:szCs w:val="18"/>
              </w:rPr>
              <w:t xml:space="preserve">«Sin excepciones» es una afirmación fuerte</w:t>
            </w:r>
          </w:p>
          <w:p>
            <w:pPr>
              <w:spacing w:after="0" w:line="264"/>
            </w:pPr>
            <w:r>
              <w:rPr>
                <w:rFonts w:ascii="Arial" w:cs="Arial" w:eastAsia="Arial" w:hAnsi="Arial"/>
                <w:color w:val="1A1A1A"/>
                <w:sz w:val="18"/>
                <w:szCs w:val="18"/>
              </w:rPr>
              <w:t xml:space="preserve">Declarar un módulo explorado y sin excepciones equivale a afirmar que se exploraron todas sus regiones, en ambos ojos, con observación concluyente. En el segmento anterior eso comprende las once regiones, incluida la órbita. La consecuencia para el diseño del catálogo es directa: toda región que no se explore de rutina no pertenece al núcleo y debe trasladarse a los módulos opcionales de la sección 9, como se hizo con la gonioscopía y la retina periférica. Una región del núcleo que el médico tratante deba desmarcar con frecuencia es una región mal clasificada, no un descuido del usuario.</w:t>
            </w:r>
          </w:p>
        </w:tc>
      </w:tr>
    </w:tbl>
    <w:p>
      <w:pPr>
        <w:spacing w:after="140"/>
      </w:pPr>
    </w:p>
    <w:tbl>
      <w:tblPr>
        <w:tblW w:type="dxa" w:w="9638"/>
        <w:tblBorders>
          <w:top w:val="single" w:color="D9DDE0" w:sz="2"/>
          <w:left w:val="single" w:color="00ADBB" w:sz="18"/>
          <w:bottom w:val="single" w:color="D9DDE0" w:sz="2"/>
          <w:right w:val="single" w:color="D9DDE0" w:sz="2"/>
          <w:insideH w:val="single" w:color="auto" w:sz="4"/>
          <w:insideV w:val="single" w:color="auto" w:sz="4"/>
        </w:tblBorders>
      </w:tblPr>
      <w:tblGrid>
        <w:gridCol w:w="9638"/>
      </w:tblGrid>
      <w:tr>
        <w:tc>
          <w:tcPr>
            <w:tcW w:type="dxa" w:w="9638"/>
            <w:tcBorders>
              <w:top w:val="single" w:color="D9DDE0" w:sz="2"/>
              <w:left w:val="single" w:color="00ADBB" w:sz="18"/>
              <w:bottom w:val="single" w:color="D9DDE0" w:sz="2"/>
              <w:right w:val="single" w:color="D9DDE0" w:sz="2"/>
            </w:tcBorders>
            <w:shd w:fill="F2F4F5" w:val="clear"/>
            <w:tcMar>
              <w:top w:type="dxa" w:w="110"/>
              <w:left w:type="dxa" w:w="160"/>
              <w:bottom w:type="dxa" w:w="110"/>
              <w:right w:type="dxa" w:w="140"/>
            </w:tcMar>
          </w:tcPr>
          <w:p>
            <w:pPr>
              <w:spacing w:after="40" w:line="250"/>
            </w:pPr>
            <w:r>
              <w:rPr>
                <w:rFonts w:ascii="Arial" w:cs="Arial" w:eastAsia="Arial" w:hAnsi="Arial"/>
                <w:b/>
                <w:bCs/>
                <w:color w:val="263545"/>
                <w:sz w:val="18"/>
                <w:szCs w:val="18"/>
              </w:rPr>
              <w:t xml:space="preserve">La declaración se hace por región y por ojo</w:t>
            </w:r>
          </w:p>
          <w:p>
            <w:pPr>
              <w:spacing w:after="0" w:line="264"/>
            </w:pPr>
            <w:r>
              <w:rPr>
                <w:rFonts w:ascii="Arial" w:cs="Arial" w:eastAsia="Arial" w:hAnsi="Arial"/>
                <w:color w:val="1A1A1A"/>
                <w:sz w:val="18"/>
                <w:szCs w:val="18"/>
              </w:rPr>
              <w:t xml:space="preserve">La declaración no es propiedad de la región sino de la región en cada ojo. El caso que lo obliga es cotidiano: un hipema en el ojo derecho deja el iris derecho de visualización nula, mientras el iris izquierdo se observa de forma concluyente. Un estado único por región obligaría a declarar ambos ojos igual y perdería información clínica verdadera. Para que esto no duplique el trabajo de captura, los dos ojos de cada región operan enlazados por omisión: al modificar uno se modifica el otro, y el enlace se rompe de manera deliberada solo cuando los ojos difieren. El enlace es un comportamiento de la interfaz, no un dato del expediente: lo que se guarda es siempre la declaración de cada ojo por separado.</w:t>
            </w:r>
          </w:p>
        </w:tc>
      </w:tr>
    </w:tbl>
    <w:p>
      <w:pPr>
        <w:spacing w:after="280"/>
      </w:pPr>
    </w:p>
    <w:tbl>
      <w:tblPr>
        <w:tblW w:type="dxa" w:w="9638"/>
        <w:tblBorders>
          <w:top w:val="none"/>
          <w:left w:val="none"/>
          <w:bottom w:val="none"/>
          <w:right w:val="none"/>
          <w:insideH w:val="single" w:color="auto" w:sz="4"/>
          <w:insideV w:val="single" w:color="auto" w:sz="4"/>
        </w:tblBorders>
      </w:tblPr>
      <w:tblGrid>
        <w:gridCol w:w="9638"/>
      </w:tblGrid>
      <w:tr>
        <w:tc>
          <w:tcPr>
            <w:tcW w:type="dxa" w:w="9638"/>
            <w:tcBorders>
              <w:top w:val="none"/>
              <w:left w:val="none"/>
              <w:bottom w:val="none"/>
              <w:right w:val="none"/>
            </w:tcBorders>
            <w:shd w:fill="263545" w:val="clear"/>
            <w:tcMar>
              <w:top w:type="dxa" w:w="90"/>
              <w:left w:type="dxa" w:w="140"/>
              <w:bottom w:type="dxa" w:w="90"/>
              <w:right w:type="dxa" w:w="140"/>
            </w:tcMar>
          </w:tcPr>
          <w:p>
            <w:pPr>
              <w:spacing w:after="0" w:line="240"/>
            </w:pPr>
            <w:r>
              <w:rPr>
                <w:rFonts w:ascii="Arial" w:cs="Arial" w:eastAsia="Arial" w:hAnsi="Arial"/>
                <w:b/>
                <w:bCs/>
                <w:color w:val="FFFFFF"/>
                <w:sz w:val="21"/>
                <w:szCs w:val="21"/>
              </w:rPr>
              <w:t xml:space="preserve">4.  MOTIVOS Y REDACCIÓN DE LOS ESTADOS LIMITADA Y NULA</w:t>
            </w:r>
          </w:p>
        </w:tc>
      </w:tr>
    </w:tbl>
    <w:p>
      <w:pPr>
        <w:spacing w:after="120"/>
      </w:pPr>
    </w:p>
    <w:p>
      <w:pPr>
        <w:spacing w:after="100" w:before="0" w:line="264"/>
      </w:pPr>
      <w:r>
        <w:rPr>
          <w:rFonts w:ascii="Arial" w:cs="Arial" w:eastAsia="Arial" w:hAnsi="Arial"/>
          <w:color w:val="1A1A1A"/>
          <w:sz w:val="19"/>
          <w:szCs w:val="19"/>
        </w:rPr>
        <w:t xml:space="preserve">Las calidades Limitada y Nula exigen motivo. Sin motivo, el registro no puede guardarse: una región declarada no valorable sin explicación no defiende a nadie y equivale al silencio.</w:t>
      </w:r>
    </w:p>
    <w:p>
      <w:pPr>
        <w:spacing w:after="100" w:before="0" w:line="264"/>
      </w:pPr>
      <w:r>
        <w:rPr>
          <w:rFonts w:ascii="Arial" w:cs="Arial" w:eastAsia="Arial" w:hAnsi="Arial"/>
          <w:color w:val="1A1A1A"/>
          <w:sz w:val="19"/>
          <w:szCs w:val="19"/>
        </w:rPr>
        <w:t xml:space="preserve">La calidad Limitada exige además declarar el alcance. El sistema aporta la primera parte de la oración y el médico tratante escribe la segunda, sumándose a ella y sin sustituirla. La nota resultante toma esta forma: «Retina parcialmente valorable por hemorragia vítrea. Se identifica polo posterior con detalle limitado, sin desprendimiento evidente en el área visible; periferia no valorable». Los hallazgos que sí se identificaron dentro de una región de visualización limitada se registran con normalidad y se imprimen junto con la declaración de alcance.</w:t>
      </w:r>
    </w:p>
    <w:p>
      <w:pPr>
        <w:spacing w:after="80"/>
      </w:pPr>
    </w:p>
    <w:tbl>
      <w:tblPr>
        <w:tblW w:type="dxa" w:w="9638"/>
        <w:tblBorders>
          <w:top w:val="single" w:color="D9DDE0" w:sz="2"/>
          <w:left w:val="single" w:color="D9DDE0" w:sz="2"/>
          <w:bottom w:val="single" w:color="D9DDE0" w:sz="2"/>
          <w:right w:val="single" w:color="D9DDE0" w:sz="2"/>
          <w:insideH w:val="single" w:color="auto" w:sz="4"/>
          <w:insideV w:val="single" w:color="auto" w:sz="4"/>
        </w:tblBorders>
      </w:tblPr>
      <w:tblGrid>
        <w:gridCol w:w="3000"/>
        <w:gridCol w:w="6638"/>
      </w:tblGrid>
      <w:tr>
        <w:tc>
          <w:tcPr>
            <w:tcW w:type="dxa" w:w="3000"/>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Motivo</w:t>
            </w:r>
          </w:p>
        </w:tc>
        <w:tc>
          <w:tcPr>
            <w:tcW w:type="dxa" w:w="6638"/>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Regiones que típicamente afecta</w:t>
            </w:r>
          </w:p>
        </w:tc>
      </w:tr>
      <w:tr>
        <w:tc>
          <w:tcPr>
            <w:tcW w:type="dxa" w:w="30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Opacidad de medios</w:t>
            </w:r>
          </w:p>
        </w:tc>
        <w:tc>
          <w:tcPr>
            <w:tcW w:type="dxa" w:w="66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Todo lo posterior al plano opaco. La causa se registra en campo aparte, de catálogo abierto con búsqueda y opción de texto libre; no es una lista cerrada. Frecuentes: hipema, hipopión, edema corneal, leucoma, queratopatía en banda, catarata densa, opacidad de cápsula posterior, fibrina o membrana en área pupilar, seclusión pupilar, hemorragia vítrea, membrana ciclítica. Si la causa ya está registrada como hallazgo en el expediente, el campo la ofrece para enlazarla en lugar de capturarla de nuevo.</w:t>
            </w:r>
          </w:p>
        </w:tc>
      </w:tr>
      <w:tr>
        <w:tc>
          <w:tcPr>
            <w:tcW w:type="dxa" w:w="30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Midriasis insuficiente</w:t>
            </w:r>
          </w:p>
        </w:tc>
        <w:tc>
          <w:tcPr>
            <w:tcW w:type="dxa" w:w="66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Cristalino periférico, vítreo, retina periférica.</w:t>
            </w:r>
          </w:p>
        </w:tc>
      </w:tr>
      <w:tr>
        <w:tc>
          <w:tcPr>
            <w:tcW w:type="dxa" w:w="30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Falta de cooperación del paciente</w:t>
            </w:r>
          </w:p>
        </w:tc>
        <w:tc>
          <w:tcPr>
            <w:tcW w:type="dxa" w:w="66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Cualquier región. Frecuente en población pediátrica y en deterioro cognitivo.</w:t>
            </w:r>
          </w:p>
        </w:tc>
      </w:tr>
      <w:tr>
        <w:tc>
          <w:tcPr>
            <w:tcW w:type="dxa" w:w="30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Dolor, fotofobia o blefaroespasmo</w:t>
            </w:r>
          </w:p>
        </w:tc>
        <w:tc>
          <w:tcPr>
            <w:tcW w:type="dxa" w:w="66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Segmento anterior y polo posterior.</w:t>
            </w:r>
          </w:p>
        </w:tc>
      </w:tr>
      <w:tr>
        <w:tc>
          <w:tcPr>
            <w:tcW w:type="dxa" w:w="30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Condición clínica que contraindica la maniobra</w:t>
            </w:r>
          </w:p>
        </w:tc>
        <w:tc>
          <w:tcPr>
            <w:tcW w:type="dxa" w:w="66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Gonioscopía y retina periférica con indentación ante sospecha de perforación ocular.</w:t>
            </w:r>
          </w:p>
        </w:tc>
      </w:tr>
      <w:tr>
        <w:tc>
          <w:tcPr>
            <w:tcW w:type="dxa" w:w="30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Otro</w:t>
            </w:r>
          </w:p>
        </w:tc>
        <w:tc>
          <w:tcPr>
            <w:tcW w:type="dxa" w:w="66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Texto libre. Los motivos que se repiten se incorporan al catálogo en la revisión mensual de la sección 11.</w:t>
            </w:r>
          </w:p>
        </w:tc>
      </w:tr>
    </w:tbl>
    <w:p>
      <w:pPr>
        <w:spacing w:after="140"/>
      </w:pPr>
    </w:p>
    <w:tbl>
      <w:tblPr>
        <w:tblW w:type="dxa" w:w="9638"/>
        <w:tblBorders>
          <w:top w:val="single" w:color="D9DDE0" w:sz="2"/>
          <w:left w:val="single" w:color="00ADBB" w:sz="18"/>
          <w:bottom w:val="single" w:color="D9DDE0" w:sz="2"/>
          <w:right w:val="single" w:color="D9DDE0" w:sz="2"/>
          <w:insideH w:val="single" w:color="auto" w:sz="4"/>
          <w:insideV w:val="single" w:color="auto" w:sz="4"/>
        </w:tblBorders>
      </w:tblPr>
      <w:tblGrid>
        <w:gridCol w:w="9638"/>
      </w:tblGrid>
      <w:tr>
        <w:tc>
          <w:tcPr>
            <w:tcW w:type="dxa" w:w="9638"/>
            <w:tcBorders>
              <w:top w:val="single" w:color="D9DDE0" w:sz="2"/>
              <w:left w:val="single" w:color="00ADBB" w:sz="18"/>
              <w:bottom w:val="single" w:color="D9DDE0" w:sz="2"/>
              <w:right w:val="single" w:color="D9DDE0" w:sz="2"/>
            </w:tcBorders>
            <w:shd w:fill="F2F4F5" w:val="clear"/>
            <w:tcMar>
              <w:top w:type="dxa" w:w="110"/>
              <w:left w:type="dxa" w:w="160"/>
              <w:bottom w:type="dxa" w:w="110"/>
              <w:right w:type="dxa" w:w="140"/>
            </w:tcMar>
          </w:tcPr>
          <w:p>
            <w:pPr>
              <w:spacing w:after="40" w:line="250"/>
            </w:pPr>
            <w:r>
              <w:rPr>
                <w:rFonts w:ascii="Arial" w:cs="Arial" w:eastAsia="Arial" w:hAnsi="Arial"/>
                <w:b/>
                <w:bCs/>
                <w:color w:val="263545"/>
                <w:sz w:val="18"/>
                <w:szCs w:val="18"/>
              </w:rPr>
              <w:t xml:space="preserve">Registrar un hallazgo en una región de visualización nula</w:t>
            </w:r>
          </w:p>
          <w:p>
            <w:pPr>
              <w:spacing w:after="0" w:line="264"/>
            </w:pPr>
            <w:r>
              <w:rPr>
                <w:rFonts w:ascii="Arial" w:cs="Arial" w:eastAsia="Arial" w:hAnsi="Arial"/>
                <w:color w:val="1A1A1A"/>
                <w:sz w:val="18"/>
                <w:szCs w:val="18"/>
              </w:rPr>
              <w:t xml:space="preserve">Una región con visualización nula no admite hallazgos en ese ojo: si el médico tratante identificó una estructura o una lesión, la maniobra rindió información y la calidad corresponde a visualización limitada. El sistema no bloquea el intento: al registrar un hallazgo en un ojo declarado con visualización nula o como no explorado, advierte la incongruencia y ofrece corregir la declaración en un solo paso, conservando el hallazgo y el motivo ya capturados. La verificación se hace por ojo, no por región. La regla existe para impedir que una misma nota declare una estructura no valorable y a continuación la describa.</w:t>
            </w:r>
          </w:p>
        </w:tc>
      </w:tr>
    </w:tbl>
    <w:p>
      <w:pPr>
        <w:spacing w:after="140"/>
      </w:pPr>
    </w:p>
    <w:tbl>
      <w:tblPr>
        <w:tblW w:type="dxa" w:w="9638"/>
        <w:tblBorders>
          <w:top w:val="single" w:color="D9DDE0" w:sz="2"/>
          <w:left w:val="single" w:color="00ADBB" w:sz="18"/>
          <w:bottom w:val="single" w:color="D9DDE0" w:sz="2"/>
          <w:right w:val="single" w:color="D9DDE0" w:sz="2"/>
          <w:insideH w:val="single" w:color="auto" w:sz="4"/>
          <w:insideV w:val="single" w:color="auto" w:sz="4"/>
        </w:tblBorders>
      </w:tblPr>
      <w:tblGrid>
        <w:gridCol w:w="9638"/>
      </w:tblGrid>
      <w:tr>
        <w:tc>
          <w:tcPr>
            <w:tcW w:type="dxa" w:w="9638"/>
            <w:tcBorders>
              <w:top w:val="single" w:color="D9DDE0" w:sz="2"/>
              <w:left w:val="single" w:color="00ADBB" w:sz="18"/>
              <w:bottom w:val="single" w:color="D9DDE0" w:sz="2"/>
              <w:right w:val="single" w:color="D9DDE0" w:sz="2"/>
            </w:tcBorders>
            <w:shd w:fill="F2F4F5" w:val="clear"/>
            <w:tcMar>
              <w:top w:type="dxa" w:w="110"/>
              <w:left w:type="dxa" w:w="160"/>
              <w:bottom w:type="dxa" w:w="110"/>
              <w:right w:type="dxa" w:w="140"/>
            </w:tcMar>
          </w:tcPr>
          <w:p>
            <w:pPr>
              <w:spacing w:after="40" w:line="250"/>
            </w:pPr>
            <w:r>
              <w:rPr>
                <w:rFonts w:ascii="Arial" w:cs="Arial" w:eastAsia="Arial" w:hAnsi="Arial"/>
                <w:b/>
                <w:bCs/>
                <w:color w:val="263545"/>
                <w:sz w:val="18"/>
                <w:szCs w:val="18"/>
              </w:rPr>
              <w:t xml:space="preserve">Regla de agrupamiento — cómo se resuelve la obstrucción de medios</w:t>
            </w:r>
          </w:p>
          <w:p>
            <w:pPr>
              <w:spacing w:after="0" w:line="264"/>
            </w:pPr>
            <w:r>
              <w:rPr>
                <w:rFonts w:ascii="Arial" w:cs="Arial" w:eastAsia="Arial" w:hAnsi="Arial"/>
                <w:color w:val="1A1A1A"/>
                <w:sz w:val="18"/>
                <w:szCs w:val="18"/>
              </w:rPr>
              <w:t xml:space="preserve">Cuando varias regiones consecutivas comparten la misma calidad de visualización y el mismo motivo, y ninguna de ellas tiene hallazgos propios registrados, el sistema las redacta en una sola oración: «Iris, pupila y cristalino no valorables por opacidad de medios por hipema». El agrupamiento es una regla de redacción del generador de texto, no una inferencia clínica: el sistema no deduce qué estructuras quedan detrás de una opacidad ni propone marcarlas. Es el médico tratante quien declara la calidad de visualización de cada región, y la nota simplemente evita repetir tres veces el mismo motivo.</w:t>
            </w:r>
          </w:p>
        </w:tc>
      </w:tr>
    </w:tbl>
    <w:p>
      <w:pPr>
        <w:spacing w:after="140"/>
      </w:pPr>
    </w:p>
    <w:tbl>
      <w:tblPr>
        <w:tblW w:type="dxa" w:w="9638"/>
        <w:tblBorders>
          <w:top w:val="single" w:color="D9DDE0" w:sz="2"/>
          <w:left w:val="single" w:color="00ADBB" w:sz="18"/>
          <w:bottom w:val="single" w:color="D9DDE0" w:sz="2"/>
          <w:right w:val="single" w:color="D9DDE0" w:sz="2"/>
          <w:insideH w:val="single" w:color="auto" w:sz="4"/>
          <w:insideV w:val="single" w:color="auto" w:sz="4"/>
        </w:tblBorders>
      </w:tblPr>
      <w:tblGrid>
        <w:gridCol w:w="9638"/>
      </w:tblGrid>
      <w:tr>
        <w:tc>
          <w:tcPr>
            <w:tcW w:type="dxa" w:w="9638"/>
            <w:tcBorders>
              <w:top w:val="single" w:color="D9DDE0" w:sz="2"/>
              <w:left w:val="single" w:color="00ADBB" w:sz="18"/>
              <w:bottom w:val="single" w:color="D9DDE0" w:sz="2"/>
              <w:right w:val="single" w:color="D9DDE0" w:sz="2"/>
            </w:tcBorders>
            <w:shd w:fill="F2F4F5" w:val="clear"/>
            <w:tcMar>
              <w:top w:type="dxa" w:w="110"/>
              <w:left w:type="dxa" w:w="160"/>
              <w:bottom w:type="dxa" w:w="110"/>
              <w:right w:type="dxa" w:w="140"/>
            </w:tcMar>
          </w:tcPr>
          <w:p>
            <w:pPr>
              <w:spacing w:after="40" w:line="250"/>
            </w:pPr>
            <w:r>
              <w:rPr>
                <w:rFonts w:ascii="Arial" w:cs="Arial" w:eastAsia="Arial" w:hAnsi="Arial"/>
                <w:b/>
                <w:bCs/>
                <w:color w:val="263545"/>
                <w:sz w:val="18"/>
                <w:szCs w:val="18"/>
              </w:rPr>
              <w:t xml:space="preserve">Cómo la lateralidad del estado elige la descripción</w:t>
            </w:r>
          </w:p>
          <w:p>
            <w:pPr>
              <w:spacing w:after="0" w:line="264"/>
            </w:pPr>
            <w:r>
              <w:rPr>
                <w:rFonts w:ascii="Arial" w:cs="Arial" w:eastAsia="Arial" w:hAnsi="Arial"/>
                <w:color w:val="1A1A1A"/>
                <w:sz w:val="18"/>
                <w:szCs w:val="18"/>
              </w:rPr>
              <w:t xml:space="preserve">Cuando ambos ojos de una región comparten declaración, motivo y ausencia de hallazgos, la nota emplea la descripción bilateral del catálogo. Cuando difieren en cualquiera de esos tres puntos, emplea las dos descripciones unilaterales y las redacta por separado. Es la misma regla que gobierna los hallazgos, aplicada también al estado, y no requiere frases adicionales: las 26 descripciones de las secciones 6 a 9 cubren ambos casos.</w:t>
            </w:r>
          </w:p>
        </w:tc>
      </w:tr>
    </w:tbl>
    <w:p>
      <w:pPr>
        <w:spacing w:after="280"/>
      </w:pPr>
    </w:p>
    <w:tbl>
      <w:tblPr>
        <w:tblW w:type="dxa" w:w="9638"/>
        <w:tblBorders>
          <w:top w:val="none"/>
          <w:left w:val="none"/>
          <w:bottom w:val="none"/>
          <w:right w:val="none"/>
          <w:insideH w:val="single" w:color="auto" w:sz="4"/>
          <w:insideV w:val="single" w:color="auto" w:sz="4"/>
        </w:tblBorders>
      </w:tblPr>
      <w:tblGrid>
        <w:gridCol w:w="9638"/>
      </w:tblGrid>
      <w:tr>
        <w:tc>
          <w:tcPr>
            <w:tcW w:type="dxa" w:w="9638"/>
            <w:tcBorders>
              <w:top w:val="none"/>
              <w:left w:val="none"/>
              <w:bottom w:val="none"/>
              <w:right w:val="none"/>
            </w:tcBorders>
            <w:shd w:fill="263545" w:val="clear"/>
            <w:tcMar>
              <w:top w:type="dxa" w:w="90"/>
              <w:left w:type="dxa" w:w="140"/>
              <w:bottom w:type="dxa" w:w="90"/>
              <w:right w:type="dxa" w:w="140"/>
            </w:tcMar>
          </w:tcPr>
          <w:p>
            <w:pPr>
              <w:spacing w:after="0" w:line="240"/>
            </w:pPr>
            <w:r>
              <w:rPr>
                <w:rFonts w:ascii="Arial" w:cs="Arial" w:eastAsia="Arial" w:hAnsi="Arial"/>
                <w:b/>
                <w:bCs/>
                <w:color w:val="FFFFFF"/>
                <w:sz w:val="21"/>
                <w:szCs w:val="21"/>
              </w:rPr>
              <w:t xml:space="preserve">5.  REGLAS DE REDACCIÓN DEL CATÁLOGO</w:t>
            </w:r>
          </w:p>
        </w:tc>
      </w:tr>
    </w:tbl>
    <w:p>
      <w:pPr>
        <w:spacing w:after="120"/>
      </w:pPr>
    </w:p>
    <w:tbl>
      <w:tblPr>
        <w:tblW w:type="dxa" w:w="9638"/>
        <w:tblBorders>
          <w:top w:val="single" w:color="D9DDE0" w:sz="2"/>
          <w:left w:val="single" w:color="D9DDE0" w:sz="2"/>
          <w:bottom w:val="single" w:color="D9DDE0" w:sz="2"/>
          <w:right w:val="single" w:color="D9DDE0" w:sz="2"/>
          <w:insideH w:val="single" w:color="auto" w:sz="4"/>
          <w:insideV w:val="single" w:color="auto" w:sz="4"/>
        </w:tblBorders>
      </w:tblPr>
      <w:tblGrid>
        <w:gridCol w:w="700"/>
        <w:gridCol w:w="3000"/>
        <w:gridCol w:w="5938"/>
      </w:tblGrid>
      <w:tr>
        <w:tc>
          <w:tcPr>
            <w:tcW w:type="dxa" w:w="700"/>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w:t>
            </w:r>
          </w:p>
        </w:tc>
        <w:tc>
          <w:tcPr>
            <w:tcW w:type="dxa" w:w="3000"/>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Regla</w:t>
            </w:r>
          </w:p>
        </w:tc>
        <w:tc>
          <w:tcPr>
            <w:tcW w:type="dxa" w:w="5938"/>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Razón</w:t>
            </w:r>
          </w:p>
        </w:tc>
      </w:tr>
      <w:tr>
        <w:tc>
          <w:tcPr>
            <w:tcW w:type="dxa" w:w="7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1</w:t>
            </w:r>
          </w:p>
        </w:tc>
        <w:tc>
          <w:tcPr>
            <w:tcW w:type="dxa" w:w="30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Descriptiva en positivo, no negación pura.</w:t>
            </w:r>
          </w:p>
        </w:tc>
        <w:tc>
          <w:tcPr>
            <w:tcW w:type="dxa" w:w="59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«Transparente» describe; «sin opacidades» solo niega. Una nota construida con negaciones no permite reconstruir lo que el médico vio.</w:t>
            </w:r>
          </w:p>
        </w:tc>
      </w:tr>
      <w:tr>
        <w:tc>
          <w:tcPr>
            <w:tcW w:type="dxa" w:w="7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2</w:t>
            </w:r>
          </w:p>
        </w:tc>
        <w:tc>
          <w:tcPr>
            <w:tcW w:type="dxa" w:w="30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Sin abreviaturas.</w:t>
            </w:r>
          </w:p>
        </w:tc>
        <w:tc>
          <w:tcPr>
            <w:tcW w:type="dxa" w:w="59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Requisito literal de la NOM-004-SSA3-2012: las notas se expresan en lenguaje técnico-médico, sin abreviaturas ambiguas.</w:t>
            </w:r>
          </w:p>
        </w:tc>
      </w:tr>
      <w:tr>
        <w:tc>
          <w:tcPr>
            <w:tcW w:type="dxa" w:w="7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3</w:t>
            </w:r>
          </w:p>
        </w:tc>
        <w:tc>
          <w:tcPr>
            <w:tcW w:type="dxa" w:w="30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Sin cifras variables.</w:t>
            </w:r>
          </w:p>
        </w:tc>
        <w:tc>
          <w:tcPr>
            <w:tcW w:type="dxa" w:w="59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Ninguna frase puede contener un número que cambia entre pacientes. Los valores numéricos son medidas, no hallazgos, y se capturan aparte.</w:t>
            </w:r>
          </w:p>
        </w:tc>
      </w:tr>
      <w:tr>
        <w:tc>
          <w:tcPr>
            <w:tcW w:type="dxa" w:w="7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4</w:t>
            </w:r>
          </w:p>
        </w:tc>
        <w:tc>
          <w:tcPr>
            <w:tcW w:type="dxa" w:w="30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La frase nombra la estructura explorada.</w:t>
            </w:r>
          </w:p>
        </w:tc>
        <w:tc>
          <w:tcPr>
            <w:tcW w:type="dxa" w:w="59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Cada oración debe entenderse leída de forma aislada, años después, por alguien que no estuvo en la consulta.</w:t>
            </w:r>
          </w:p>
        </w:tc>
      </w:tr>
      <w:tr>
        <w:tc>
          <w:tcPr>
            <w:tcW w:type="dxa" w:w="7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5</w:t>
            </w:r>
          </w:p>
        </w:tc>
        <w:tc>
          <w:tcPr>
            <w:tcW w:type="dxa" w:w="30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Verdadera solo si todos los campos de la región están en su valor esperado.</w:t>
            </w:r>
          </w:p>
        </w:tc>
        <w:tc>
          <w:tcPr>
            <w:tcW w:type="dxa" w:w="59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Es la prueba de validez de una frase. Si puede ser falsa con la región sin hallazgos registrados, la frase está mal redactada y no se publica.</w:t>
            </w:r>
          </w:p>
        </w:tc>
      </w:tr>
      <w:tr>
        <w:tc>
          <w:tcPr>
            <w:tcW w:type="dxa" w:w="7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6</w:t>
            </w:r>
          </w:p>
        </w:tc>
        <w:tc>
          <w:tcPr>
            <w:tcW w:type="dxa" w:w="30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Cuando el alcance depende del método, la frase declara el método.</w:t>
            </w:r>
          </w:p>
        </w:tc>
        <w:tc>
          <w:tcPr>
            <w:tcW w:type="dxa" w:w="59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Una exploración de retina periférica sin indentación escleral no puede afirmar lo mismo que una con indentación. La frase se parte por método.</w:t>
            </w:r>
          </w:p>
        </w:tc>
      </w:tr>
      <w:tr>
        <w:tc>
          <w:tcPr>
            <w:tcW w:type="dxa" w:w="7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7</w:t>
            </w:r>
          </w:p>
        </w:tc>
        <w:tc>
          <w:tcPr>
            <w:tcW w:type="dxa" w:w="30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La descripción esperada se emite únicamente cuando la visualización de la región es concluyente.</w:t>
            </w:r>
          </w:p>
        </w:tc>
        <w:tc>
          <w:tcPr>
            <w:tcW w:type="dxa" w:w="59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Es la regla que protege todo el modelo. Una región de visualización limitada o nula jamás imprime una descripción de normalidad: no puede afirmarse lo que no se observó con suficiencia.</w:t>
            </w:r>
          </w:p>
        </w:tc>
      </w:tr>
      <w:tr>
        <w:tc>
          <w:tcPr>
            <w:tcW w:type="dxa" w:w="7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8</w:t>
            </w:r>
          </w:p>
        </w:tc>
        <w:tc>
          <w:tcPr>
            <w:tcW w:type="dxa" w:w="30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La descripción generada es editable en el momento, y la edición no altera el catálogo.</w:t>
            </w:r>
          </w:p>
        </w:tc>
        <w:tc>
          <w:tcPr>
            <w:tcW w:type="dxa" w:w="59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El médico tratante ajusta la redacción de una región concluyente cuando el matiz clínico lo amerita, antes de firmar. El sistema registra que hubo edición, sin señalarlo en la nota impresa. Modificar la frase de forma permanente es modificar este anexo, y eso requiere versión nueva.</w:t>
            </w:r>
          </w:p>
        </w:tc>
      </w:tr>
      <w:tr>
        <w:tc>
          <w:tcPr>
            <w:tcW w:type="dxa" w:w="7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9</w:t>
            </w:r>
          </w:p>
        </w:tc>
        <w:tc>
          <w:tcPr>
            <w:tcW w:type="dxa" w:w="30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En visualización limitada, el texto libre describe lo observado y su alcance, y nunca afirma normalidad global de la región.</w:t>
            </w:r>
          </w:p>
        </w:tc>
        <w:tc>
          <w:tcPr>
            <w:tcW w:type="dxa" w:w="59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El texto libre se suma a la declaración de alcance, no la sustituye. «Sin desprendimiento evidente en el área visible» es correcto; «retina normal» no lo es. La regla se sostiene por escrito y en la habilitación del médico, no por validación automática del texto.</w:t>
            </w:r>
          </w:p>
        </w:tc>
      </w:tr>
      <w:tr>
        <w:tc>
          <w:tcPr>
            <w:tcW w:type="dxa" w:w="7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10</w:t>
            </w:r>
          </w:p>
        </w:tc>
        <w:tc>
          <w:tcPr>
            <w:tcW w:type="dxa" w:w="30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Cada descripción se publica en forma bilateral y unilateral, redactadas por separado.</w:t>
            </w:r>
          </w:p>
        </w:tc>
        <w:tc>
          <w:tcPr>
            <w:tcW w:type="dxa" w:w="59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Derivar una forma de la otra por sustitución de texto produce afirmaciones falsas. Cuando una región no admite forma unilateral por describir una relación binocular, su renglón lo declara de manera expresa.</w:t>
            </w:r>
          </w:p>
        </w:tc>
      </w:tr>
      <w:tr>
        <w:tc>
          <w:tcPr>
            <w:tcW w:type="dxa" w:w="7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11</w:t>
            </w:r>
          </w:p>
        </w:tc>
        <w:tc>
          <w:tcPr>
            <w:tcW w:type="dxa" w:w="30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Toda región del núcleo debe explorarse de rutina.</w:t>
            </w:r>
          </w:p>
        </w:tc>
        <w:tc>
          <w:tcPr>
            <w:tcW w:type="dxa" w:w="59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Declarar un módulo sin excepciones afirma que todas sus regiones fueron exploradas en ambos ojos. Una región que el médico tratante deba desmarcar con frecuencia está mal clasificada y pertenece a los módulos opcionales de la sección 9.</w:t>
            </w:r>
          </w:p>
        </w:tc>
      </w:tr>
      <w:tr>
        <w:tc>
          <w:tcPr>
            <w:tcW w:type="dxa" w:w="7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12</w:t>
            </w:r>
          </w:p>
        </w:tc>
        <w:tc>
          <w:tcPr>
            <w:tcW w:type="dxa" w:w="30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Ningún hallazgo puede registrarse en un ojo cuya región esté declarada como no explorada o con visualización nula.</w:t>
            </w:r>
          </w:p>
        </w:tc>
        <w:tc>
          <w:tcPr>
            <w:tcW w:type="dxa" w:w="59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La congruencia se verifica por ojo, no por región. Identificar una lesión significa que la maniobra rindió información en ese ojo: el estado corresponde a Concluyente o Limitada. El sistema advierte y ofrece la conversión, conservando el hallazgo y el motivo.</w:t>
            </w:r>
          </w:p>
        </w:tc>
      </w:tr>
    </w:tbl>
    <w:p>
      <w:pPr>
        <w:spacing w:after="140"/>
      </w:pPr>
    </w:p>
    <w:tbl>
      <w:tblPr>
        <w:tblW w:type="dxa" w:w="9638"/>
        <w:tblBorders>
          <w:top w:val="single" w:color="D9DDE0" w:sz="2"/>
          <w:left w:val="single" w:color="00ADBB" w:sz="18"/>
          <w:bottom w:val="single" w:color="D9DDE0" w:sz="2"/>
          <w:right w:val="single" w:color="D9DDE0" w:sz="2"/>
          <w:insideH w:val="single" w:color="auto" w:sz="4"/>
          <w:insideV w:val="single" w:color="auto" w:sz="4"/>
        </w:tblBorders>
      </w:tblPr>
      <w:tblGrid>
        <w:gridCol w:w="9638"/>
      </w:tblGrid>
      <w:tr>
        <w:tc>
          <w:tcPr>
            <w:tcW w:type="dxa" w:w="9638"/>
            <w:tcBorders>
              <w:top w:val="single" w:color="D9DDE0" w:sz="2"/>
              <w:left w:val="single" w:color="00ADBB" w:sz="18"/>
              <w:bottom w:val="single" w:color="D9DDE0" w:sz="2"/>
              <w:right w:val="single" w:color="D9DDE0" w:sz="2"/>
            </w:tcBorders>
            <w:shd w:fill="F2F4F5" w:val="clear"/>
            <w:tcMar>
              <w:top w:type="dxa" w:w="110"/>
              <w:left w:type="dxa" w:w="160"/>
              <w:bottom w:type="dxa" w:w="110"/>
              <w:right w:type="dxa" w:w="140"/>
            </w:tcMar>
          </w:tcPr>
          <w:p>
            <w:pPr>
              <w:spacing w:after="40" w:line="250"/>
            </w:pPr>
            <w:r>
              <w:rPr>
                <w:rFonts w:ascii="Arial" w:cs="Arial" w:eastAsia="Arial" w:hAnsi="Arial"/>
                <w:b/>
                <w:bCs/>
                <w:color w:val="263545"/>
                <w:sz w:val="18"/>
                <w:szCs w:val="18"/>
              </w:rPr>
              <w:t xml:space="preserve">Dos columnas, no una conjugación automática</w:t>
            </w:r>
          </w:p>
          <w:p>
            <w:pPr>
              <w:spacing w:after="0" w:line="264"/>
            </w:pPr>
            <w:r>
              <w:rPr>
                <w:rFonts w:ascii="Arial" w:cs="Arial" w:eastAsia="Arial" w:hAnsi="Arial"/>
                <w:color w:val="1A1A1A"/>
                <w:sz w:val="18"/>
                <w:szCs w:val="18"/>
              </w:rPr>
              <w:t xml:space="preserve">El catálogo publica cada descripción en sus dos formas: bilateral, cuando ninguno de los dos ojos tiene hallazgos, y unilateral, cuando el ojo contrario sí los tiene. Ambas se redactan y se aprueban por separado. El sistema elige la que corresponde y sustituye el marcador {L} por «derecho» o «izquierdo»; no transforma una frase en la otra. La razón es que la transformación mecánica produce texto falso: «Órbitas simétricas en ambos lados» no admite versión de un solo ojo, y «Pupilas isocóricas» pierde sentido en singular porque la isocoria es una comparación entre los dos ojos. La forma unilateral emplea siempre la construcción «del ojo derecho» o «del ojo izquierdo», con lo que el sistema no necesita resolver concordancia de género. El médico tratante nunca declara la lateralidad de lo esperado: el sistema la deduce de dónde se registró la excepción.</w:t>
            </w:r>
          </w:p>
        </w:tc>
      </w:tr>
    </w:tbl>
    <w:p>
      <w:pPr>
        <w:spacing w:after="140"/>
      </w:pPr>
    </w:p>
    <w:tbl>
      <w:tblPr>
        <w:tblW w:type="dxa" w:w="9638"/>
        <w:tblBorders>
          <w:top w:val="single" w:color="D9DDE0" w:sz="2"/>
          <w:left w:val="single" w:color="00ADBB" w:sz="18"/>
          <w:bottom w:val="single" w:color="D9DDE0" w:sz="2"/>
          <w:right w:val="single" w:color="D9DDE0" w:sz="2"/>
          <w:insideH w:val="single" w:color="auto" w:sz="4"/>
          <w:insideV w:val="single" w:color="auto" w:sz="4"/>
        </w:tblBorders>
      </w:tblPr>
      <w:tblGrid>
        <w:gridCol w:w="9638"/>
      </w:tblGrid>
      <w:tr>
        <w:tc>
          <w:tcPr>
            <w:tcW w:type="dxa" w:w="9638"/>
            <w:tcBorders>
              <w:top w:val="single" w:color="D9DDE0" w:sz="2"/>
              <w:left w:val="single" w:color="00ADBB" w:sz="18"/>
              <w:bottom w:val="single" w:color="D9DDE0" w:sz="2"/>
              <w:right w:val="single" w:color="D9DDE0" w:sz="2"/>
            </w:tcBorders>
            <w:shd w:fill="F2F4F5" w:val="clear"/>
            <w:tcMar>
              <w:top w:type="dxa" w:w="110"/>
              <w:left w:type="dxa" w:w="160"/>
              <w:bottom w:type="dxa" w:w="110"/>
              <w:right w:type="dxa" w:w="140"/>
            </w:tcMar>
          </w:tcPr>
          <w:p>
            <w:pPr>
              <w:spacing w:after="40" w:line="250"/>
            </w:pPr>
            <w:r>
              <w:rPr>
                <w:rFonts w:ascii="Arial" w:cs="Arial" w:eastAsia="Arial" w:hAnsi="Arial"/>
                <w:b/>
                <w:bCs/>
                <w:color w:val="263545"/>
                <w:sz w:val="18"/>
                <w:szCs w:val="18"/>
              </w:rPr>
              <w:t xml:space="preserve">Regiones sin forma unilateral</w:t>
            </w:r>
          </w:p>
          <w:p>
            <w:pPr>
              <w:spacing w:after="0" w:line="264"/>
            </w:pPr>
            <w:r>
              <w:rPr>
                <w:rFonts w:ascii="Arial" w:cs="Arial" w:eastAsia="Arial" w:hAnsi="Arial"/>
                <w:color w:val="1A1A1A"/>
                <w:sz w:val="18"/>
                <w:szCs w:val="18"/>
              </w:rPr>
              <w:t xml:space="preserve">La posición de los ojos no admite descripción unilateral: la ortotropia es una relación entre ambos ojos y no puede afirmarse de uno solo. Cuando existe desviación, esta se redacta íntegramente como hallazgo y no se emite descripción esperada para el ojo contrario. Toda región que en el futuro describa una relación binocular —convergencia, estereopsis, visión binocular— sigue la misma regla y se declara de forma expresa en su renglón del catálogo.</w:t>
            </w:r>
          </w:p>
        </w:tc>
      </w:tr>
    </w:tbl>
    <w:p>
      <w:pPr>
        <w:spacing w:after="280"/>
      </w:pPr>
    </w:p>
    <w:tbl>
      <w:tblPr>
        <w:tblW w:type="dxa" w:w="9638"/>
        <w:tblBorders>
          <w:top w:val="none"/>
          <w:left w:val="none"/>
          <w:bottom w:val="none"/>
          <w:right w:val="none"/>
          <w:insideH w:val="single" w:color="auto" w:sz="4"/>
          <w:insideV w:val="single" w:color="auto" w:sz="4"/>
        </w:tblBorders>
      </w:tblPr>
      <w:tblGrid>
        <w:gridCol w:w="9638"/>
      </w:tblGrid>
      <w:tr>
        <w:tc>
          <w:tcPr>
            <w:tcW w:type="dxa" w:w="9638"/>
            <w:tcBorders>
              <w:top w:val="none"/>
              <w:left w:val="none"/>
              <w:bottom w:val="none"/>
              <w:right w:val="none"/>
            </w:tcBorders>
            <w:shd w:fill="263545" w:val="clear"/>
            <w:tcMar>
              <w:top w:type="dxa" w:w="90"/>
              <w:left w:type="dxa" w:w="140"/>
              <w:bottom w:type="dxa" w:w="90"/>
              <w:right w:type="dxa" w:w="140"/>
            </w:tcMar>
          </w:tcPr>
          <w:p>
            <w:pPr>
              <w:spacing w:after="0" w:line="240"/>
            </w:pPr>
            <w:r>
              <w:rPr>
                <w:rFonts w:ascii="Arial" w:cs="Arial" w:eastAsia="Arial" w:hAnsi="Arial"/>
                <w:b/>
                <w:bCs/>
                <w:color w:val="FFFFFF"/>
                <w:sz w:val="21"/>
                <w:szCs w:val="21"/>
              </w:rPr>
              <w:t xml:space="preserve">6.  CATÁLOGO — SEGMENTO ANTERIOR Y ANEXOS</w:t>
            </w:r>
          </w:p>
        </w:tc>
      </w:tr>
    </w:tbl>
    <w:p>
      <w:pPr>
        <w:spacing w:after="120"/>
      </w:pPr>
    </w:p>
    <w:p>
      <w:pPr>
        <w:spacing w:after="100" w:before="0" w:line="264"/>
      </w:pPr>
      <w:r>
        <w:rPr>
          <w:rFonts w:ascii="Arial" w:cs="Arial" w:eastAsia="Arial" w:hAnsi="Arial"/>
          <w:color w:val="1A1A1A"/>
          <w:sz w:val="19"/>
          <w:szCs w:val="19"/>
        </w:rPr>
        <w:t xml:space="preserve">Once regiones. Forman parte del núcleo del expediente: se muestran en toda consulta que incluya exploración de segmento anterior.</w:t>
      </w:r>
    </w:p>
    <w:p>
      <w:pPr>
        <w:spacing w:after="60"/>
      </w:pPr>
    </w:p>
    <w:tbl>
      <w:tblPr>
        <w:tblW w:type="dxa" w:w="9638"/>
        <w:tblBorders>
          <w:top w:val="single" w:color="D9DDE0" w:sz="2"/>
          <w:left w:val="single" w:color="D9DDE0" w:sz="2"/>
          <w:bottom w:val="single" w:color="D9DDE0" w:sz="2"/>
          <w:right w:val="single" w:color="D9DDE0" w:sz="2"/>
          <w:insideH w:val="single" w:color="auto" w:sz="4"/>
          <w:insideV w:val="single" w:color="auto" w:sz="4"/>
        </w:tblBorders>
      </w:tblPr>
      <w:tblGrid>
        <w:gridCol w:w="1700"/>
        <w:gridCol w:w="3969"/>
        <w:gridCol w:w="3969"/>
      </w:tblGrid>
      <w:tr>
        <w:tc>
          <w:tcPr>
            <w:tcW w:type="dxa" w:w="1700"/>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Región</w:t>
            </w:r>
          </w:p>
        </w:tc>
        <w:tc>
          <w:tcPr>
            <w:tcW w:type="dxa" w:w="3969"/>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Descripción bilateral</w:t>
            </w:r>
          </w:p>
        </w:tc>
        <w:tc>
          <w:tcPr>
            <w:tcW w:type="dxa" w:w="3969"/>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Descripción unilateral</w:t>
            </w:r>
          </w:p>
        </w:tc>
      </w:tr>
      <w:tr>
        <w:tc>
          <w:tcPr>
            <w:tcW w:type="dxa" w:w="17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Órbita y anexos</w:t>
            </w:r>
          </w:p>
        </w:tc>
        <w:tc>
          <w:tcPr>
            <w:tcW w:type="dxa" w:w="3969"/>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Órbitas simétricas en ambos lados, sin proptosis ni enoftalmos, con retropulsión libre y reborde orbitario íntegro.</w:t>
            </w:r>
          </w:p>
        </w:tc>
        <w:tc>
          <w:tcPr>
            <w:tcW w:type="dxa" w:w="3969"/>
            <w:tcBorders>
              <w:top w:val="single" w:color="D9DDE0" w:sz="2"/>
              <w:left w:val="single" w:color="D9DDE0" w:sz="2"/>
              <w:bottom w:val="single" w:color="D9DDE0" w:sz="2"/>
              <w:right w:val="single" w:color="D9DDE0" w:sz="2"/>
            </w:tcBorders>
            <w:shd w:fill="FAFBFB"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Órbita del lado {L} sin proptosis ni enoftalmos, con retropulsión libre y reborde orbitario íntegro.</w:t>
            </w:r>
          </w:p>
        </w:tc>
      </w:tr>
      <w:tr>
        <w:tc>
          <w:tcPr>
            <w:tcW w:type="dxa" w:w="17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Párpados</w:t>
            </w:r>
          </w:p>
        </w:tc>
        <w:tc>
          <w:tcPr>
            <w:tcW w:type="dxa" w:w="3969"/>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Párpados de ambos ojos con posición, hendidura y cierre palpebral conservados, sin lesiones en el borde libre ni alteración de las pestañas.</w:t>
            </w:r>
          </w:p>
        </w:tc>
        <w:tc>
          <w:tcPr>
            <w:tcW w:type="dxa" w:w="3969"/>
            <w:tcBorders>
              <w:top w:val="single" w:color="D9DDE0" w:sz="2"/>
              <w:left w:val="single" w:color="D9DDE0" w:sz="2"/>
              <w:bottom w:val="single" w:color="D9DDE0" w:sz="2"/>
              <w:right w:val="single" w:color="D9DDE0" w:sz="2"/>
            </w:tcBorders>
            <w:shd w:fill="FAFBFB"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Párpados del ojo {L} con posición, hendidura y cierre palpebral conservados, sin lesiones en el borde libre ni alteración de las pestañas.</w:t>
            </w:r>
          </w:p>
        </w:tc>
      </w:tr>
      <w:tr>
        <w:tc>
          <w:tcPr>
            <w:tcW w:type="dxa" w:w="17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Aparato lagrimal</w:t>
            </w:r>
          </w:p>
        </w:tc>
        <w:tc>
          <w:tcPr>
            <w:tcW w:type="dxa" w:w="3969"/>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Puntos lagrimales permeables y bien posicionados en ambos ojos, sin epífora ni reflujo a la presión sobre el saco lagrimal.</w:t>
            </w:r>
          </w:p>
        </w:tc>
        <w:tc>
          <w:tcPr>
            <w:tcW w:type="dxa" w:w="3969"/>
            <w:tcBorders>
              <w:top w:val="single" w:color="D9DDE0" w:sz="2"/>
              <w:left w:val="single" w:color="D9DDE0" w:sz="2"/>
              <w:bottom w:val="single" w:color="D9DDE0" w:sz="2"/>
              <w:right w:val="single" w:color="D9DDE0" w:sz="2"/>
            </w:tcBorders>
            <w:shd w:fill="FAFBFB"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Punto lagrimal del ojo {L} permeable y bien posicionado, sin epífora ni reflujo a la presión sobre el saco lagrimal.</w:t>
            </w:r>
          </w:p>
        </w:tc>
      </w:tr>
      <w:tr>
        <w:tc>
          <w:tcPr>
            <w:tcW w:type="dxa" w:w="17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Película lagrimal</w:t>
            </w:r>
          </w:p>
        </w:tc>
        <w:tc>
          <w:tcPr>
            <w:tcW w:type="dxa" w:w="3969"/>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Película lagrimal de ambos ojos íntegra, con menisco lagrimal de altura conservada.</w:t>
            </w:r>
          </w:p>
        </w:tc>
        <w:tc>
          <w:tcPr>
            <w:tcW w:type="dxa" w:w="3969"/>
            <w:tcBorders>
              <w:top w:val="single" w:color="D9DDE0" w:sz="2"/>
              <w:left w:val="single" w:color="D9DDE0" w:sz="2"/>
              <w:bottom w:val="single" w:color="D9DDE0" w:sz="2"/>
              <w:right w:val="single" w:color="D9DDE0" w:sz="2"/>
            </w:tcBorders>
            <w:shd w:fill="FAFBFB"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Película lagrimal del ojo {L} íntegra, con menisco lagrimal de altura conservada.</w:t>
            </w:r>
          </w:p>
        </w:tc>
      </w:tr>
      <w:tr>
        <w:tc>
          <w:tcPr>
            <w:tcW w:type="dxa" w:w="17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Conjuntiva</w:t>
            </w:r>
          </w:p>
        </w:tc>
        <w:tc>
          <w:tcPr>
            <w:tcW w:type="dxa" w:w="3969"/>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Conjuntiva bulbar y tarsal de ambos ojos de coloración normal, sin hiperemia, papilas, folículos ni secreción.</w:t>
            </w:r>
          </w:p>
        </w:tc>
        <w:tc>
          <w:tcPr>
            <w:tcW w:type="dxa" w:w="3969"/>
            <w:tcBorders>
              <w:top w:val="single" w:color="D9DDE0" w:sz="2"/>
              <w:left w:val="single" w:color="D9DDE0" w:sz="2"/>
              <w:bottom w:val="single" w:color="D9DDE0" w:sz="2"/>
              <w:right w:val="single" w:color="D9DDE0" w:sz="2"/>
            </w:tcBorders>
            <w:shd w:fill="FAFBFB"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Conjuntiva bulbar y tarsal del ojo {L} de coloración normal, sin hiperemia, papilas, folículos ni secreción.</w:t>
            </w:r>
          </w:p>
        </w:tc>
      </w:tr>
      <w:tr>
        <w:tc>
          <w:tcPr>
            <w:tcW w:type="dxa" w:w="17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Esclera</w:t>
            </w:r>
          </w:p>
        </w:tc>
        <w:tc>
          <w:tcPr>
            <w:tcW w:type="dxa" w:w="3969"/>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Esclera de ambos ojos de coloración e integridad normales, sin adelgazamiento ni datos de inflamación.</w:t>
            </w:r>
          </w:p>
        </w:tc>
        <w:tc>
          <w:tcPr>
            <w:tcW w:type="dxa" w:w="3969"/>
            <w:tcBorders>
              <w:top w:val="single" w:color="D9DDE0" w:sz="2"/>
              <w:left w:val="single" w:color="D9DDE0" w:sz="2"/>
              <w:bottom w:val="single" w:color="D9DDE0" w:sz="2"/>
              <w:right w:val="single" w:color="D9DDE0" w:sz="2"/>
            </w:tcBorders>
            <w:shd w:fill="FAFBFB"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Esclera del ojo {L} de coloración e integridad normales, sin adelgazamiento ni datos de inflamación.</w:t>
            </w:r>
          </w:p>
        </w:tc>
      </w:tr>
      <w:tr>
        <w:tc>
          <w:tcPr>
            <w:tcW w:type="dxa" w:w="17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Córnea</w:t>
            </w:r>
          </w:p>
        </w:tc>
        <w:tc>
          <w:tcPr>
            <w:tcW w:type="dxa" w:w="3969"/>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Córnea de ambos ojos transparente, de superficie regular y espesor conservado, sin tinción con fluoresceína.</w:t>
            </w:r>
          </w:p>
        </w:tc>
        <w:tc>
          <w:tcPr>
            <w:tcW w:type="dxa" w:w="3969"/>
            <w:tcBorders>
              <w:top w:val="single" w:color="D9DDE0" w:sz="2"/>
              <w:left w:val="single" w:color="D9DDE0" w:sz="2"/>
              <w:bottom w:val="single" w:color="D9DDE0" w:sz="2"/>
              <w:right w:val="single" w:color="D9DDE0" w:sz="2"/>
            </w:tcBorders>
            <w:shd w:fill="FAFBFB"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Córnea del ojo {L} transparente, de superficie regular y espesor conservado, sin tinción con fluoresceína.</w:t>
            </w:r>
          </w:p>
        </w:tc>
      </w:tr>
      <w:tr>
        <w:tc>
          <w:tcPr>
            <w:tcW w:type="dxa" w:w="17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Cámara anterior</w:t>
            </w:r>
          </w:p>
        </w:tc>
        <w:tc>
          <w:tcPr>
            <w:tcW w:type="dxa" w:w="3969"/>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Cámara anterior de ambos ojos formada, de profundidad normal, sin células ni flare.</w:t>
            </w:r>
          </w:p>
        </w:tc>
        <w:tc>
          <w:tcPr>
            <w:tcW w:type="dxa" w:w="3969"/>
            <w:tcBorders>
              <w:top w:val="single" w:color="D9DDE0" w:sz="2"/>
              <w:left w:val="single" w:color="D9DDE0" w:sz="2"/>
              <w:bottom w:val="single" w:color="D9DDE0" w:sz="2"/>
              <w:right w:val="single" w:color="D9DDE0" w:sz="2"/>
            </w:tcBorders>
            <w:shd w:fill="FAFBFB"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Cámara anterior del ojo {L} formada, de profundidad normal, sin células ni flare.</w:t>
            </w:r>
          </w:p>
        </w:tc>
      </w:tr>
      <w:tr>
        <w:tc>
          <w:tcPr>
            <w:tcW w:type="dxa" w:w="17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Iris</w:t>
            </w:r>
          </w:p>
        </w:tc>
        <w:tc>
          <w:tcPr>
            <w:tcW w:type="dxa" w:w="3969"/>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Iris de ambos ojos de arquitectura y coloración conservadas, sin defectos de transiluminación ni sinequias.</w:t>
            </w:r>
          </w:p>
        </w:tc>
        <w:tc>
          <w:tcPr>
            <w:tcW w:type="dxa" w:w="3969"/>
            <w:tcBorders>
              <w:top w:val="single" w:color="D9DDE0" w:sz="2"/>
              <w:left w:val="single" w:color="D9DDE0" w:sz="2"/>
              <w:bottom w:val="single" w:color="D9DDE0" w:sz="2"/>
              <w:right w:val="single" w:color="D9DDE0" w:sz="2"/>
            </w:tcBorders>
            <w:shd w:fill="FAFBFB"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Iris del ojo {L} de arquitectura y coloración conservadas, sin defectos de transiluminación ni sinequias.</w:t>
            </w:r>
          </w:p>
        </w:tc>
      </w:tr>
      <w:tr>
        <w:tc>
          <w:tcPr>
            <w:tcW w:type="dxa" w:w="17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Pupila</w:t>
            </w:r>
          </w:p>
        </w:tc>
        <w:tc>
          <w:tcPr>
            <w:tcW w:type="dxa" w:w="3969"/>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Pupilas de ambos ojos centrales, redondas, isocóricas y reactivas a la luz, sin defecto pupilar aferente relativo.</w:t>
            </w:r>
          </w:p>
        </w:tc>
        <w:tc>
          <w:tcPr>
            <w:tcW w:type="dxa" w:w="3969"/>
            <w:tcBorders>
              <w:top w:val="single" w:color="D9DDE0" w:sz="2"/>
              <w:left w:val="single" w:color="D9DDE0" w:sz="2"/>
              <w:bottom w:val="single" w:color="D9DDE0" w:sz="2"/>
              <w:right w:val="single" w:color="D9DDE0" w:sz="2"/>
            </w:tcBorders>
            <w:shd w:fill="FAFBFB"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Pupila del ojo {L} central, redonda y reactiva a la luz, sin defecto pupilar aferente relativo.</w:t>
            </w:r>
          </w:p>
        </w:tc>
      </w:tr>
      <w:tr>
        <w:tc>
          <w:tcPr>
            <w:tcW w:type="dxa" w:w="17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Cristalino</w:t>
            </w:r>
          </w:p>
        </w:tc>
        <w:tc>
          <w:tcPr>
            <w:tcW w:type="dxa" w:w="3969"/>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Cristalino de ambos ojos transparente y en posición central.</w:t>
            </w:r>
          </w:p>
        </w:tc>
        <w:tc>
          <w:tcPr>
            <w:tcW w:type="dxa" w:w="3969"/>
            <w:tcBorders>
              <w:top w:val="single" w:color="D9DDE0" w:sz="2"/>
              <w:left w:val="single" w:color="D9DDE0" w:sz="2"/>
              <w:bottom w:val="single" w:color="D9DDE0" w:sz="2"/>
              <w:right w:val="single" w:color="D9DDE0" w:sz="2"/>
            </w:tcBorders>
            <w:shd w:fill="FAFBFB"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Cristalino del ojo {L} transparente y en posición central.</w:t>
            </w:r>
          </w:p>
        </w:tc>
      </w:tr>
    </w:tbl>
    <w:p>
      <w:pPr>
        <w:spacing w:after="280"/>
      </w:pPr>
    </w:p>
    <w:tbl>
      <w:tblPr>
        <w:tblW w:type="dxa" w:w="9638"/>
        <w:tblBorders>
          <w:top w:val="none"/>
          <w:left w:val="none"/>
          <w:bottom w:val="none"/>
          <w:right w:val="none"/>
          <w:insideH w:val="single" w:color="auto" w:sz="4"/>
          <w:insideV w:val="single" w:color="auto" w:sz="4"/>
        </w:tblBorders>
      </w:tblPr>
      <w:tblGrid>
        <w:gridCol w:w="9638"/>
      </w:tblGrid>
      <w:tr>
        <w:tc>
          <w:tcPr>
            <w:tcW w:type="dxa" w:w="9638"/>
            <w:tcBorders>
              <w:top w:val="none"/>
              <w:left w:val="none"/>
              <w:bottom w:val="none"/>
              <w:right w:val="none"/>
            </w:tcBorders>
            <w:shd w:fill="263545" w:val="clear"/>
            <w:tcMar>
              <w:top w:type="dxa" w:w="90"/>
              <w:left w:type="dxa" w:w="140"/>
              <w:bottom w:type="dxa" w:w="90"/>
              <w:right w:type="dxa" w:w="140"/>
            </w:tcMar>
          </w:tcPr>
          <w:p>
            <w:pPr>
              <w:spacing w:after="0" w:line="240"/>
            </w:pPr>
            <w:r>
              <w:rPr>
                <w:rFonts w:ascii="Arial" w:cs="Arial" w:eastAsia="Arial" w:hAnsi="Arial"/>
                <w:b/>
                <w:bCs/>
                <w:color w:val="FFFFFF"/>
                <w:sz w:val="21"/>
                <w:szCs w:val="21"/>
              </w:rPr>
              <w:t xml:space="preserve">7.  CATÁLOGO — POSICIÓN, MOTILIDAD Y PRESIÓN</w:t>
            </w:r>
          </w:p>
        </w:tc>
      </w:tr>
    </w:tbl>
    <w:p>
      <w:pPr>
        <w:spacing w:after="120"/>
      </w:pPr>
    </w:p>
    <w:p>
      <w:pPr>
        <w:spacing w:after="100" w:before="0" w:line="264"/>
      </w:pPr>
      <w:r>
        <w:rPr>
          <w:rFonts w:ascii="Arial" w:cs="Arial" w:eastAsia="Arial" w:hAnsi="Arial"/>
          <w:color w:val="1A1A1A"/>
          <w:sz w:val="19"/>
          <w:szCs w:val="19"/>
        </w:rPr>
        <w:t xml:space="preserve">Tres regiones del núcleo. La tonometría emite descripción solo cuando no se capturó valor numérico; capturado el valor, aplica la regla de precedencia de la sección 10.</w:t>
      </w:r>
    </w:p>
    <w:p>
      <w:pPr>
        <w:spacing w:after="60"/>
      </w:pPr>
    </w:p>
    <w:tbl>
      <w:tblPr>
        <w:tblW w:type="dxa" w:w="9638"/>
        <w:tblBorders>
          <w:top w:val="single" w:color="D9DDE0" w:sz="2"/>
          <w:left w:val="single" w:color="D9DDE0" w:sz="2"/>
          <w:bottom w:val="single" w:color="D9DDE0" w:sz="2"/>
          <w:right w:val="single" w:color="D9DDE0" w:sz="2"/>
          <w:insideH w:val="single" w:color="auto" w:sz="4"/>
          <w:insideV w:val="single" w:color="auto" w:sz="4"/>
        </w:tblBorders>
      </w:tblPr>
      <w:tblGrid>
        <w:gridCol w:w="1700"/>
        <w:gridCol w:w="3969"/>
        <w:gridCol w:w="3969"/>
      </w:tblGrid>
      <w:tr>
        <w:tc>
          <w:tcPr>
            <w:tcW w:type="dxa" w:w="1700"/>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Región</w:t>
            </w:r>
          </w:p>
        </w:tc>
        <w:tc>
          <w:tcPr>
            <w:tcW w:type="dxa" w:w="3969"/>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Descripción bilateral</w:t>
            </w:r>
          </w:p>
        </w:tc>
        <w:tc>
          <w:tcPr>
            <w:tcW w:type="dxa" w:w="3969"/>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Descripción unilateral</w:t>
            </w:r>
          </w:p>
        </w:tc>
      </w:tr>
      <w:tr>
        <w:tc>
          <w:tcPr>
            <w:tcW w:type="dxa" w:w="17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Posición de los ojos</w:t>
            </w:r>
          </w:p>
        </w:tc>
        <w:tc>
          <w:tcPr>
            <w:tcW w:type="dxa" w:w="3969"/>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Posición de los ojos en ortotropia en posición primaria de la mirada, sin desviación manifiesta ni latente al cover test.</w:t>
            </w:r>
          </w:p>
        </w:tc>
        <w:tc>
          <w:tcPr>
            <w:tcW w:type="dxa" w:w="3969"/>
            <w:tcBorders>
              <w:top w:val="single" w:color="D9DDE0" w:sz="2"/>
              <w:left w:val="single" w:color="D9DDE0" w:sz="2"/>
              <w:bottom w:val="single" w:color="D9DDE0" w:sz="2"/>
              <w:right w:val="single" w:color="D9DDE0" w:sz="2"/>
            </w:tcBorders>
            <w:shd w:fill="FAFBFB"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No admite forma unilateral: la ortotropia es una relación entre ambos ojos. Toda desviación se redacta como hallazgo.</w:t>
            </w:r>
          </w:p>
        </w:tc>
      </w:tr>
      <w:tr>
        <w:tc>
          <w:tcPr>
            <w:tcW w:type="dxa" w:w="17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Motilidad ocular</w:t>
            </w:r>
          </w:p>
        </w:tc>
        <w:tc>
          <w:tcPr>
            <w:tcW w:type="dxa" w:w="3969"/>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Movimientos oculares completos y simétricos en las nueve posiciones diagnósticas de la mirada, sin limitación ni dolor.</w:t>
            </w:r>
          </w:p>
        </w:tc>
        <w:tc>
          <w:tcPr>
            <w:tcW w:type="dxa" w:w="3969"/>
            <w:tcBorders>
              <w:top w:val="single" w:color="D9DDE0" w:sz="2"/>
              <w:left w:val="single" w:color="D9DDE0" w:sz="2"/>
              <w:bottom w:val="single" w:color="D9DDE0" w:sz="2"/>
              <w:right w:val="single" w:color="D9DDE0" w:sz="2"/>
            </w:tcBorders>
            <w:shd w:fill="FAFBFB"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Movimientos oculares del ojo {L} completos en las nueve posiciones diagnósticas de la mirada, sin limitación ni dolor.</w:t>
            </w:r>
          </w:p>
        </w:tc>
      </w:tr>
      <w:tr>
        <w:tc>
          <w:tcPr>
            <w:tcW w:type="dxa" w:w="17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Tonometría</w:t>
            </w:r>
          </w:p>
        </w:tc>
        <w:tc>
          <w:tcPr>
            <w:tcW w:type="dxa" w:w="3969"/>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Presión intraocular dentro de parámetros normales en ambos ojos.</w:t>
            </w:r>
          </w:p>
        </w:tc>
        <w:tc>
          <w:tcPr>
            <w:tcW w:type="dxa" w:w="3969"/>
            <w:tcBorders>
              <w:top w:val="single" w:color="D9DDE0" w:sz="2"/>
              <w:left w:val="single" w:color="D9DDE0" w:sz="2"/>
              <w:bottom w:val="single" w:color="D9DDE0" w:sz="2"/>
              <w:right w:val="single" w:color="D9DDE0" w:sz="2"/>
            </w:tcBorders>
            <w:shd w:fill="FAFBFB"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Presión intraocular del ojo {L} dentro de parámetros normales.</w:t>
            </w:r>
          </w:p>
        </w:tc>
      </w:tr>
    </w:tbl>
    <w:p>
      <w:pPr>
        <w:spacing w:after="280"/>
      </w:pPr>
    </w:p>
    <w:tbl>
      <w:tblPr>
        <w:tblW w:type="dxa" w:w="9638"/>
        <w:tblBorders>
          <w:top w:val="none"/>
          <w:left w:val="none"/>
          <w:bottom w:val="none"/>
          <w:right w:val="none"/>
          <w:insideH w:val="single" w:color="auto" w:sz="4"/>
          <w:insideV w:val="single" w:color="auto" w:sz="4"/>
        </w:tblBorders>
      </w:tblPr>
      <w:tblGrid>
        <w:gridCol w:w="9638"/>
      </w:tblGrid>
      <w:tr>
        <w:tc>
          <w:tcPr>
            <w:tcW w:type="dxa" w:w="9638"/>
            <w:tcBorders>
              <w:top w:val="none"/>
              <w:left w:val="none"/>
              <w:bottom w:val="none"/>
              <w:right w:val="none"/>
            </w:tcBorders>
            <w:shd w:fill="263545" w:val="clear"/>
            <w:tcMar>
              <w:top w:type="dxa" w:w="90"/>
              <w:left w:type="dxa" w:w="140"/>
              <w:bottom w:type="dxa" w:w="90"/>
              <w:right w:type="dxa" w:w="140"/>
            </w:tcMar>
          </w:tcPr>
          <w:p>
            <w:pPr>
              <w:spacing w:after="0" w:line="240"/>
            </w:pPr>
            <w:r>
              <w:rPr>
                <w:rFonts w:ascii="Arial" w:cs="Arial" w:eastAsia="Arial" w:hAnsi="Arial"/>
                <w:b/>
                <w:bCs/>
                <w:color w:val="FFFFFF"/>
                <w:sz w:val="21"/>
                <w:szCs w:val="21"/>
              </w:rPr>
              <w:t xml:space="preserve">8.  CATÁLOGO — SEGMENTO POSTERIOR: POLO POSTERIOR</w:t>
            </w:r>
          </w:p>
        </w:tc>
      </w:tr>
    </w:tbl>
    <w:p>
      <w:pPr>
        <w:spacing w:after="120"/>
      </w:pPr>
    </w:p>
    <w:p>
      <w:pPr>
        <w:spacing w:after="100" w:before="0" w:line="264"/>
      </w:pPr>
      <w:r>
        <w:rPr>
          <w:rFonts w:ascii="Arial" w:cs="Arial" w:eastAsia="Arial" w:hAnsi="Arial"/>
          <w:color w:val="1A1A1A"/>
          <w:sz w:val="19"/>
          <w:szCs w:val="19"/>
        </w:rPr>
        <w:t xml:space="preserve">Cinco regiones del núcleo. La exploración de polo posterior no depende de midriasis: la condición de exploración se registra como dato del módulo y no altera estas descripciones.</w:t>
      </w:r>
    </w:p>
    <w:p>
      <w:pPr>
        <w:spacing w:after="60"/>
      </w:pPr>
    </w:p>
    <w:tbl>
      <w:tblPr>
        <w:tblW w:type="dxa" w:w="9638"/>
        <w:tblBorders>
          <w:top w:val="single" w:color="D9DDE0" w:sz="2"/>
          <w:left w:val="single" w:color="D9DDE0" w:sz="2"/>
          <w:bottom w:val="single" w:color="D9DDE0" w:sz="2"/>
          <w:right w:val="single" w:color="D9DDE0" w:sz="2"/>
          <w:insideH w:val="single" w:color="auto" w:sz="4"/>
          <w:insideV w:val="single" w:color="auto" w:sz="4"/>
        </w:tblBorders>
      </w:tblPr>
      <w:tblGrid>
        <w:gridCol w:w="1700"/>
        <w:gridCol w:w="3969"/>
        <w:gridCol w:w="3969"/>
      </w:tblGrid>
      <w:tr>
        <w:tc>
          <w:tcPr>
            <w:tcW w:type="dxa" w:w="1700"/>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Región</w:t>
            </w:r>
          </w:p>
        </w:tc>
        <w:tc>
          <w:tcPr>
            <w:tcW w:type="dxa" w:w="3969"/>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Descripción bilateral</w:t>
            </w:r>
          </w:p>
        </w:tc>
        <w:tc>
          <w:tcPr>
            <w:tcW w:type="dxa" w:w="3969"/>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Descripción unilateral</w:t>
            </w:r>
          </w:p>
        </w:tc>
      </w:tr>
      <w:tr>
        <w:tc>
          <w:tcPr>
            <w:tcW w:type="dxa" w:w="17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Vítreo</w:t>
            </w:r>
          </w:p>
        </w:tc>
        <w:tc>
          <w:tcPr>
            <w:tcW w:type="dxa" w:w="3969"/>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Vítreo de ambos ojos transparente, sin células, hemorragia ni desprendimiento posterior.</w:t>
            </w:r>
          </w:p>
        </w:tc>
        <w:tc>
          <w:tcPr>
            <w:tcW w:type="dxa" w:w="3969"/>
            <w:tcBorders>
              <w:top w:val="single" w:color="D9DDE0" w:sz="2"/>
              <w:left w:val="single" w:color="D9DDE0" w:sz="2"/>
              <w:bottom w:val="single" w:color="D9DDE0" w:sz="2"/>
              <w:right w:val="single" w:color="D9DDE0" w:sz="2"/>
            </w:tcBorders>
            <w:shd w:fill="FAFBFB"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Vítreo del ojo {L} transparente, sin células, hemorragia ni desprendimiento posterior.</w:t>
            </w:r>
          </w:p>
        </w:tc>
      </w:tr>
      <w:tr>
        <w:tc>
          <w:tcPr>
            <w:tcW w:type="dxa" w:w="17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Papila</w:t>
            </w:r>
          </w:p>
        </w:tc>
        <w:tc>
          <w:tcPr>
            <w:tcW w:type="dxa" w:w="3969"/>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Papila de ambos ojos de bordes definidos, buena coloración y anillo neurorretiniano conservado, con excavación fisiológica y emergencia vascular central.</w:t>
            </w:r>
          </w:p>
        </w:tc>
        <w:tc>
          <w:tcPr>
            <w:tcW w:type="dxa" w:w="3969"/>
            <w:tcBorders>
              <w:top w:val="single" w:color="D9DDE0" w:sz="2"/>
              <w:left w:val="single" w:color="D9DDE0" w:sz="2"/>
              <w:bottom w:val="single" w:color="D9DDE0" w:sz="2"/>
              <w:right w:val="single" w:color="D9DDE0" w:sz="2"/>
            </w:tcBorders>
            <w:shd w:fill="FAFBFB"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Papila del ojo {L} de bordes definidos, buena coloración y anillo neurorretiniano conservado, con excavación fisiológica y emergencia vascular central.</w:t>
            </w:r>
          </w:p>
        </w:tc>
      </w:tr>
      <w:tr>
        <w:tc>
          <w:tcPr>
            <w:tcW w:type="dxa" w:w="17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Mácula</w:t>
            </w:r>
          </w:p>
        </w:tc>
        <w:tc>
          <w:tcPr>
            <w:tcW w:type="dxa" w:w="3969"/>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Mácula de ambos ojos de aspecto normal, con reflejo foveolar presente, sin edema, exudados ni alteración pigmentaria.</w:t>
            </w:r>
          </w:p>
        </w:tc>
        <w:tc>
          <w:tcPr>
            <w:tcW w:type="dxa" w:w="3969"/>
            <w:tcBorders>
              <w:top w:val="single" w:color="D9DDE0" w:sz="2"/>
              <w:left w:val="single" w:color="D9DDE0" w:sz="2"/>
              <w:bottom w:val="single" w:color="D9DDE0" w:sz="2"/>
              <w:right w:val="single" w:color="D9DDE0" w:sz="2"/>
            </w:tcBorders>
            <w:shd w:fill="FAFBFB"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Mácula del ojo {L} de aspecto normal, con reflejo foveolar presente, sin edema, exudados ni alteración pigmentaria.</w:t>
            </w:r>
          </w:p>
        </w:tc>
      </w:tr>
      <w:tr>
        <w:tc>
          <w:tcPr>
            <w:tcW w:type="dxa" w:w="17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Vasos retinianos</w:t>
            </w:r>
          </w:p>
        </w:tc>
        <w:tc>
          <w:tcPr>
            <w:tcW w:type="dxa" w:w="3969"/>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Vasos retinianos de ambos ojos de calibre, trayecto y relación arteriovenosa normales, sin cruces patológicos ni envainamiento.</w:t>
            </w:r>
          </w:p>
        </w:tc>
        <w:tc>
          <w:tcPr>
            <w:tcW w:type="dxa" w:w="3969"/>
            <w:tcBorders>
              <w:top w:val="single" w:color="D9DDE0" w:sz="2"/>
              <w:left w:val="single" w:color="D9DDE0" w:sz="2"/>
              <w:bottom w:val="single" w:color="D9DDE0" w:sz="2"/>
              <w:right w:val="single" w:color="D9DDE0" w:sz="2"/>
            </w:tcBorders>
            <w:shd w:fill="FAFBFB"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Vasos retinianos del ojo {L} de calibre, trayecto y relación arteriovenosa normales, sin cruces patológicos ni envainamiento.</w:t>
            </w:r>
          </w:p>
        </w:tc>
      </w:tr>
      <w:tr>
        <w:tc>
          <w:tcPr>
            <w:tcW w:type="dxa" w:w="17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Retina posterior</w:t>
            </w:r>
          </w:p>
        </w:tc>
        <w:tc>
          <w:tcPr>
            <w:tcW w:type="dxa" w:w="3969"/>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Retina posterior de ambos ojos aplicada, sin hemorragias, exudados ni lesiones.</w:t>
            </w:r>
          </w:p>
        </w:tc>
        <w:tc>
          <w:tcPr>
            <w:tcW w:type="dxa" w:w="3969"/>
            <w:tcBorders>
              <w:top w:val="single" w:color="D9DDE0" w:sz="2"/>
              <w:left w:val="single" w:color="D9DDE0" w:sz="2"/>
              <w:bottom w:val="single" w:color="D9DDE0" w:sz="2"/>
              <w:right w:val="single" w:color="D9DDE0" w:sz="2"/>
            </w:tcBorders>
            <w:shd w:fill="FAFBFB"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Retina posterior del ojo {L} aplicada, sin hemorragias, exudados ni lesiones.</w:t>
            </w:r>
          </w:p>
        </w:tc>
      </w:tr>
    </w:tbl>
    <w:p>
      <w:pPr>
        <w:spacing w:after="280"/>
      </w:pPr>
    </w:p>
    <w:p>
      <w:r>
        <w:br w:type="page"/>
      </w:r>
    </w:p>
    <w:tbl>
      <w:tblPr>
        <w:tblW w:type="dxa" w:w="9638"/>
        <w:tblBorders>
          <w:top w:val="none"/>
          <w:left w:val="none"/>
          <w:bottom w:val="none"/>
          <w:right w:val="none"/>
          <w:insideH w:val="single" w:color="auto" w:sz="4"/>
          <w:insideV w:val="single" w:color="auto" w:sz="4"/>
        </w:tblBorders>
      </w:tblPr>
      <w:tblGrid>
        <w:gridCol w:w="9638"/>
      </w:tblGrid>
      <w:tr>
        <w:tc>
          <w:tcPr>
            <w:tcW w:type="dxa" w:w="9638"/>
            <w:tcBorders>
              <w:top w:val="none"/>
              <w:left w:val="none"/>
              <w:bottom w:val="none"/>
              <w:right w:val="none"/>
            </w:tcBorders>
            <w:shd w:fill="263545" w:val="clear"/>
            <w:tcMar>
              <w:top w:type="dxa" w:w="90"/>
              <w:left w:type="dxa" w:w="140"/>
              <w:bottom w:type="dxa" w:w="90"/>
              <w:right w:type="dxa" w:w="140"/>
            </w:tcMar>
          </w:tcPr>
          <w:p>
            <w:pPr>
              <w:spacing w:after="0" w:line="240"/>
            </w:pPr>
            <w:r>
              <w:rPr>
                <w:rFonts w:ascii="Arial" w:cs="Arial" w:eastAsia="Arial" w:hAnsi="Arial"/>
                <w:b/>
                <w:bCs/>
                <w:color w:val="FFFFFF"/>
                <w:sz w:val="21"/>
                <w:szCs w:val="21"/>
              </w:rPr>
              <w:t xml:space="preserve">9.  CATÁLOGO — MÓDULOS OPCIONALES CON MÉTODO DECLARADO</w:t>
            </w:r>
          </w:p>
        </w:tc>
      </w:tr>
    </w:tbl>
    <w:p>
      <w:pPr>
        <w:spacing w:after="120"/>
      </w:pPr>
    </w:p>
    <w:p>
      <w:pPr>
        <w:spacing w:after="100" w:before="0" w:line="264"/>
      </w:pPr>
      <w:r>
        <w:rPr>
          <w:rFonts w:ascii="Arial" w:cs="Arial" w:eastAsia="Arial" w:hAnsi="Arial"/>
          <w:color w:val="1A1A1A"/>
          <w:sz w:val="19"/>
          <w:szCs w:val="19"/>
        </w:rPr>
        <w:t xml:space="preserve">Cuatro regiones fuera del núcleo. No se muestran en la consulta ordinaria: el médico tratante las abre de forma deliberada, y ninguna emite descripción antes de que el método quede declarado.</w:t>
      </w:r>
    </w:p>
    <w:p>
      <w:pPr>
        <w:spacing w:after="60"/>
      </w:pPr>
    </w:p>
    <w:tbl>
      <w:tblPr>
        <w:tblW w:type="dxa" w:w="9638"/>
        <w:tblBorders>
          <w:top w:val="single" w:color="D9DDE0" w:sz="2"/>
          <w:left w:val="single" w:color="D9DDE0" w:sz="2"/>
          <w:bottom w:val="single" w:color="D9DDE0" w:sz="2"/>
          <w:right w:val="single" w:color="D9DDE0" w:sz="2"/>
          <w:insideH w:val="single" w:color="auto" w:sz="4"/>
          <w:insideV w:val="single" w:color="auto" w:sz="4"/>
        </w:tblBorders>
      </w:tblPr>
      <w:tblGrid>
        <w:gridCol w:w="1500"/>
        <w:gridCol w:w="1900"/>
        <w:gridCol w:w="3119"/>
        <w:gridCol w:w="3119"/>
      </w:tblGrid>
      <w:tr>
        <w:tc>
          <w:tcPr>
            <w:tcW w:type="dxa" w:w="1500"/>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Región</w:t>
            </w:r>
          </w:p>
        </w:tc>
        <w:tc>
          <w:tcPr>
            <w:tcW w:type="dxa" w:w="1900"/>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Método declarado</w:t>
            </w:r>
          </w:p>
        </w:tc>
        <w:tc>
          <w:tcPr>
            <w:tcW w:type="dxa" w:w="3119"/>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Descripción bilateral</w:t>
            </w:r>
          </w:p>
        </w:tc>
        <w:tc>
          <w:tcPr>
            <w:tcW w:type="dxa" w:w="3119"/>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Descripción unilateral</w:t>
            </w:r>
          </w:p>
        </w:tc>
      </w:tr>
      <w:tr>
        <w:tc>
          <w:tcPr>
            <w:tcW w:type="dxa" w:w="15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Retina periférica</w:t>
            </w:r>
          </w:p>
        </w:tc>
        <w:tc>
          <w:tcPr>
            <w:tcW w:type="dxa" w:w="19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Oftalmoscopía indirecta sin indentación escleral</w:t>
            </w:r>
          </w:p>
        </w:tc>
        <w:tc>
          <w:tcPr>
            <w:tcW w:type="dxa" w:w="3119"/>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Retina periférica de ambos ojos aplicada, sin lesiones evidentes en la periferia accesible mediante oftalmoscopía indirecta sin indentación escleral.</w:t>
            </w:r>
          </w:p>
        </w:tc>
        <w:tc>
          <w:tcPr>
            <w:tcW w:type="dxa" w:w="3119"/>
            <w:tcBorders>
              <w:top w:val="single" w:color="D9DDE0" w:sz="2"/>
              <w:left w:val="single" w:color="D9DDE0" w:sz="2"/>
              <w:bottom w:val="single" w:color="D9DDE0" w:sz="2"/>
              <w:right w:val="single" w:color="D9DDE0" w:sz="2"/>
            </w:tcBorders>
            <w:shd w:fill="FAFBFB"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Retina periférica del ojo {L} aplicada, sin lesiones evidentes en la periferia accesible mediante oftalmoscopía indirecta sin indentación escleral.</w:t>
            </w:r>
          </w:p>
        </w:tc>
      </w:tr>
      <w:tr>
        <w:tc>
          <w:tcPr>
            <w:tcW w:type="dxa" w:w="15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Retina periférica</w:t>
            </w:r>
          </w:p>
        </w:tc>
        <w:tc>
          <w:tcPr>
            <w:tcW w:type="dxa" w:w="19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Oftalmoscopía indirecta con indentación escleral</w:t>
            </w:r>
          </w:p>
        </w:tc>
        <w:tc>
          <w:tcPr>
            <w:tcW w:type="dxa" w:w="3119"/>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Retina periférica de ambos ojos aplicada en los cuatro cuadrantes hasta ora serrata, explorada con indentación escleral, sin desgarros, agujeros ni degeneraciones periféricas.</w:t>
            </w:r>
          </w:p>
        </w:tc>
        <w:tc>
          <w:tcPr>
            <w:tcW w:type="dxa" w:w="3119"/>
            <w:tcBorders>
              <w:top w:val="single" w:color="D9DDE0" w:sz="2"/>
              <w:left w:val="single" w:color="D9DDE0" w:sz="2"/>
              <w:bottom w:val="single" w:color="D9DDE0" w:sz="2"/>
              <w:right w:val="single" w:color="D9DDE0" w:sz="2"/>
            </w:tcBorders>
            <w:shd w:fill="FAFBFB"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Retina periférica del ojo {L} aplicada en los cuatro cuadrantes hasta ora serrata, explorada con indentación escleral, sin desgarros, agujeros ni degeneraciones periféricas.</w:t>
            </w:r>
          </w:p>
        </w:tc>
      </w:tr>
      <w:tr>
        <w:tc>
          <w:tcPr>
            <w:tcW w:type="dxa" w:w="15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Retina periférica</w:t>
            </w:r>
          </w:p>
        </w:tc>
        <w:tc>
          <w:tcPr>
            <w:tcW w:type="dxa" w:w="19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Lente de tres espejos</w:t>
            </w:r>
          </w:p>
        </w:tc>
        <w:tc>
          <w:tcPr>
            <w:tcW w:type="dxa" w:w="3119"/>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Retina periférica de ambos ojos aplicada en los cuatro cuadrantes, explorada con lente de tres espejos, sin desgarros, agujeros ni degeneraciones periféricas.</w:t>
            </w:r>
          </w:p>
        </w:tc>
        <w:tc>
          <w:tcPr>
            <w:tcW w:type="dxa" w:w="3119"/>
            <w:tcBorders>
              <w:top w:val="single" w:color="D9DDE0" w:sz="2"/>
              <w:left w:val="single" w:color="D9DDE0" w:sz="2"/>
              <w:bottom w:val="single" w:color="D9DDE0" w:sz="2"/>
              <w:right w:val="single" w:color="D9DDE0" w:sz="2"/>
            </w:tcBorders>
            <w:shd w:fill="FAFBFB"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Retina periférica del ojo {L} aplicada en los cuatro cuadrantes, explorada con lente de tres espejos, sin desgarros, agujeros ni degeneraciones periféricas.</w:t>
            </w:r>
          </w:p>
        </w:tc>
      </w:tr>
      <w:tr>
        <w:tc>
          <w:tcPr>
            <w:tcW w:type="dxa" w:w="15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Gonioscopía</w:t>
            </w:r>
          </w:p>
        </w:tc>
        <w:tc>
          <w:tcPr>
            <w:tcW w:type="dxa" w:w="19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Gonioscopía estática</w:t>
            </w:r>
          </w:p>
        </w:tc>
        <w:tc>
          <w:tcPr>
            <w:tcW w:type="dxa" w:w="3119"/>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Ángulo camerular de ambos ojos abierto en los cuatro cuadrantes, con estructuras identificables hasta banda ciliar por gonioscopía estática, sin sinequias anteriores periféricas ni pigmentación anómala.</w:t>
            </w:r>
          </w:p>
        </w:tc>
        <w:tc>
          <w:tcPr>
            <w:tcW w:type="dxa" w:w="3119"/>
            <w:tcBorders>
              <w:top w:val="single" w:color="D9DDE0" w:sz="2"/>
              <w:left w:val="single" w:color="D9DDE0" w:sz="2"/>
              <w:bottom w:val="single" w:color="D9DDE0" w:sz="2"/>
              <w:right w:val="single" w:color="D9DDE0" w:sz="2"/>
            </w:tcBorders>
            <w:shd w:fill="FAFBFB"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Ángulo camerular del ojo {L} abierto en los cuatro cuadrantes, con estructuras identificables hasta banda ciliar por gonioscopía estática, sin sinequias anteriores periféricas ni pigmentación anómala.</w:t>
            </w:r>
          </w:p>
        </w:tc>
      </w:tr>
      <w:tr>
        <w:tc>
          <w:tcPr>
            <w:tcW w:type="dxa" w:w="15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Gonioscopía</w:t>
            </w:r>
          </w:p>
        </w:tc>
        <w:tc>
          <w:tcPr>
            <w:tcW w:type="dxa" w:w="19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Gonioscopía dinámica con indentación</w:t>
            </w:r>
          </w:p>
        </w:tc>
        <w:tc>
          <w:tcPr>
            <w:tcW w:type="dxa" w:w="3119"/>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Ángulo camerular de ambos ojos abierto en los cuatro cuadrantes, con estructuras identificables hasta banda ciliar y apertura confirmada por indentación dinámica, sin sinequias anteriores periféricas ni pigmentación anómala.</w:t>
            </w:r>
          </w:p>
        </w:tc>
        <w:tc>
          <w:tcPr>
            <w:tcW w:type="dxa" w:w="3119"/>
            <w:tcBorders>
              <w:top w:val="single" w:color="D9DDE0" w:sz="2"/>
              <w:left w:val="single" w:color="D9DDE0" w:sz="2"/>
              <w:bottom w:val="single" w:color="D9DDE0" w:sz="2"/>
              <w:right w:val="single" w:color="D9DDE0" w:sz="2"/>
            </w:tcBorders>
            <w:shd w:fill="FAFBFB"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Ángulo camerular del ojo {L} abierto en los cuatro cuadrantes, con estructuras identificables hasta banda ciliar y apertura confirmada por indentación dinámica, sin sinequias anteriores periféricas ni pigmentación anómala.</w:t>
            </w:r>
          </w:p>
        </w:tc>
      </w:tr>
      <w:tr>
        <w:tc>
          <w:tcPr>
            <w:tcW w:type="dxa" w:w="15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Campos visuales por confrontación</w:t>
            </w:r>
          </w:p>
        </w:tc>
        <w:tc>
          <w:tcPr>
            <w:tcW w:type="dxa" w:w="19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Confrontación</w:t>
            </w:r>
          </w:p>
        </w:tc>
        <w:tc>
          <w:tcPr>
            <w:tcW w:type="dxa" w:w="3119"/>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Campos visuales conservados en los cuatro cuadrantes de ambos ojos por prueba de confrontación.</w:t>
            </w:r>
          </w:p>
        </w:tc>
        <w:tc>
          <w:tcPr>
            <w:tcW w:type="dxa" w:w="3119"/>
            <w:tcBorders>
              <w:top w:val="single" w:color="D9DDE0" w:sz="2"/>
              <w:left w:val="single" w:color="D9DDE0" w:sz="2"/>
              <w:bottom w:val="single" w:color="D9DDE0" w:sz="2"/>
              <w:right w:val="single" w:color="D9DDE0" w:sz="2"/>
            </w:tcBorders>
            <w:shd w:fill="FAFBFB"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Campos visuales del ojo {L} conservados en los cuatro cuadrantes por prueba de confrontación.</w:t>
            </w:r>
          </w:p>
        </w:tc>
      </w:tr>
      <w:tr>
        <w:tc>
          <w:tcPr>
            <w:tcW w:type="dxa" w:w="15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Visión cromática</w:t>
            </w:r>
          </w:p>
        </w:tc>
        <w:tc>
          <w:tcPr>
            <w:tcW w:type="dxa" w:w="19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Láminas pseudoisocromáticas</w:t>
            </w:r>
          </w:p>
        </w:tc>
        <w:tc>
          <w:tcPr>
            <w:tcW w:type="dxa" w:w="3119"/>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Visión cromática conservada en ambos ojos mediante láminas pseudoisocromáticas.</w:t>
            </w:r>
          </w:p>
        </w:tc>
        <w:tc>
          <w:tcPr>
            <w:tcW w:type="dxa" w:w="3119"/>
            <w:tcBorders>
              <w:top w:val="single" w:color="D9DDE0" w:sz="2"/>
              <w:left w:val="single" w:color="D9DDE0" w:sz="2"/>
              <w:bottom w:val="single" w:color="D9DDE0" w:sz="2"/>
              <w:right w:val="single" w:color="D9DDE0" w:sz="2"/>
            </w:tcBorders>
            <w:shd w:fill="FAFBFB"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Visión cromática del ojo {L} conservada mediante láminas pseudoisocromáticas.</w:t>
            </w:r>
          </w:p>
        </w:tc>
      </w:tr>
    </w:tbl>
    <w:p>
      <w:pPr>
        <w:spacing w:after="140"/>
      </w:pPr>
    </w:p>
    <w:tbl>
      <w:tblPr>
        <w:tblW w:type="dxa" w:w="9638"/>
        <w:tblBorders>
          <w:top w:val="single" w:color="D9DDE0" w:sz="2"/>
          <w:left w:val="single" w:color="00ADBB" w:sz="18"/>
          <w:bottom w:val="single" w:color="D9DDE0" w:sz="2"/>
          <w:right w:val="single" w:color="D9DDE0" w:sz="2"/>
          <w:insideH w:val="single" w:color="auto" w:sz="4"/>
          <w:insideV w:val="single" w:color="auto" w:sz="4"/>
        </w:tblBorders>
      </w:tblPr>
      <w:tblGrid>
        <w:gridCol w:w="9638"/>
      </w:tblGrid>
      <w:tr>
        <w:tc>
          <w:tcPr>
            <w:tcW w:type="dxa" w:w="9638"/>
            <w:tcBorders>
              <w:top w:val="single" w:color="D9DDE0" w:sz="2"/>
              <w:left w:val="single" w:color="00ADBB" w:sz="18"/>
              <w:bottom w:val="single" w:color="D9DDE0" w:sz="2"/>
              <w:right w:val="single" w:color="D9DDE0" w:sz="2"/>
            </w:tcBorders>
            <w:shd w:fill="FEECEC" w:val="clear"/>
            <w:tcMar>
              <w:top w:type="dxa" w:w="110"/>
              <w:left w:type="dxa" w:w="160"/>
              <w:bottom w:type="dxa" w:w="110"/>
              <w:right w:type="dxa" w:w="140"/>
            </w:tcMar>
          </w:tcPr>
          <w:p>
            <w:pPr>
              <w:spacing w:after="40" w:line="250"/>
            </w:pPr>
            <w:r>
              <w:rPr>
                <w:rFonts w:ascii="Arial" w:cs="Arial" w:eastAsia="Arial" w:hAnsi="Arial"/>
                <w:b/>
                <w:bCs/>
                <w:color w:val="263545"/>
                <w:sz w:val="18"/>
                <w:szCs w:val="18"/>
              </w:rPr>
              <w:t xml:space="preserve">Por qué retina periférica y gonioscopía se separan por método</w:t>
            </w:r>
          </w:p>
          <w:p>
            <w:pPr>
              <w:spacing w:after="0" w:line="264"/>
            </w:pPr>
            <w:r>
              <w:rPr>
                <w:rFonts w:ascii="Arial" w:cs="Arial" w:eastAsia="Arial" w:hAnsi="Arial"/>
                <w:color w:val="1A1A1A"/>
                <w:sz w:val="18"/>
                <w:szCs w:val="18"/>
              </w:rPr>
              <w:t xml:space="preserve">La versión preliminar de este catálogo contenía una sola frase para retina periférica que afirmaba ausencia de desgarros en los cuatro cuadrantes. Esa afirmación solo es sostenible cuando se exploró con indentación escleral o con lente de tres espejos, y en la práctica clínica no siempre se indenta. Una frase por omisión que afirme más de lo que el método alcanza convierte al expediente en un riesgo en lugar de una defensa. Por esa razón ambas regiones quedan fuera del núcleo, se abren de forma deliberada y exigen declarar el método antes de emitir descripción alguna.</w:t>
            </w:r>
          </w:p>
        </w:tc>
      </w:tr>
    </w:tbl>
    <w:p>
      <w:pPr>
        <w:spacing w:after="280"/>
      </w:pPr>
    </w:p>
    <w:tbl>
      <w:tblPr>
        <w:tblW w:type="dxa" w:w="9638"/>
        <w:tblBorders>
          <w:top w:val="none"/>
          <w:left w:val="none"/>
          <w:bottom w:val="none"/>
          <w:right w:val="none"/>
          <w:insideH w:val="single" w:color="auto" w:sz="4"/>
          <w:insideV w:val="single" w:color="auto" w:sz="4"/>
        </w:tblBorders>
      </w:tblPr>
      <w:tblGrid>
        <w:gridCol w:w="9638"/>
      </w:tblGrid>
      <w:tr>
        <w:tc>
          <w:tcPr>
            <w:tcW w:type="dxa" w:w="9638"/>
            <w:tcBorders>
              <w:top w:val="none"/>
              <w:left w:val="none"/>
              <w:bottom w:val="none"/>
              <w:right w:val="none"/>
            </w:tcBorders>
            <w:shd w:fill="263545" w:val="clear"/>
            <w:tcMar>
              <w:top w:type="dxa" w:w="90"/>
              <w:left w:type="dxa" w:w="140"/>
              <w:bottom w:type="dxa" w:w="90"/>
              <w:right w:type="dxa" w:w="140"/>
            </w:tcMar>
          </w:tcPr>
          <w:p>
            <w:pPr>
              <w:spacing w:after="0" w:line="240"/>
            </w:pPr>
            <w:r>
              <w:rPr>
                <w:rFonts w:ascii="Arial" w:cs="Arial" w:eastAsia="Arial" w:hAnsi="Arial"/>
                <w:b/>
                <w:bCs/>
                <w:color w:val="FFFFFF"/>
                <w:sz w:val="21"/>
                <w:szCs w:val="21"/>
              </w:rPr>
              <w:t xml:space="preserve">10.  FRONTERAS DEL CATÁLOGO</w:t>
            </w:r>
          </w:p>
        </w:tc>
      </w:tr>
    </w:tbl>
    <w:p>
      <w:pPr>
        <w:spacing w:after="120"/>
      </w:pPr>
    </w:p>
    <w:p>
      <w:pPr>
        <w:spacing w:after="100" w:before="0" w:line="264"/>
      </w:pPr>
      <w:r>
        <w:rPr>
          <w:rFonts w:ascii="Arial" w:cs="Arial" w:eastAsia="Arial" w:hAnsi="Arial"/>
          <w:color w:val="1A1A1A"/>
          <w:sz w:val="19"/>
          <w:szCs w:val="19"/>
        </w:rPr>
        <w:t xml:space="preserve">Este anexo contiene un solo tipo de contenido. Confundirlo con los otros tres es el error que infla los expedientes electrónicos hasta volverlos inoperables.</w:t>
      </w:r>
    </w:p>
    <w:p>
      <w:pPr>
        <w:spacing w:after="60"/>
      </w:pPr>
    </w:p>
    <w:tbl>
      <w:tblPr>
        <w:tblW w:type="dxa" w:w="9638"/>
        <w:tblBorders>
          <w:top w:val="single" w:color="D9DDE0" w:sz="2"/>
          <w:left w:val="single" w:color="D9DDE0" w:sz="2"/>
          <w:bottom w:val="single" w:color="D9DDE0" w:sz="2"/>
          <w:right w:val="single" w:color="D9DDE0" w:sz="2"/>
          <w:insideH w:val="single" w:color="auto" w:sz="4"/>
          <w:insideV w:val="single" w:color="auto" w:sz="4"/>
        </w:tblBorders>
      </w:tblPr>
      <w:tblGrid>
        <w:gridCol w:w="3000"/>
        <w:gridCol w:w="3200"/>
        <w:gridCol w:w="3438"/>
      </w:tblGrid>
      <w:tr>
        <w:tc>
          <w:tcPr>
            <w:tcW w:type="dxa" w:w="3000"/>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Tipo de dato</w:t>
            </w:r>
          </w:p>
        </w:tc>
        <w:tc>
          <w:tcPr>
            <w:tcW w:type="dxa" w:w="3200"/>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Ejemplos</w:t>
            </w:r>
          </w:p>
        </w:tc>
        <w:tc>
          <w:tcPr>
            <w:tcW w:type="dxa" w:w="3438"/>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Dónde vive</w:t>
            </w:r>
          </w:p>
        </w:tc>
      </w:tr>
      <w:tr>
        <w:tc>
          <w:tcPr>
            <w:tcW w:type="dxa" w:w="30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Descripción de hallazgo esperado</w:t>
            </w:r>
          </w:p>
        </w:tc>
        <w:tc>
          <w:tcPr>
            <w:tcW w:type="dxa" w:w="32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«Cristalino de ambos ojos transparente y en posición central.»</w:t>
            </w:r>
          </w:p>
        </w:tc>
        <w:tc>
          <w:tcPr>
            <w:tcW w:type="dxa" w:w="3438"/>
            <w:tcBorders>
              <w:top w:val="single" w:color="D9DDE0" w:sz="2"/>
              <w:left w:val="single" w:color="D9DDE0" w:sz="2"/>
              <w:bottom w:val="single" w:color="D9DDE0" w:sz="2"/>
              <w:right w:val="single" w:color="D9DDE0" w:sz="2"/>
            </w:tcBorders>
            <w:shd w:fill="E8F5EE"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Este anexo A.12. Es el estado por omisión de la región.</w:t>
            </w:r>
          </w:p>
        </w:tc>
      </w:tr>
      <w:tr>
        <w:tc>
          <w:tcPr>
            <w:tcW w:type="dxa" w:w="30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Hallazgo</w:t>
            </w:r>
          </w:p>
        </w:tc>
        <w:tc>
          <w:tcPr>
            <w:tcW w:type="dxa" w:w="32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Chalazión, infiltrado estromal, sinequias posteriores, desgarro retiniano.</w:t>
            </w:r>
          </w:p>
        </w:tc>
        <w:tc>
          <w:tcPr>
            <w:tcW w:type="dxa" w:w="3438"/>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Anexo A.13 — Catálogo de Hallazgos por Región, con sus atributos y modificadores.</w:t>
            </w:r>
          </w:p>
        </w:tc>
      </w:tr>
      <w:tr>
        <w:tc>
          <w:tcPr>
            <w:tcW w:type="dxa" w:w="30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Medida</w:t>
            </w:r>
          </w:p>
        </w:tc>
        <w:tc>
          <w:tcPr>
            <w:tcW w:type="dxa" w:w="32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Presión intraocular, tiempo de ruptura lagrimal, prueba de Schirmer, excavación papilar, paquimetría, agudeza visual.</w:t>
            </w:r>
          </w:p>
        </w:tc>
        <w:tc>
          <w:tcPr>
            <w:tcW w:type="dxa" w:w="3438"/>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Campo numérico con unidad, historial y comparación cronológica. No pasa por el motor de hallazgos. Su definición operativa —obligatoriedad, unidades, rangos y presentación— vive en el Anexo A.14.</w:t>
            </w:r>
          </w:p>
        </w:tc>
      </w:tr>
      <w:tr>
        <w:tc>
          <w:tcPr>
            <w:tcW w:type="dxa" w:w="30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Comportamiento del sistema</w:t>
            </w:r>
          </w:p>
        </w:tc>
        <w:tc>
          <w:tcPr>
            <w:tcW w:type="dxa" w:w="32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Estados de módulo, conjugación, inmutabilidad tras la firma, adendas.</w:t>
            </w:r>
          </w:p>
        </w:tc>
        <w:tc>
          <w:tcPr>
            <w:tcW w:type="dxa" w:w="3438"/>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Anexo A.14 — Especificación del Wizard de Consulta y Motor de Hallazgos.</w:t>
            </w:r>
          </w:p>
        </w:tc>
      </w:tr>
    </w:tbl>
    <w:p>
      <w:pPr>
        <w:spacing w:after="140"/>
      </w:pPr>
    </w:p>
    <w:tbl>
      <w:tblPr>
        <w:tblW w:type="dxa" w:w="9638"/>
        <w:tblBorders>
          <w:top w:val="single" w:color="D9DDE0" w:sz="2"/>
          <w:left w:val="single" w:color="00ADBB" w:sz="18"/>
          <w:bottom w:val="single" w:color="D9DDE0" w:sz="2"/>
          <w:right w:val="single" w:color="D9DDE0" w:sz="2"/>
          <w:insideH w:val="single" w:color="auto" w:sz="4"/>
          <w:insideV w:val="single" w:color="auto" w:sz="4"/>
        </w:tblBorders>
      </w:tblPr>
      <w:tblGrid>
        <w:gridCol w:w="9638"/>
      </w:tblGrid>
      <w:tr>
        <w:tc>
          <w:tcPr>
            <w:tcW w:type="dxa" w:w="9638"/>
            <w:tcBorders>
              <w:top w:val="single" w:color="D9DDE0" w:sz="2"/>
              <w:left w:val="single" w:color="00ADBB" w:sz="18"/>
              <w:bottom w:val="single" w:color="D9DDE0" w:sz="2"/>
              <w:right w:val="single" w:color="D9DDE0" w:sz="2"/>
            </w:tcBorders>
            <w:shd w:fill="F2F4F5" w:val="clear"/>
            <w:tcMar>
              <w:top w:type="dxa" w:w="110"/>
              <w:left w:type="dxa" w:w="160"/>
              <w:bottom w:type="dxa" w:w="110"/>
              <w:right w:type="dxa" w:w="140"/>
            </w:tcMar>
          </w:tcPr>
          <w:p>
            <w:pPr>
              <w:spacing w:after="40" w:line="250"/>
            </w:pPr>
            <w:r>
              <w:rPr>
                <w:rFonts w:ascii="Arial" w:cs="Arial" w:eastAsia="Arial" w:hAnsi="Arial"/>
                <w:b/>
                <w:bCs/>
                <w:color w:val="263545"/>
                <w:sz w:val="18"/>
                <w:szCs w:val="18"/>
              </w:rPr>
              <w:t xml:space="preserve">Regla de precedencia entre medida y descripción</w:t>
            </w:r>
          </w:p>
          <w:p>
            <w:pPr>
              <w:spacing w:after="0" w:line="264"/>
            </w:pPr>
            <w:r>
              <w:rPr>
                <w:rFonts w:ascii="Arial" w:cs="Arial" w:eastAsia="Arial" w:hAnsi="Arial"/>
                <w:color w:val="1A1A1A"/>
                <w:sz w:val="18"/>
                <w:szCs w:val="18"/>
              </w:rPr>
              <w:t xml:space="preserve">Cuando una región tiene una medida capturada, la medida sustituye a la parte correspondiente de la descripción esperada en lugar de sumarse a ella. Si se registra un tiempo de ruptura lagrimal, la nota imprime el valor obtenido en lugar de afirmar que la película lagrimal es íntegra. El expediente nunca debe contener a la vez una medida y una afirmación genérica que la duplique o la contradiga.</w:t>
            </w:r>
          </w:p>
        </w:tc>
      </w:tr>
    </w:tbl>
    <w:p>
      <w:pPr>
        <w:spacing w:after="280"/>
      </w:pPr>
    </w:p>
    <w:tbl>
      <w:tblPr>
        <w:tblW w:type="dxa" w:w="9638"/>
        <w:tblBorders>
          <w:top w:val="none"/>
          <w:left w:val="none"/>
          <w:bottom w:val="none"/>
          <w:right w:val="none"/>
          <w:insideH w:val="single" w:color="auto" w:sz="4"/>
          <w:insideV w:val="single" w:color="auto" w:sz="4"/>
        </w:tblBorders>
      </w:tblPr>
      <w:tblGrid>
        <w:gridCol w:w="9638"/>
      </w:tblGrid>
      <w:tr>
        <w:tc>
          <w:tcPr>
            <w:tcW w:type="dxa" w:w="9638"/>
            <w:tcBorders>
              <w:top w:val="none"/>
              <w:left w:val="none"/>
              <w:bottom w:val="none"/>
              <w:right w:val="none"/>
            </w:tcBorders>
            <w:shd w:fill="263545" w:val="clear"/>
            <w:tcMar>
              <w:top w:type="dxa" w:w="90"/>
              <w:left w:type="dxa" w:w="140"/>
              <w:bottom w:type="dxa" w:w="90"/>
              <w:right w:type="dxa" w:w="140"/>
            </w:tcMar>
          </w:tcPr>
          <w:p>
            <w:pPr>
              <w:spacing w:after="0" w:line="240"/>
            </w:pPr>
            <w:r>
              <w:rPr>
                <w:rFonts w:ascii="Arial" w:cs="Arial" w:eastAsia="Arial" w:hAnsi="Arial"/>
                <w:b/>
                <w:bCs/>
                <w:color w:val="FFFFFF"/>
                <w:sz w:val="21"/>
                <w:szCs w:val="21"/>
              </w:rPr>
              <w:t xml:space="preserve">11.  GOBIERNO DEL CATÁLOGO</w:t>
            </w:r>
          </w:p>
        </w:tc>
      </w:tr>
    </w:tbl>
    <w:p>
      <w:pPr>
        <w:spacing w:after="120"/>
      </w:pPr>
    </w:p>
    <w:tbl>
      <w:tblPr>
        <w:tblW w:type="dxa" w:w="9638"/>
        <w:tblBorders>
          <w:top w:val="single" w:color="D9DDE0" w:sz="2"/>
          <w:left w:val="single" w:color="D9DDE0" w:sz="2"/>
          <w:bottom w:val="single" w:color="D9DDE0" w:sz="2"/>
          <w:right w:val="single" w:color="D9DDE0" w:sz="2"/>
          <w:insideH w:val="single" w:color="auto" w:sz="4"/>
          <w:insideV w:val="single" w:color="auto" w:sz="4"/>
        </w:tblBorders>
      </w:tblPr>
      <w:tblGrid>
        <w:gridCol w:w="2600"/>
        <w:gridCol w:w="7038"/>
      </w:tblGrid>
      <w:tr>
        <w:tc>
          <w:tcPr>
            <w:tcW w:type="dxa" w:w="2600"/>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Regla</w:t>
            </w:r>
          </w:p>
        </w:tc>
        <w:tc>
          <w:tcPr>
            <w:tcW w:type="dxa" w:w="7038"/>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Descripción</w:t>
            </w:r>
          </w:p>
        </w:tc>
      </w:tr>
      <w:tr>
        <w:tc>
          <w:tcPr>
            <w:tcW w:type="dxa" w:w="26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Fuente única</w:t>
            </w:r>
          </w:p>
        </w:tc>
        <w:tc>
          <w:tcPr>
            <w:tcW w:type="dxa" w:w="70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Estas frases viven únicamente en este anexo. El sistema las consume por referencia y no las conserva escritas en su código. Ningún otro documento del Manual las transcribe.</w:t>
            </w:r>
          </w:p>
        </w:tc>
      </w:tr>
      <w:tr>
        <w:tc>
          <w:tcPr>
            <w:tcW w:type="dxa" w:w="26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Versión sellada en el expediente</w:t>
            </w:r>
          </w:p>
        </w:tc>
        <w:tc>
          <w:tcPr>
            <w:tcW w:type="dxa" w:w="70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Cada nota firmada conserva la versión del catálogo con la que se generó. Al emitirse una versión nueva, los expedientes anteriores no se modifican ni se regeneran.</w:t>
            </w:r>
          </w:p>
        </w:tc>
      </w:tr>
      <w:tr>
        <w:tc>
          <w:tcPr>
            <w:tcW w:type="dxa" w:w="26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Autoridad de cambio</w:t>
            </w:r>
          </w:p>
        </w:tc>
        <w:tc>
          <w:tcPr>
            <w:tcW w:type="dxa" w:w="70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Toda modificación de una frase requiere aprobación de la Directora Médica y emisión de versión nueva de este anexo. No se corrige una frase directamente en el sistema.</w:t>
            </w:r>
          </w:p>
        </w:tc>
      </w:tr>
      <w:tr>
        <w:tc>
          <w:tcPr>
            <w:tcW w:type="dxa" w:w="26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Edición en el momento</w:t>
            </w:r>
          </w:p>
        </w:tc>
        <w:tc>
          <w:tcPr>
            <w:tcW w:type="dxa" w:w="70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El médico tratante puede editar libremente la descripción durante la consulta, antes de firmar. El sistema registra que la frase fue editada, sin impedirlo ni señalarlo en la nota impresa.</w:t>
            </w:r>
          </w:p>
        </w:tc>
      </w:tr>
      <w:tr>
        <w:tc>
          <w:tcPr>
            <w:tcW w:type="dxa" w:w="26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Crecimiento con la práctica real</w:t>
            </w:r>
          </w:p>
        </w:tc>
        <w:tc>
          <w:tcPr>
            <w:tcW w:type="dxa" w:w="70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Las ediciones que se repiten se revisan de forma mensual junto con los términos capturados como «otro» en el Anexo A.13. Lo que se repite se incorpora al catálogo. El catálogo crece con la práctica observada, no con supuestos.</w:t>
            </w:r>
          </w:p>
        </w:tc>
      </w:tr>
      <w:tr>
        <w:tc>
          <w:tcPr>
            <w:tcW w:type="dxa" w:w="26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Inmutabilidad tras la firma</w:t>
            </w:r>
          </w:p>
        </w:tc>
        <w:tc>
          <w:tcPr>
            <w:tcW w:type="dxa" w:w="70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Firmada la nota, su texto no se edita. Toda corrección posterior entra como adenda fechada y firmada. Es el equivalente digital del requisito de la NOM-004 de expedientes sin enmendaduras ni tachaduras.</w:t>
            </w:r>
          </w:p>
        </w:tc>
      </w:tr>
    </w:tbl>
    <w:p>
      <w:pPr>
        <w:spacing w:after="280"/>
      </w:pPr>
    </w:p>
    <w:tbl>
      <w:tblPr>
        <w:tblW w:type="dxa" w:w="9638"/>
        <w:tblBorders>
          <w:top w:val="none"/>
          <w:left w:val="none"/>
          <w:bottom w:val="none"/>
          <w:right w:val="none"/>
          <w:insideH w:val="single" w:color="auto" w:sz="4"/>
          <w:insideV w:val="single" w:color="auto" w:sz="4"/>
        </w:tblBorders>
      </w:tblPr>
      <w:tblGrid>
        <w:gridCol w:w="9638"/>
      </w:tblGrid>
      <w:tr>
        <w:tc>
          <w:tcPr>
            <w:tcW w:type="dxa" w:w="9638"/>
            <w:tcBorders>
              <w:top w:val="none"/>
              <w:left w:val="none"/>
              <w:bottom w:val="none"/>
              <w:right w:val="none"/>
            </w:tcBorders>
            <w:shd w:fill="263545" w:val="clear"/>
            <w:tcMar>
              <w:top w:type="dxa" w:w="90"/>
              <w:left w:type="dxa" w:w="140"/>
              <w:bottom w:type="dxa" w:w="90"/>
              <w:right w:type="dxa" w:w="140"/>
            </w:tcMar>
          </w:tcPr>
          <w:p>
            <w:pPr>
              <w:spacing w:after="0" w:line="240"/>
            </w:pPr>
            <w:r>
              <w:rPr>
                <w:rFonts w:ascii="Arial" w:cs="Arial" w:eastAsia="Arial" w:hAnsi="Arial"/>
                <w:b/>
                <w:bCs/>
                <w:color w:val="FFFFFF"/>
                <w:sz w:val="21"/>
                <w:szCs w:val="21"/>
              </w:rPr>
              <w:t xml:space="preserve">12.  CRITERIO DE VERIFICACIÓN</w:t>
            </w:r>
          </w:p>
        </w:tc>
      </w:tr>
    </w:tbl>
    <w:p>
      <w:pPr>
        <w:spacing w:after="120"/>
      </w:pPr>
    </w:p>
    <w:tbl>
      <w:tblPr>
        <w:tblW w:type="dxa" w:w="9638"/>
        <w:tblBorders>
          <w:top w:val="single" w:color="D9DDE0" w:sz="2"/>
          <w:left w:val="single" w:color="D9DDE0" w:sz="2"/>
          <w:bottom w:val="single" w:color="D9DDE0" w:sz="2"/>
          <w:right w:val="single" w:color="D9DDE0" w:sz="2"/>
          <w:insideH w:val="single" w:color="auto" w:sz="4"/>
          <w:insideV w:val="single" w:color="auto" w:sz="4"/>
        </w:tblBorders>
      </w:tblPr>
      <w:tblGrid>
        <w:gridCol w:w="700"/>
        <w:gridCol w:w="6300"/>
        <w:gridCol w:w="2638"/>
      </w:tblGrid>
      <w:tr>
        <w:tc>
          <w:tcPr>
            <w:tcW w:type="dxa" w:w="700"/>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
            </w:r>
          </w:p>
        </w:tc>
        <w:tc>
          <w:tcPr>
            <w:tcW w:type="dxa" w:w="6300"/>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Condición de verificación</w:t>
            </w:r>
          </w:p>
        </w:tc>
        <w:tc>
          <w:tcPr>
            <w:tcW w:type="dxa" w:w="2638"/>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Responsable</w:t>
            </w:r>
          </w:p>
        </w:tc>
      </w:tr>
      <w:tr>
        <w:tc>
          <w:tcPr>
            <w:tcW w:type="dxa" w:w="7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w:t>
            </w:r>
          </w:p>
        </w:tc>
        <w:tc>
          <w:tcPr>
            <w:tcW w:type="dxa" w:w="63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Las 23 regiones fueron revisadas frase por frase contra la regla 5: cada descripción es verdadera siempre que la región no tenga hallazgos registrados.</w:t>
            </w:r>
          </w:p>
        </w:tc>
        <w:tc>
          <w:tcPr>
            <w:tcW w:type="dxa" w:w="26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Directora Médica</w:t>
            </w:r>
          </w:p>
        </w:tc>
      </w:tr>
      <w:tr>
        <w:tc>
          <w:tcPr>
            <w:tcW w:type="dxa" w:w="7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w:t>
            </w:r>
          </w:p>
        </w:tc>
        <w:tc>
          <w:tcPr>
            <w:tcW w:type="dxa" w:w="63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Retina periférica y gonioscopía están fuera del núcleo y no emiten descripción sin método declarado.</w:t>
            </w:r>
          </w:p>
        </w:tc>
        <w:tc>
          <w:tcPr>
            <w:tcW w:type="dxa" w:w="26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Directora Médica</w:t>
            </w:r>
          </w:p>
        </w:tc>
      </w:tr>
      <w:tr>
        <w:tc>
          <w:tcPr>
            <w:tcW w:type="dxa" w:w="7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w:t>
            </w:r>
          </w:p>
        </w:tc>
        <w:tc>
          <w:tcPr>
            <w:tcW w:type="dxa" w:w="63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Ninguna frase contiene abreviaturas ni cifras variables.</w:t>
            </w:r>
          </w:p>
        </w:tc>
        <w:tc>
          <w:tcPr>
            <w:tcW w:type="dxa" w:w="26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Dirección General</w:t>
            </w:r>
          </w:p>
        </w:tc>
      </w:tr>
      <w:tr>
        <w:tc>
          <w:tcPr>
            <w:tcW w:type="dxa" w:w="7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w:t>
            </w:r>
          </w:p>
        </w:tc>
        <w:tc>
          <w:tcPr>
            <w:tcW w:type="dxa" w:w="63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Las 26 descripciones unilaterales fueron revisadas de forma independiente de sus equivalentes bilaterales, y no por comparación con ellas.</w:t>
            </w:r>
          </w:p>
        </w:tc>
        <w:tc>
          <w:tcPr>
            <w:tcW w:type="dxa" w:w="26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Directora Médica</w:t>
            </w:r>
          </w:p>
        </w:tc>
      </w:tr>
      <w:tr>
        <w:tc>
          <w:tcPr>
            <w:tcW w:type="dxa" w:w="7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w:t>
            </w:r>
          </w:p>
        </w:tc>
        <w:tc>
          <w:tcPr>
            <w:tcW w:type="dxa" w:w="63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El sistema consume las frases por referencia al catálogo y sella la versión en cada nota firmada.</w:t>
            </w:r>
          </w:p>
        </w:tc>
        <w:tc>
          <w:tcPr>
            <w:tcW w:type="dxa" w:w="26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Dirección General</w:t>
            </w:r>
          </w:p>
        </w:tc>
      </w:tr>
      <w:tr>
        <w:tc>
          <w:tcPr>
            <w:tcW w:type="dxa" w:w="7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w:t>
            </w:r>
          </w:p>
        </w:tc>
        <w:tc>
          <w:tcPr>
            <w:tcW w:type="dxa" w:w="63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Se verificó en al menos una consulta de prueba que un módulo con exploración en «No» no imprime nada en la nota ni en el reporte.</w:t>
            </w:r>
          </w:p>
        </w:tc>
        <w:tc>
          <w:tcPr>
            <w:tcW w:type="dxa" w:w="26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Médico tratante</w:t>
            </w:r>
          </w:p>
        </w:tc>
      </w:tr>
      <w:tr>
        <w:tc>
          <w:tcPr>
            <w:tcW w:type="dxa" w:w="7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w:t>
            </w:r>
          </w:p>
        </w:tc>
        <w:tc>
          <w:tcPr>
            <w:tcW w:type="dxa" w:w="63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Se probó un caso de calidades mixtas dentro de un mismo módulo: una región concluyente con hallazgo y otras de visualización nula por opacidad de medios, con agrupamiento correcto en la nota resultante.</w:t>
            </w:r>
          </w:p>
        </w:tc>
        <w:tc>
          <w:tcPr>
            <w:tcW w:type="dxa" w:w="26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Médico tratante</w:t>
            </w:r>
          </w:p>
        </w:tc>
      </w:tr>
      <w:tr>
        <w:tc>
          <w:tcPr>
            <w:tcW w:type="dxa" w:w="7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w:t>
            </w:r>
          </w:p>
        </w:tc>
        <w:tc>
          <w:tcPr>
            <w:tcW w:type="dxa" w:w="63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Se probó un caso de visualización limitada y se confirmó que no se emite descripción de hallazgo esperado, que el motivo es obligatorio y que el texto libre se suma a la declaración de alcance.</w:t>
            </w:r>
          </w:p>
        </w:tc>
        <w:tc>
          <w:tcPr>
            <w:tcW w:type="dxa" w:w="26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Directora Médica</w:t>
            </w:r>
          </w:p>
        </w:tc>
      </w:tr>
      <w:tr>
        <w:tc>
          <w:tcPr>
            <w:tcW w:type="dxa" w:w="7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w:t>
            </w:r>
          </w:p>
        </w:tc>
        <w:tc>
          <w:tcPr>
            <w:tcW w:type="dxa" w:w="63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Se intentó registrar un hallazgo en una región de visualización nula y el sistema ofreció convertirla a limitada conservando el dato.</w:t>
            </w:r>
          </w:p>
        </w:tc>
        <w:tc>
          <w:tcPr>
            <w:tcW w:type="dxa" w:w="26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Médico tratante</w:t>
            </w:r>
          </w:p>
        </w:tc>
      </w:tr>
      <w:tr>
        <w:tc>
          <w:tcPr>
            <w:tcW w:type="dxa" w:w="7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w:t>
            </w:r>
          </w:p>
        </w:tc>
        <w:tc>
          <w:tcPr>
            <w:tcW w:type="dxa" w:w="63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Se probó una región declarada no explorada dentro de un módulo explorado, y se confirmó que no imprime descripción ni motivo, a diferencia de la visualización nula.</w:t>
            </w:r>
          </w:p>
        </w:tc>
        <w:tc>
          <w:tcPr>
            <w:tcW w:type="dxa" w:w="26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Médico tratante</w:t>
            </w:r>
          </w:p>
        </w:tc>
      </w:tr>
      <w:tr>
        <w:tc>
          <w:tcPr>
            <w:tcW w:type="dxa" w:w="7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w:t>
            </w:r>
          </w:p>
        </w:tc>
        <w:tc>
          <w:tcPr>
            <w:tcW w:type="dxa" w:w="63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Se probó una región con declaraciones distintas en cada ojo y se confirmó que la nota emplea las dos descripciones unilaterales en lugar de la bilateral.</w:t>
            </w:r>
          </w:p>
        </w:tc>
        <w:tc>
          <w:tcPr>
            <w:tcW w:type="dxa" w:w="26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Médico tratante</w:t>
            </w:r>
          </w:p>
        </w:tc>
      </w:tr>
    </w:tbl>
    <w:p>
      <w:pPr>
        <w:spacing w:after="280"/>
      </w:pPr>
    </w:p>
    <w:tbl>
      <w:tblPr>
        <w:tblW w:type="dxa" w:w="9638"/>
        <w:tblBorders>
          <w:top w:val="none"/>
          <w:left w:val="none"/>
          <w:bottom w:val="none"/>
          <w:right w:val="none"/>
          <w:insideH w:val="single" w:color="auto" w:sz="4"/>
          <w:insideV w:val="single" w:color="auto" w:sz="4"/>
        </w:tblBorders>
      </w:tblPr>
      <w:tblGrid>
        <w:gridCol w:w="9638"/>
      </w:tblGrid>
      <w:tr>
        <w:tc>
          <w:tcPr>
            <w:tcW w:type="dxa" w:w="9638"/>
            <w:tcBorders>
              <w:top w:val="none"/>
              <w:left w:val="none"/>
              <w:bottom w:val="none"/>
              <w:right w:val="none"/>
            </w:tcBorders>
            <w:shd w:fill="263545" w:val="clear"/>
            <w:tcMar>
              <w:top w:type="dxa" w:w="90"/>
              <w:left w:type="dxa" w:w="140"/>
              <w:bottom w:type="dxa" w:w="90"/>
              <w:right w:type="dxa" w:w="140"/>
            </w:tcMar>
          </w:tcPr>
          <w:p>
            <w:pPr>
              <w:spacing w:after="0" w:line="240"/>
            </w:pPr>
            <w:r>
              <w:rPr>
                <w:rFonts w:ascii="Arial" w:cs="Arial" w:eastAsia="Arial" w:hAnsi="Arial"/>
                <w:b/>
                <w:bCs/>
                <w:color w:val="FFFFFF"/>
                <w:sz w:val="21"/>
                <w:szCs w:val="21"/>
              </w:rPr>
              <w:t xml:space="preserve">13.  CONTROL DE VERSIONES</w:t>
            </w:r>
          </w:p>
        </w:tc>
      </w:tr>
    </w:tbl>
    <w:p>
      <w:pPr>
        <w:spacing w:after="120"/>
      </w:pPr>
    </w:p>
    <w:tbl>
      <w:tblPr>
        <w:tblW w:type="dxa" w:w="9638"/>
        <w:tblBorders>
          <w:top w:val="single" w:color="D9DDE0" w:sz="2"/>
          <w:left w:val="single" w:color="D9DDE0" w:sz="2"/>
          <w:bottom w:val="single" w:color="D9DDE0" w:sz="2"/>
          <w:right w:val="single" w:color="D9DDE0" w:sz="2"/>
          <w:insideH w:val="single" w:color="auto" w:sz="4"/>
          <w:insideV w:val="single" w:color="auto" w:sz="4"/>
        </w:tblBorders>
      </w:tblPr>
      <w:tblGrid>
        <w:gridCol w:w="900"/>
        <w:gridCol w:w="1500"/>
        <w:gridCol w:w="5700"/>
        <w:gridCol w:w="1538"/>
      </w:tblGrid>
      <w:tr>
        <w:tc>
          <w:tcPr>
            <w:tcW w:type="dxa" w:w="900"/>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Ver.</w:t>
            </w:r>
          </w:p>
        </w:tc>
        <w:tc>
          <w:tcPr>
            <w:tcW w:type="dxa" w:w="1500"/>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Fecha</w:t>
            </w:r>
          </w:p>
        </w:tc>
        <w:tc>
          <w:tcPr>
            <w:tcW w:type="dxa" w:w="5700"/>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Descripción</w:t>
            </w:r>
          </w:p>
        </w:tc>
        <w:tc>
          <w:tcPr>
            <w:tcW w:type="dxa" w:w="1538"/>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Responsable</w:t>
            </w:r>
          </w:p>
        </w:tc>
      </w:tr>
      <w:tr>
        <w:tc>
          <w:tcPr>
            <w:tcW w:type="dxa" w:w="9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1.7</w:t>
            </w:r>
          </w:p>
        </w:tc>
        <w:tc>
          <w:tcPr>
            <w:tcW w:type="dxa" w:w="15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Agosto 2026</w:t>
            </w:r>
          </w:p>
        </w:tc>
        <w:tc>
          <w:tcPr>
            <w:tcW w:type="dxa" w:w="57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Corrección de coherencia del modelo señalada por el Director General. (1) La región deja de tener un único selector con cuatro valores y pasa a responder las mismas dos preguntas que el módulo: primero si se exploró, y solo entonces con qué calidad de visualización. El modelo anterior mezclaba dos vocabularios en un solo control y producía una contradicción visible en pantalla, al mostrar regiones «no exploradas» dentro de un módulo declarado explorado. Una región no explorada no es una calidad de visualización deficiente: es la ausencia del acto médico. (2) Los valores de calidad se renombran de forma explícita a Visualización concluyente, Visualización limitada y Visualización nula, eliminando la ambigüedad de una lista que mezclaba exploración y visualización. (3) La estructura queda simétrica en los dos niveles —módulo y región—, con lo que el control del módulo se define con precisión como un atajo que aplica el mismo par de declaraciones a todas sus regiones en ambos ojos. (4) La pregunta de visualización solo se muestra cuando la región se declaró explorada, y el motivo sigue siendo obligatorio en las visualizaciones limitada y nula.</w:t>
            </w:r>
          </w:p>
        </w:tc>
        <w:tc>
          <w:tcPr>
            <w:tcW w:type="dxa" w:w="15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Dirección General</w:t>
            </w:r>
          </w:p>
        </w:tc>
      </w:tr>
      <w:tr>
        <w:tc>
          <w:tcPr>
            <w:tcW w:type="dxa" w:w="9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1.6</w:t>
            </w:r>
          </w:p>
        </w:tc>
        <w:tc>
          <w:tcPr>
            <w:tcW w:type="dxa" w:w="15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Agosto 2026</w:t>
            </w:r>
          </w:p>
        </w:tc>
        <w:tc>
          <w:tcPr>
            <w:tcW w:type="dxa" w:w="57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Dos correcciones señaladas por el Director General. (1) El estado pasa a declararse por región y por ojo, y no por región. El caso que lo obliga es cotidiano: un hipema en el ojo derecho deja el iris derecho de visualización nula mientras el iris izquierdo se observa de forma concluyente, y un estado único por región obligaba a declarar ambos ojos igual, perdiendo información clínica verdadera. Los dos ojos operan enlazados por omisión para no duplicar la captura, y el enlace se rompe de manera deliberada cuando difieren; el enlace es comportamiento de interfaz y lo que se guarda es siempre la declaración de cada ojo por separado. (2) La segunda dimensión abandona el nombre «Detalle», adoptado en la v1.5, por no declarar qué se estaba calificando. Pasa a llamarse «Excepciones — Ninguna · Por región», con lo que los dos controles del módulo se leen como una sola frase: explorado, con excepciones por región. El término enlaza además con el vocabulario del modelo, que es documentación por excepción, en lugar de introducir una palabra nueva por control. (3) Regla de redacción de lateralidad del estado: ambos ojos con igual estado, motivo y ausencia de hallazgos emplean la descripción bilateral; si difieren en cualquiera de los tres, se emplean las dos unilaterales. No requiere frases adicionales al catálogo. (4) Regla de redacción 12 nueva: ningún hallazgo puede registrarse en un ojo cuyo estado sea No explorado o Nula, con verificación de congruencia por ojo. (5) Criterio de verificación nuevo para estados distintos entre ojos.</w:t>
            </w:r>
          </w:p>
        </w:tc>
        <w:tc>
          <w:tcPr>
            <w:tcW w:type="dxa" w:w="15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Dirección General</w:t>
            </w:r>
          </w:p>
        </w:tc>
      </w:tr>
      <w:tr>
        <w:tc>
          <w:tcPr>
            <w:tcW w:type="dxa" w:w="9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1.5</w:t>
            </w:r>
          </w:p>
        </w:tc>
        <w:tc>
          <w:tcPr>
            <w:tcW w:type="dxa" w:w="15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Agosto 2026</w:t>
            </w:r>
          </w:p>
        </w:tc>
        <w:tc>
          <w:tcPr>
            <w:tcW w:type="dxa" w:w="57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Corrección de un hueco detectado por el Director General: el modelo no permitía representar la exploración parcial de un módulo. (1) El estado de la región incorpora el valor «No explorado», que ya existía a nivel de módulo pero no a nivel de región. La distinción es legal y no cosmética: «No explorado» declara que la maniobra no se intentó y no afirma nada, mientras que «Nula» declara que se intentó y no rindió información, lo cual sí afirma que el acto médico ocurrió. El modelo anterior obligaba a registrar como no valorable una región que nunca se miró, produciendo una afirmación falsa. (2) Se descarta la alternativa de agregar el valor «Parcialmente» a la dimensión de exploración, por generar la combinación sin significado de exploración parcial con visualización completa. (3) El segundo control del módulo cambia de nombre: de «Visualización — Completa · Parcial» a «Detalle — Completo · Por región», al cubrir ahora tanto excepciones de exploración como de visualización. El nombre describe el mecanismo —descender a nivel de región— y no el juicio clínico. (4) Se declara de forma expresa que el detalle completo afirma la exploración de todas las regiones del módulo, y se incorpora la regla de redacción 11: una región que deba desmarcarse con frecuencia pertenece a los módulos opcionales, no al núcleo. (5) Criterio de verificación nuevo que distingue el comportamiento de No explorado frente al de Nula.</w:t>
            </w:r>
          </w:p>
        </w:tc>
        <w:tc>
          <w:tcPr>
            <w:tcW w:type="dxa" w:w="15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Dirección General</w:t>
            </w:r>
          </w:p>
        </w:tc>
      </w:tr>
      <w:tr>
        <w:tc>
          <w:tcPr>
            <w:tcW w:type="dxa" w:w="9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1.4</w:t>
            </w:r>
          </w:p>
        </w:tc>
        <w:tc>
          <w:tcPr>
            <w:tcW w:type="dxa" w:w="15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Agosto 2026</w:t>
            </w:r>
          </w:p>
        </w:tc>
        <w:tc>
          <w:tcPr>
            <w:tcW w:type="dxa" w:w="57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Corrección de un defecto detectado por el Director General al probar el generador de notas sobre el catálogo completo. (1) Se identifica que el catálogo publicaba únicamente la forma bilateral de cada descripción, lo que obligaba al generador a construir la forma unilateral por concatenación y producía texto duplicado del tipo «Vítreo de ambos ojos Vítreo de ambos ojos transparente». (2) Se retira la regla de conjugación automática de la v1.2 y v1.3, que presuponía que la sustitución mecánica de «de ambos ojos» era suficiente. No lo es: «Órbitas simétricas en ambos lados» no admite versión de un solo ojo y «Pupilas isocóricas» pierde sentido en singular, porque la isocoria es una comparación entre ambos ojos. (3) Cada renglón del catálogo pasa a publicar dos descripciones redactadas y aprobadas por separado, bilateral y unilateral, en todas las tablas de las secciones 6 a 9. (4) La forma unilateral adopta la construcción «del ojo derecho» y «del ojo izquierdo», con lo que el sistema sustituye un solo marcador y no requiere resolver concordancia de género. (5) Se declara que la posición de los ojos no admite forma unilateral, y se fija la regla general para toda región que describa una relación binocular. (6) Regla de redacción 10 nueva y criterio de verificación nuevo: las descripciones unilaterales se revisan de forma independiente, no por comparación con las bilaterales.</w:t>
            </w:r>
          </w:p>
        </w:tc>
        <w:tc>
          <w:tcPr>
            <w:tcW w:type="dxa" w:w="15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Dirección General</w:t>
            </w:r>
          </w:p>
        </w:tc>
      </w:tr>
      <w:tr>
        <w:tc>
          <w:tcPr>
            <w:tcW w:type="dxa" w:w="9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1.3</w:t>
            </w:r>
          </w:p>
        </w:tc>
        <w:tc>
          <w:tcPr>
            <w:tcW w:type="dxa" w:w="15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Agosto 2026</w:t>
            </w:r>
          </w:p>
        </w:tc>
        <w:tc>
          <w:tcPr>
            <w:tcW w:type="dxa" w:w="57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Precisiones solicitadas por el Director General en la revisión de la v1.2. El catálogo de frases no cambia. (1) La visualización nula incorpora el texto libre del médico tratante a lo que imprime, y se declara de forma expresa que no admite hallazgos: identificar una estructura o una lesión significa que la maniobra rindió información y corresponde a visualización limitada. (2) Se incorpora la regla de conversión: el sistema no bloquea el registro de un hallazgo en una región nula, advierte la incongruencia y ofrece cambiar la calidad a limitada conservando hallazgo y motivo. (3) La causa de la opacidad de medios deja de ser lista cerrada y pasa a campo aparte de catálogo abierto con búsqueda y texto libre, con enlace al hallazgo que la causa cuando ya está registrado en el expediente. (4) Se precisa en la sección de fronteras que la definición operativa de los campos numéricos —obligatoriedad, unidades, rangos y presentación— corresponde al Anexo A.14 y no a este documento. (5) Criterio de verificación nuevo para la regla de conversión.</w:t>
            </w:r>
          </w:p>
        </w:tc>
        <w:tc>
          <w:tcPr>
            <w:tcW w:type="dxa" w:w="15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Dirección General</w:t>
            </w:r>
          </w:p>
        </w:tc>
      </w:tr>
      <w:tr>
        <w:tc>
          <w:tcPr>
            <w:tcW w:type="dxa" w:w="9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1.2</w:t>
            </w:r>
          </w:p>
        </w:tc>
        <w:tc>
          <w:tcPr>
            <w:tcW w:type="dxa" w:w="15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Agosto 2026</w:t>
            </w:r>
          </w:p>
        </w:tc>
        <w:tc>
          <w:tcPr>
            <w:tcW w:type="dxa" w:w="57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Segunda corrección de arquitectura solicitada por el Director General antes de la revisión clínica. El catálogo de frases no cambia. (1) El registro se separa en dos dimensiones —exploración y visualización— porque la versión anterior obligaba a declarar como no explorada una región que sí se exploró y cuya observación resultó limitada, lo cual es falso. Una región de visualización limitada o nula está explorada. (2) La calidad de visualización, con valores Concluyente, Limitada y Nula, se captura a nivel de región y solo cuando la visualización del módulo se declara parcial; en visualización completa la tercera dimensión no aparece y el registro se resuelve con dos declaraciones por módulo. (3) Se retira la cascada óptica de la v1.1 y se sustituye por una regla de agrupamiento del generador de texto, que reúne en una sola oración las regiones consecutivas con igual calidad y motivo. El sistema deja de inferir qué estructuras quedan detrás de una opacidad: es el médico tratante quien lo declara. (4) Regla 7 reformulada: la descripción esperada se emite solo cuando la visualización de la región es concluyente. (5) Regla 8 nueva: la descripción generada es editable en el momento y la edición no altera el catálogo. (6) Regla 9 nueva: en visualización limitada el texto libre describe lo observado y su alcance, se suma a la declaración y nunca afirma normalidad global de la región. Se descarta de forma expresa la validación automática del texto libre.</w:t>
            </w:r>
          </w:p>
        </w:tc>
        <w:tc>
          <w:tcPr>
            <w:tcW w:type="dxa" w:w="15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Dirección General</w:t>
            </w:r>
          </w:p>
        </w:tc>
      </w:tr>
      <w:tr>
        <w:tc>
          <w:tcPr>
            <w:tcW w:type="dxa" w:w="9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1.1</w:t>
            </w:r>
          </w:p>
        </w:tc>
        <w:tc>
          <w:tcPr>
            <w:tcW w:type="dxa" w:w="15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Agosto 2026</w:t>
            </w:r>
          </w:p>
        </w:tc>
        <w:tc>
          <w:tcPr>
            <w:tcW w:type="dxa" w:w="57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Corrección de arquitectura solicitada por el Director General antes de la revisión clínica de la v1.0. El catálogo de frases no cambia. (1) El estado deja de pertenecer al módulo y pasa a pertenecer a la región: en un mismo segmento anterior la córnea puede estar explorada con hallazgo mientras iris, pupila y cristalino resultan no valorables por hipema, situación que el modelo anterior no podía representar. (2) Se elimina el estado Parcial de módulo, que era una consecuencia del error anterior; el control de módulo se degrada a atajo de captura masiva. (3) Se incorpora el estado Parcialmente valorable, con motivo y alcance obligatorios, para casos como retina parcialmente valorable por hemorragia vítrea. (4) Se agrega la regla de redacción 7: la descripción esperada se emite únicamente en estado Explorado, nunca en No valorable ni Parcialmente valorable. (5) Se incorpora el catálogo de motivos de no valorabilidad y la cascada óptica sugerida, que propone marcar las regiones posteriores al plano opaco enlazando el motivo al hallazgo que lo causa. (6) Tres criterios de verificación nuevos, entre ellos la prueba de estados mixtos dentro de un mismo módulo.</w:t>
            </w:r>
          </w:p>
        </w:tc>
        <w:tc>
          <w:tcPr>
            <w:tcW w:type="dxa" w:w="15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Dirección General</w:t>
            </w:r>
          </w:p>
        </w:tc>
      </w:tr>
      <w:tr>
        <w:tc>
          <w:tcPr>
            <w:tcW w:type="dxa" w:w="9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1.0</w:t>
            </w:r>
          </w:p>
        </w:tc>
        <w:tc>
          <w:tcPr>
            <w:tcW w:type="dxa" w:w="15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Agosto 2026</w:t>
            </w:r>
          </w:p>
        </w:tc>
        <w:tc>
          <w:tcPr>
            <w:tcW w:type="dxa" w:w="57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Emisión inicial. Anexo nuevo derivado del rediseño del expediente clínico en el CRM. (1) Establece el modelo de documentación por excepción con cuatro estados de módulo, sustituyendo la propuesta previa de botón de prellenado. (2) Fija seis reglas de redacción, entre ellas la prohibición de abreviaturas exigida por la NOM-004 y la prueba de validez de la regla 5. (3) Emite 23 descripciones de hallazgo esperado organizadas en cuatro grupos, tomando como base las frases del formato de exploración en uso y completando las regiones que no estaban cubiertas. (4) Separa retina periférica y gonioscopía del núcleo y las condiciona a método declarado, por indicación del Director General, al no ser sostenible una afirmación de cuatro cuadrantes sin indentación. (5) Declara la frontera entre descripción, hallazgo y medida, y fija la regla de precedencia de la medida sobre la descripción. (6) Establece el gobierno del catálogo: fuente única, versión sellada en el expediente, autoridad de cambio de la Directora Médica e inmutabilidad tras la firma.</w:t>
            </w:r>
          </w:p>
        </w:tc>
        <w:tc>
          <w:tcPr>
            <w:tcW w:type="dxa" w:w="15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Dirección General</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6B76"/>
        <w:sz w:val="15"/>
        <w:szCs w:val="15"/>
      </w:rPr>
      <w:t xml:space="preserve">Pupila Inc.  ·  Anexos — Instrumentos Clínicos  ·  Confidencial  ·  Página </w:t>
    </w:r>
    <w:r>
      <w:rPr>
        <w:rFonts w:ascii="Arial" w:cs="Arial" w:eastAsia="Arial" w:hAnsi="Arial"/>
        <w:color w:val="5F6B76"/>
        <w:sz w:val="15"/>
        <w:szCs w:val="15"/>
      </w:rPr>
      <w:fldChar w:fldCharType="begin"/>
      <w:instrText xml:space="preserve">PAGE</w:instrText>
      <w:fldChar w:fldCharType="separate"/>
      <w:fldChar w:fldCharType="end"/>
    </w:r>
    <w:r>
      <w:rPr>
        <w:rFonts w:ascii="Arial" w:cs="Arial" w:eastAsia="Arial" w:hAnsi="Arial"/>
        <w:color w:val="5F6B76"/>
        <w:sz w:val="15"/>
        <w:szCs w:val="15"/>
      </w:rPr>
      <w:t xml:space="preserve"> de </w:t>
    </w:r>
    <w:r>
      <w:rPr>
        <w:rFonts w:ascii="Arial" w:cs="Arial" w:eastAsia="Arial" w:hAnsi="Arial"/>
        <w:color w:val="5F6B7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DBB" w:sz="4"/>
      </w:pBdr>
      <w:spacing w:after="120"/>
    </w:pPr>
    <w:r>
      <w:rPr>
        <w:rFonts w:ascii="Arial" w:cs="Arial" w:eastAsia="Arial" w:hAnsi="Arial"/>
        <w:color w:val="5F6B76"/>
        <w:sz w:val="15"/>
        <w:szCs w:val="15"/>
      </w:rPr>
      <w:t xml:space="preserve">PUPILA INC.   ·   Anexo A.12 — Catálogo de Descripciones Clínicas de Hallazgo Esperado   ·   v1.7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2026-08-02T20:06:59.702Z</dcterms:created>
  <dcterms:modified xsi:type="dcterms:W3CDTF">2026-08-02T20:06:59.715Z</dcterms:modified>
</cp:coreProperties>
</file>

<file path=docProps/custom.xml><?xml version="1.0" encoding="utf-8"?>
<Properties xmlns="http://schemas.openxmlformats.org/officeDocument/2006/custom-properties" xmlns:vt="http://schemas.openxmlformats.org/officeDocument/2006/docPropsVTypes"/>
</file>