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left w:val="none"/>
          <w:bottom w:val="none"/>
          <w:right w:val="none"/>
          <w:insideH w:val="single" w:color="auto" w:sz="4"/>
          <w:insideV w:val="single" w:color="auto" w:sz="4"/>
        </w:tblBorders>
      </w:tblPr>
      <w:tblGrid>
        <w:gridCol w:w="9638"/>
      </w:tblGrid>
      <w:tr>
        <w:tc>
          <w:tcPr>
            <w:tcW w:type="dxa" w:w="9638"/>
            <w:tcBorders>
              <w:top w:val="none"/>
              <w:left w:val="none"/>
              <w:bottom w:val="none"/>
              <w:right w:val="none"/>
            </w:tcBorders>
            <w:shd w:fill="263545" w:val="clear"/>
            <w:tcMar>
              <w:top w:type="dxa" w:w="340"/>
              <w:left w:type="dxa" w:w="260"/>
              <w:bottom w:type="dxa" w:w="340"/>
              <w:right w:type="dxa" w:w="260"/>
            </w:tcMar>
          </w:tcPr>
          <w:p>
            <w:pPr>
              <w:spacing w:after="60"/>
            </w:pPr>
            <w:r>
              <w:rPr>
                <w:rFonts w:ascii="Arial" w:cs="Arial" w:eastAsia="Arial" w:hAnsi="Arial"/>
                <w:b/>
                <w:bCs/>
                <w:color w:val="FFFFFF"/>
                <w:sz w:val="24"/>
                <w:szCs w:val="24"/>
              </w:rPr>
              <w:t xml:space="preserve">PUPILA INC.</w:t>
            </w:r>
          </w:p>
          <w:p>
            <w:pPr>
              <w:spacing w:after="200"/>
            </w:pPr>
            <w:r>
              <w:rPr>
                <w:rFonts w:ascii="Arial" w:cs="Arial" w:eastAsia="Arial" w:hAnsi="Arial"/>
                <w:color w:val="00ADBB"/>
                <w:sz w:val="18"/>
                <w:szCs w:val="18"/>
              </w:rPr>
              <w:t xml:space="preserve">Manual de Procesos  ·  Bloque 3 — Expediente Clínico y Protocolos Clínicos</w:t>
            </w:r>
          </w:p>
          <w:p>
            <w:pPr>
              <w:spacing w:after="60"/>
            </w:pPr>
            <w:r>
              <w:rPr>
                <w:rFonts w:ascii="Arial" w:cs="Arial" w:eastAsia="Arial" w:hAnsi="Arial"/>
                <w:b/>
                <w:bCs/>
                <w:color w:val="00ADBB"/>
                <w:sz w:val="22"/>
                <w:szCs w:val="22"/>
              </w:rPr>
              <w:t xml:space="preserve">DOC 3.0a</w:t>
            </w:r>
          </w:p>
          <w:p>
            <w:pPr>
              <w:spacing w:after="60"/>
            </w:pPr>
            <w:r>
              <w:rPr>
                <w:rFonts w:ascii="Arial" w:cs="Arial" w:eastAsia="Arial" w:hAnsi="Arial"/>
                <w:b/>
                <w:bCs/>
                <w:color w:val="FFFFFF"/>
                <w:sz w:val="32"/>
                <w:szCs w:val="32"/>
              </w:rPr>
              <w:t xml:space="preserve">Selector de Protocolos Clínicos</w:t>
            </w:r>
          </w:p>
          <w:p>
            <w:pPr>
              <w:spacing w:after="0"/>
            </w:pPr>
            <w:r>
              <w:rPr>
                <w:rFonts w:ascii="Arial" w:cs="Arial" w:eastAsia="Arial" w:hAnsi="Arial"/>
                <w:color w:val="FFFFFF"/>
                <w:sz w:val="19"/>
                <w:szCs w:val="19"/>
              </w:rPr>
              <w:t xml:space="preserve">Versión 3.0  ·  Agosto 2026</w:t>
            </w:r>
          </w:p>
        </w:tc>
      </w:tr>
    </w:tbl>
    <w:p>
      <w:pPr>
        <w:spacing w:after="200"/>
      </w:pPr>
    </w:p>
    <w:tbl>
      <w:tblPr>
        <w:tblW w:type="dxa" w:w="9638"/>
        <w:tblBorders>
          <w:top w:val="single" w:color="D9DDE0" w:sz="2"/>
          <w:left w:val="single" w:color="00ADBB" w:sz="18"/>
          <w:bottom w:val="single" w:color="D9DDE0" w:sz="2"/>
          <w:right w:val="single" w:color="D9DDE0" w:sz="2"/>
          <w:insideH w:val="single" w:color="auto" w:sz="4"/>
          <w:insideV w:val="single" w:color="auto" w:sz="4"/>
        </w:tblBorders>
      </w:tblPr>
      <w:tblGrid>
        <w:gridCol w:w="9638"/>
      </w:tblGrid>
      <w:tr>
        <w:tc>
          <w:tcPr>
            <w:tcW w:type="dxa" w:w="9638"/>
            <w:tcBorders>
              <w:top w:val="single" w:color="D9DDE0" w:sz="2"/>
              <w:left w:val="single" w:color="00ADBB" w:sz="18"/>
              <w:bottom w:val="single" w:color="D9DDE0" w:sz="2"/>
              <w:right w:val="single" w:color="D9DDE0" w:sz="2"/>
            </w:tcBorders>
            <w:shd w:fill="F2F4F5" w:val="clear"/>
            <w:tcMar>
              <w:top w:type="dxa" w:w="110"/>
              <w:left w:type="dxa" w:w="160"/>
              <w:bottom w:type="dxa" w:w="110"/>
              <w:right w:type="dxa" w:w="140"/>
            </w:tcMar>
          </w:tcPr>
          <w:p>
            <w:pPr>
              <w:spacing w:after="40" w:line="250"/>
            </w:pPr>
            <w:r>
              <w:rPr>
                <w:rFonts w:ascii="Arial" w:cs="Arial" w:eastAsia="Arial" w:hAnsi="Arial"/>
                <w:b/>
                <w:bCs/>
                <w:color w:val="263545"/>
                <w:sz w:val="18"/>
                <w:szCs w:val="18"/>
              </w:rPr>
              <w:t xml:space="preserve">Qué cambió en esta versión</w:t>
            </w:r>
          </w:p>
          <w:p>
            <w:pPr>
              <w:spacing w:after="0" w:line="264"/>
            </w:pPr>
            <w:r>
              <w:rPr>
                <w:rFonts w:ascii="Arial" w:cs="Arial" w:eastAsia="Arial" w:hAnsi="Arial"/>
                <w:color w:val="1A1A1A"/>
                <w:sz w:val="18"/>
                <w:szCs w:val="18"/>
              </w:rPr>
              <w:t xml:space="preserve">Este documento se reescribe por completo y reduce su alcance. Hasta la versión 2.4 se titulaba «Estructura del Expediente Clínico y Selector de Protocolos» y definía la estructura mínima del expediente en cuatro campos. Esa definición quedó superada: la estructura del expediente clínico vive ahora en los Anexos A.12, A.13 y A.14, y sostener dos documentos que describen lo mismo contradice la regla de contenido normativo de fuente única del Manual. Este documento conserva únicamente lo que nadie más hace: decidir qué protocolo clínico se activa y cuándo.</w:t>
            </w:r>
          </w:p>
        </w:tc>
      </w:tr>
    </w:tbl>
    <w:p>
      <w:pPr>
        <w:spacing w:after="240"/>
      </w:pPr>
    </w:p>
    <w:tbl>
      <w:tblPr>
        <w:tblW w:type="dxa" w:w="9638"/>
        <w:tblBorders>
          <w:top w:val="none"/>
          <w:left w:val="none"/>
          <w:bottom w:val="none"/>
          <w:right w:val="none"/>
          <w:insideH w:val="single" w:color="auto" w:sz="4"/>
          <w:insideV w:val="single" w:color="auto" w:sz="4"/>
        </w:tblBorders>
      </w:tblPr>
      <w:tblGrid>
        <w:gridCol w:w="9638"/>
      </w:tblGrid>
      <w:tr>
        <w:tc>
          <w:tcPr>
            <w:tcW w:type="dxa" w:w="9638"/>
            <w:tcBorders>
              <w:top w:val="none"/>
              <w:left w:val="none"/>
              <w:bottom w:val="none"/>
              <w:right w:val="none"/>
            </w:tcBorders>
            <w:shd w:fill="263545" w:val="clear"/>
            <w:tcMar>
              <w:top w:type="dxa" w:w="90"/>
              <w:left w:type="dxa" w:w="140"/>
              <w:bottom w:type="dxa" w:w="90"/>
              <w:right w:type="dxa" w:w="140"/>
            </w:tcMar>
          </w:tcPr>
          <w:p>
            <w:pPr>
              <w:spacing w:after="0" w:line="240"/>
            </w:pPr>
            <w:r>
              <w:rPr>
                <w:rFonts w:ascii="Arial" w:cs="Arial" w:eastAsia="Arial" w:hAnsi="Arial"/>
                <w:b/>
                <w:bCs/>
                <w:color w:val="FFFFFF"/>
                <w:sz w:val="21"/>
                <w:szCs w:val="21"/>
              </w:rPr>
              <w:t xml:space="preserve">1.  FICHA TÉCNICA</w:t>
            </w:r>
          </w:p>
        </w:tc>
      </w:tr>
    </w:tbl>
    <w:p>
      <w:pPr>
        <w:spacing w:after="120"/>
      </w:pPr>
    </w:p>
    <w:tbl>
      <w:tblPr>
        <w:tblW w:type="dxa" w:w="9638"/>
        <w:tblBorders>
          <w:top w:val="single" w:color="D9DDE0" w:sz="2"/>
          <w:left w:val="single" w:color="D9DDE0" w:sz="2"/>
          <w:bottom w:val="single" w:color="D9DDE0" w:sz="2"/>
          <w:right w:val="single" w:color="D9DDE0" w:sz="2"/>
          <w:insideH w:val="single" w:color="auto" w:sz="4"/>
          <w:insideV w:val="single" w:color="auto" w:sz="4"/>
        </w:tblBorders>
      </w:tblPr>
      <w:tblGrid>
        <w:gridCol w:w="3100"/>
        <w:gridCol w:w="6538"/>
      </w:tblGrid>
      <w:tr>
        <w:tc>
          <w:tcPr>
            <w:tcW w:type="dxa" w:w="3100"/>
            <w:tcBorders>
              <w:top w:val="single" w:color="D9DDE0" w:sz="2"/>
              <w:left w:val="single" w:color="D9DDE0" w:sz="2"/>
              <w:bottom w:val="single" w:color="D9DDE0" w:sz="2"/>
              <w:right w:val="single" w:color="D9DDE0" w:sz="2"/>
            </w:tcBorders>
            <w:shd w:fill="263545" w:val="clear"/>
            <w:tcMar>
              <w:top w:type="dxa" w:w="70"/>
              <w:left w:type="dxa" w:w="110"/>
              <w:bottom w:type="dxa" w:w="70"/>
              <w:right w:type="dxa" w:w="110"/>
            </w:tcMar>
            <w:vAlign w:val="center"/>
          </w:tcPr>
          <w:p>
            <w:pPr>
              <w:spacing w:after="0" w:line="250"/>
            </w:pPr>
            <w:r>
              <w:rPr>
                <w:rFonts w:ascii="Arial" w:cs="Arial" w:eastAsia="Arial" w:hAnsi="Arial"/>
                <w:b/>
                <w:bCs/>
                <w:color w:val="FFFFFF"/>
                <w:sz w:val="17"/>
                <w:szCs w:val="17"/>
              </w:rPr>
              <w:t xml:space="preserve">Campo</w:t>
            </w:r>
          </w:p>
        </w:tc>
        <w:tc>
          <w:tcPr>
            <w:tcW w:type="dxa" w:w="6538"/>
            <w:tcBorders>
              <w:top w:val="single" w:color="D9DDE0" w:sz="2"/>
              <w:left w:val="single" w:color="D9DDE0" w:sz="2"/>
              <w:bottom w:val="single" w:color="D9DDE0" w:sz="2"/>
              <w:right w:val="single" w:color="D9DDE0" w:sz="2"/>
            </w:tcBorders>
            <w:shd w:fill="263545" w:val="clear"/>
            <w:tcMar>
              <w:top w:type="dxa" w:w="70"/>
              <w:left w:type="dxa" w:w="110"/>
              <w:bottom w:type="dxa" w:w="70"/>
              <w:right w:type="dxa" w:w="110"/>
            </w:tcMar>
            <w:vAlign w:val="center"/>
          </w:tcPr>
          <w:p>
            <w:pPr>
              <w:spacing w:after="0" w:line="250"/>
            </w:pPr>
            <w:r>
              <w:rPr>
                <w:rFonts w:ascii="Arial" w:cs="Arial" w:eastAsia="Arial" w:hAnsi="Arial"/>
                <w:b/>
                <w:bCs/>
                <w:color w:val="FFFFFF"/>
                <w:sz w:val="17"/>
                <w:szCs w:val="17"/>
              </w:rPr>
              <w:t xml:space="preserve">Detalle</w:t>
            </w:r>
          </w:p>
        </w:tc>
      </w:tr>
      <w:tr>
        <w:tc>
          <w:tcPr>
            <w:tcW w:type="dxa" w:w="31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Número de documento</w:t>
            </w:r>
          </w:p>
        </w:tc>
        <w:tc>
          <w:tcPr>
            <w:tcW w:type="dxa" w:w="6538"/>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Doc 3.0a</w:t>
            </w:r>
          </w:p>
        </w:tc>
      </w:tr>
      <w:tr>
        <w:tc>
          <w:tcPr>
            <w:tcW w:type="dxa" w:w="31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Nombre</w:t>
            </w:r>
          </w:p>
        </w:tc>
        <w:tc>
          <w:tcPr>
            <w:tcW w:type="dxa" w:w="6538"/>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Selector de Protocolos Clínicos</w:t>
            </w:r>
          </w:p>
        </w:tc>
      </w:tr>
      <w:tr>
        <w:tc>
          <w:tcPr>
            <w:tcW w:type="dxa" w:w="31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Bloque</w:t>
            </w:r>
          </w:p>
        </w:tc>
        <w:tc>
          <w:tcPr>
            <w:tcW w:type="dxa" w:w="6538"/>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Bloque 3 — Expediente Clínico y Protocolos Clínicos</w:t>
            </w:r>
          </w:p>
        </w:tc>
      </w:tr>
      <w:tr>
        <w:tc>
          <w:tcPr>
            <w:tcW w:type="dxa" w:w="31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Versión</w:t>
            </w:r>
          </w:p>
        </w:tc>
        <w:tc>
          <w:tcPr>
            <w:tcW w:type="dxa" w:w="6538"/>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3.0</w:t>
            </w:r>
          </w:p>
        </w:tc>
      </w:tr>
      <w:tr>
        <w:tc>
          <w:tcPr>
            <w:tcW w:type="dxa" w:w="31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Fecha de emisión</w:t>
            </w:r>
          </w:p>
        </w:tc>
        <w:tc>
          <w:tcPr>
            <w:tcW w:type="dxa" w:w="6538"/>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Agosto 2026</w:t>
            </w:r>
          </w:p>
        </w:tc>
      </w:tr>
      <w:tr>
        <w:tc>
          <w:tcPr>
            <w:tcW w:type="dxa" w:w="31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Responsable de emisión</w:t>
            </w:r>
          </w:p>
        </w:tc>
        <w:tc>
          <w:tcPr>
            <w:tcW w:type="dxa" w:w="6538"/>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Dirección General</w:t>
            </w:r>
          </w:p>
        </w:tc>
      </w:tr>
      <w:tr>
        <w:tc>
          <w:tcPr>
            <w:tcW w:type="dxa" w:w="31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Responsable de aprobación clínica</w:t>
            </w:r>
          </w:p>
        </w:tc>
        <w:tc>
          <w:tcPr>
            <w:tcW w:type="dxa" w:w="6538"/>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Directora Médica</w:t>
            </w:r>
          </w:p>
        </w:tc>
      </w:tr>
      <w:tr>
        <w:tc>
          <w:tcPr>
            <w:tcW w:type="dxa" w:w="31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Marco de referencia</w:t>
            </w:r>
          </w:p>
        </w:tc>
        <w:tc>
          <w:tcPr>
            <w:tcW w:type="dxa" w:w="6538"/>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Doc 3.0b — Arquitectura del Protocolo Clínico Automatizado</w:t>
            </w:r>
          </w:p>
        </w:tc>
      </w:tr>
      <w:tr>
        <w:tc>
          <w:tcPr>
            <w:tcW w:type="dxa" w:w="31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Documentos que dependen de este</w:t>
            </w:r>
          </w:p>
        </w:tc>
        <w:tc>
          <w:tcPr>
            <w:tcW w:type="dxa" w:w="6538"/>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Doc 3.1 · 3.2 · 3.3 · 3.4 · 3.5 · 3.6a · 3.6b · 3.6c · 3.6d · 3.6e · 3.6f · 3.7 · 3.8 · 3.9</w:t>
            </w:r>
          </w:p>
        </w:tc>
      </w:tr>
      <w:tr>
        <w:tc>
          <w:tcPr>
            <w:tcW w:type="dxa" w:w="31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Documentos que invoca</w:t>
            </w:r>
          </w:p>
        </w:tc>
        <w:tc>
          <w:tcPr>
            <w:tcW w:type="dxa" w:w="6538"/>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Anexo A.14 — Especificación del Wizard de Consulta y Motor de Hallazgos · Anexo A.15 — Matriz de Campos y Modelo de Activación</w:t>
            </w:r>
          </w:p>
        </w:tc>
      </w:tr>
      <w:tr>
        <w:tc>
          <w:tcPr>
            <w:tcW w:type="dxa" w:w="31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Estado</w:t>
            </w:r>
          </w:p>
        </w:tc>
        <w:tc>
          <w:tcPr>
            <w:tcW w:type="dxa" w:w="6538"/>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b/>
                <w:bCs/>
                <w:color w:val="8A5A00"/>
                <w:sz w:val="17"/>
                <w:szCs w:val="17"/>
              </w:rPr>
              <w:t xml:space="preserve">Revisar — pendiente de validación de la incorporación de los Docs 3.6f y 3.9</w:t>
            </w:r>
          </w:p>
        </w:tc>
      </w:tr>
    </w:tbl>
    <w:p>
      <w:pPr>
        <w:spacing w:after="280"/>
      </w:pPr>
    </w:p>
    <w:tbl>
      <w:tblPr>
        <w:tblW w:type="dxa" w:w="9638"/>
        <w:tblBorders>
          <w:top w:val="none"/>
          <w:left w:val="none"/>
          <w:bottom w:val="none"/>
          <w:right w:val="none"/>
          <w:insideH w:val="single" w:color="auto" w:sz="4"/>
          <w:insideV w:val="single" w:color="auto" w:sz="4"/>
        </w:tblBorders>
      </w:tblPr>
      <w:tblGrid>
        <w:gridCol w:w="9638"/>
      </w:tblGrid>
      <w:tr>
        <w:tc>
          <w:tcPr>
            <w:tcW w:type="dxa" w:w="9638"/>
            <w:tcBorders>
              <w:top w:val="none"/>
              <w:left w:val="none"/>
              <w:bottom w:val="none"/>
              <w:right w:val="none"/>
            </w:tcBorders>
            <w:shd w:fill="263545" w:val="clear"/>
            <w:tcMar>
              <w:top w:type="dxa" w:w="90"/>
              <w:left w:type="dxa" w:w="140"/>
              <w:bottom w:type="dxa" w:w="90"/>
              <w:right w:type="dxa" w:w="140"/>
            </w:tcMar>
          </w:tcPr>
          <w:p>
            <w:pPr>
              <w:spacing w:after="0" w:line="240"/>
            </w:pPr>
            <w:r>
              <w:rPr>
                <w:rFonts w:ascii="Arial" w:cs="Arial" w:eastAsia="Arial" w:hAnsi="Arial"/>
                <w:b/>
                <w:bCs/>
                <w:color w:val="FFFFFF"/>
                <w:sz w:val="21"/>
                <w:szCs w:val="21"/>
              </w:rPr>
              <w:t xml:space="preserve">2.  OBJETIVO Y ALCANCE</w:t>
            </w:r>
          </w:p>
        </w:tc>
      </w:tr>
    </w:tbl>
    <w:p>
      <w:pPr>
        <w:spacing w:after="120"/>
      </w:pPr>
    </w:p>
    <w:p>
      <w:pPr>
        <w:spacing w:after="100" w:before="0" w:line="264"/>
      </w:pPr>
      <w:r>
        <w:rPr>
          <w:rFonts w:ascii="Arial" w:cs="Arial" w:eastAsia="Arial" w:hAnsi="Arial"/>
          <w:color w:val="1A1A1A"/>
          <w:sz w:val="19"/>
          <w:szCs w:val="19"/>
        </w:rPr>
        <w:t xml:space="preserve">Establecer qué protocolo clínico se activa para cada paciente, mediante qué mecanismo y en qué momento de la consulta.</w:t>
      </w:r>
    </w:p>
    <w:p>
      <w:pPr>
        <w:spacing w:after="100" w:before="0" w:line="264"/>
      </w:pPr>
      <w:r>
        <w:rPr>
          <w:rFonts w:ascii="Arial" w:cs="Arial" w:eastAsia="Arial" w:hAnsi="Arial"/>
          <w:color w:val="1A1A1A"/>
          <w:sz w:val="19"/>
          <w:szCs w:val="19"/>
        </w:rPr>
        <w:t xml:space="preserve">El documento no define la estructura del expediente clínico ni el comportamiento del sistema que lo captura. Esas materias corresponden a otros documentos, y este las invoca sin transcribirlas.</w:t>
      </w:r>
    </w:p>
    <w:p>
      <w:pPr>
        <w:spacing w:after="60"/>
      </w:pPr>
    </w:p>
    <w:tbl>
      <w:tblPr>
        <w:tblW w:type="dxa" w:w="9638"/>
        <w:tblBorders>
          <w:top w:val="single" w:color="D9DDE0" w:sz="2"/>
          <w:left w:val="single" w:color="D9DDE0" w:sz="2"/>
          <w:bottom w:val="single" w:color="D9DDE0" w:sz="2"/>
          <w:right w:val="single" w:color="D9DDE0" w:sz="2"/>
          <w:insideH w:val="single" w:color="auto" w:sz="4"/>
          <w:insideV w:val="single" w:color="auto" w:sz="4"/>
        </w:tblBorders>
      </w:tblPr>
      <w:tblGrid>
        <w:gridCol w:w="3000"/>
        <w:gridCol w:w="3200"/>
        <w:gridCol w:w="3438"/>
      </w:tblGrid>
      <w:tr>
        <w:tc>
          <w:tcPr>
            <w:tcW w:type="dxa" w:w="3000"/>
            <w:tcBorders>
              <w:top w:val="single" w:color="D9DDE0" w:sz="2"/>
              <w:left w:val="single" w:color="D9DDE0" w:sz="2"/>
              <w:bottom w:val="single" w:color="D9DDE0" w:sz="2"/>
              <w:right w:val="single" w:color="D9DDE0" w:sz="2"/>
            </w:tcBorders>
            <w:shd w:fill="263545" w:val="clear"/>
            <w:tcMar>
              <w:top w:type="dxa" w:w="70"/>
              <w:left w:type="dxa" w:w="110"/>
              <w:bottom w:type="dxa" w:w="70"/>
              <w:right w:type="dxa" w:w="110"/>
            </w:tcMar>
            <w:vAlign w:val="center"/>
          </w:tcPr>
          <w:p>
            <w:pPr>
              <w:spacing w:after="0" w:line="250"/>
            </w:pPr>
            <w:r>
              <w:rPr>
                <w:rFonts w:ascii="Arial" w:cs="Arial" w:eastAsia="Arial" w:hAnsi="Arial"/>
                <w:b/>
                <w:bCs/>
                <w:color w:val="FFFFFF"/>
                <w:sz w:val="17"/>
                <w:szCs w:val="17"/>
              </w:rPr>
              <w:t xml:space="preserve">Materia</w:t>
            </w:r>
          </w:p>
        </w:tc>
        <w:tc>
          <w:tcPr>
            <w:tcW w:type="dxa" w:w="3200"/>
            <w:tcBorders>
              <w:top w:val="single" w:color="D9DDE0" w:sz="2"/>
              <w:left w:val="single" w:color="D9DDE0" w:sz="2"/>
              <w:bottom w:val="single" w:color="D9DDE0" w:sz="2"/>
              <w:right w:val="single" w:color="D9DDE0" w:sz="2"/>
            </w:tcBorders>
            <w:shd w:fill="263545" w:val="clear"/>
            <w:tcMar>
              <w:top w:type="dxa" w:w="70"/>
              <w:left w:type="dxa" w:w="110"/>
              <w:bottom w:type="dxa" w:w="70"/>
              <w:right w:type="dxa" w:w="110"/>
            </w:tcMar>
            <w:vAlign w:val="center"/>
          </w:tcPr>
          <w:p>
            <w:pPr>
              <w:spacing w:after="0" w:line="250"/>
            </w:pPr>
            <w:r>
              <w:rPr>
                <w:rFonts w:ascii="Arial" w:cs="Arial" w:eastAsia="Arial" w:hAnsi="Arial"/>
                <w:b/>
                <w:bCs/>
                <w:color w:val="FFFFFF"/>
                <w:sz w:val="17"/>
                <w:szCs w:val="17"/>
              </w:rPr>
              <w:t xml:space="preserve">Dónde vive</w:t>
            </w:r>
          </w:p>
        </w:tc>
        <w:tc>
          <w:tcPr>
            <w:tcW w:type="dxa" w:w="3438"/>
            <w:tcBorders>
              <w:top w:val="single" w:color="D9DDE0" w:sz="2"/>
              <w:left w:val="single" w:color="D9DDE0" w:sz="2"/>
              <w:bottom w:val="single" w:color="D9DDE0" w:sz="2"/>
              <w:right w:val="single" w:color="D9DDE0" w:sz="2"/>
            </w:tcBorders>
            <w:shd w:fill="263545" w:val="clear"/>
            <w:tcMar>
              <w:top w:type="dxa" w:w="70"/>
              <w:left w:type="dxa" w:w="110"/>
              <w:bottom w:type="dxa" w:w="70"/>
              <w:right w:type="dxa" w:w="110"/>
            </w:tcMar>
            <w:vAlign w:val="center"/>
          </w:tcPr>
          <w:p>
            <w:pPr>
              <w:spacing w:after="0" w:line="250"/>
            </w:pPr>
            <w:r>
              <w:rPr>
                <w:rFonts w:ascii="Arial" w:cs="Arial" w:eastAsia="Arial" w:hAnsi="Arial"/>
                <w:b/>
                <w:bCs/>
                <w:color w:val="FFFFFF"/>
                <w:sz w:val="17"/>
                <w:szCs w:val="17"/>
              </w:rPr>
              <w:t xml:space="preserve">Este documento</w:t>
            </w:r>
          </w:p>
        </w:tc>
      </w:tr>
      <w:tr>
        <w:tc>
          <w:tcPr>
            <w:tcW w:type="dxa" w:w="30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Qué campos contiene el expediente</w:t>
            </w:r>
          </w:p>
        </w:tc>
        <w:tc>
          <w:tcPr>
            <w:tcW w:type="dxa" w:w="3200"/>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Anexo A.14, sección de inventario de campos</w:t>
            </w:r>
          </w:p>
        </w:tc>
        <w:tc>
          <w:tcPr>
            <w:tcW w:type="dxa" w:w="3438"/>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No lo define. Lo invoca.</w:t>
            </w:r>
          </w:p>
        </w:tc>
      </w:tr>
      <w:tr>
        <w:tc>
          <w:tcPr>
            <w:tcW w:type="dxa" w:w="30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Cómo se describe la exploración</w:t>
            </w:r>
          </w:p>
        </w:tc>
        <w:tc>
          <w:tcPr>
            <w:tcW w:type="dxa" w:w="3200"/>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Anexos A.12 y A.13</w:t>
            </w:r>
          </w:p>
        </w:tc>
        <w:tc>
          <w:tcPr>
            <w:tcW w:type="dxa" w:w="3438"/>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No lo define. Lo invoca.</w:t>
            </w:r>
          </w:p>
        </w:tc>
      </w:tr>
      <w:tr>
        <w:tc>
          <w:tcPr>
            <w:tcW w:type="dxa" w:w="30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Cómo se comporta el expediente electrónico</w:t>
            </w:r>
          </w:p>
        </w:tc>
        <w:tc>
          <w:tcPr>
            <w:tcW w:type="dxa" w:w="3200"/>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Anexo A.14</w:t>
            </w:r>
          </w:p>
        </w:tc>
        <w:tc>
          <w:tcPr>
            <w:tcW w:type="dxa" w:w="3438"/>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No lo define. Lo invoca.</w:t>
            </w:r>
          </w:p>
        </w:tc>
      </w:tr>
      <w:tr>
        <w:tc>
          <w:tcPr>
            <w:tcW w:type="dxa" w:w="30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Qué campos consume la mensajería</w:t>
            </w:r>
          </w:p>
        </w:tc>
        <w:tc>
          <w:tcPr>
            <w:tcW w:type="dxa" w:w="3200"/>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Anexo A.15 — Matriz de Campos</w:t>
            </w:r>
          </w:p>
        </w:tc>
        <w:tc>
          <w:tcPr>
            <w:tcW w:type="dxa" w:w="3438"/>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No lo define. Lo invoca.</w:t>
            </w:r>
          </w:p>
        </w:tc>
      </w:tr>
      <w:tr>
        <w:tc>
          <w:tcPr>
            <w:tcW w:type="dxa" w:w="30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Qué protocolo se activa y cuándo</w:t>
            </w:r>
          </w:p>
        </w:tc>
        <w:tc>
          <w:tcPr>
            <w:tcW w:type="dxa" w:w="3200"/>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Este documento</w:t>
            </w:r>
          </w:p>
        </w:tc>
        <w:tc>
          <w:tcPr>
            <w:tcW w:type="dxa" w:w="3438"/>
            <w:tcBorders>
              <w:top w:val="single" w:color="D9DDE0" w:sz="2"/>
              <w:left w:val="single" w:color="D9DDE0" w:sz="2"/>
              <w:bottom w:val="single" w:color="D9DDE0" w:sz="2"/>
              <w:right w:val="single" w:color="D9DDE0" w:sz="2"/>
            </w:tcBorders>
            <w:shd w:fill="E8F5EE"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Fuente única.</w:t>
            </w:r>
          </w:p>
        </w:tc>
      </w:tr>
      <w:tr>
        <w:tc>
          <w:tcPr>
            <w:tcW w:type="dxa" w:w="30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Cómo se estructura cada protocolo por dentro</w:t>
            </w:r>
          </w:p>
        </w:tc>
        <w:tc>
          <w:tcPr>
            <w:tcW w:type="dxa" w:w="3200"/>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Doc 3.0b — Arquitectura</w:t>
            </w:r>
          </w:p>
        </w:tc>
        <w:tc>
          <w:tcPr>
            <w:tcW w:type="dxa" w:w="3438"/>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No lo define. Lo invoca.</w:t>
            </w:r>
          </w:p>
        </w:tc>
      </w:tr>
    </w:tbl>
    <w:p>
      <w:pPr>
        <w:spacing w:after="280"/>
      </w:pPr>
    </w:p>
    <w:tbl>
      <w:tblPr>
        <w:tblW w:type="dxa" w:w="9638"/>
        <w:tblBorders>
          <w:top w:val="none"/>
          <w:left w:val="none"/>
          <w:bottom w:val="none"/>
          <w:right w:val="none"/>
          <w:insideH w:val="single" w:color="auto" w:sz="4"/>
          <w:insideV w:val="single" w:color="auto" w:sz="4"/>
        </w:tblBorders>
      </w:tblPr>
      <w:tblGrid>
        <w:gridCol w:w="9638"/>
      </w:tblGrid>
      <w:tr>
        <w:tc>
          <w:tcPr>
            <w:tcW w:type="dxa" w:w="9638"/>
            <w:tcBorders>
              <w:top w:val="none"/>
              <w:left w:val="none"/>
              <w:bottom w:val="none"/>
              <w:right w:val="none"/>
            </w:tcBorders>
            <w:shd w:fill="263545" w:val="clear"/>
            <w:tcMar>
              <w:top w:type="dxa" w:w="90"/>
              <w:left w:type="dxa" w:w="140"/>
              <w:bottom w:type="dxa" w:w="90"/>
              <w:right w:type="dxa" w:w="140"/>
            </w:tcMar>
          </w:tcPr>
          <w:p>
            <w:pPr>
              <w:spacing w:after="0" w:line="240"/>
            </w:pPr>
            <w:r>
              <w:rPr>
                <w:rFonts w:ascii="Arial" w:cs="Arial" w:eastAsia="Arial" w:hAnsi="Arial"/>
                <w:b/>
                <w:bCs/>
                <w:color w:val="FFFFFF"/>
                <w:sz w:val="21"/>
                <w:szCs w:val="21"/>
              </w:rPr>
              <w:t xml:space="preserve">3.  PRINCIPIO RECTOR — ACTIVACIÓN POR ACTO EXPLÍCITO</w:t>
            </w:r>
          </w:p>
        </w:tc>
      </w:tr>
    </w:tbl>
    <w:p>
      <w:pPr>
        <w:spacing w:after="120"/>
      </w:pPr>
    </w:p>
    <w:p>
      <w:pPr>
        <w:spacing w:after="100" w:before="0" w:line="264"/>
      </w:pPr>
      <w:r>
        <w:rPr>
          <w:rFonts w:ascii="Arial" w:cs="Arial" w:eastAsia="Arial" w:hAnsi="Arial"/>
          <w:color w:val="1A1A1A"/>
          <w:sz w:val="19"/>
          <w:szCs w:val="19"/>
        </w:rPr>
        <w:t xml:space="preserve">El diagnóstico clínico es, y debe seguir siendo, texto redactado por el médico tratante con su propio criterio y lenguaje. Ningún sistema debe intentar leerlo para decidir qué protocolo activar.</w:t>
      </w:r>
    </w:p>
    <w:p>
      <w:pPr>
        <w:spacing w:after="100" w:before="0" w:line="264"/>
      </w:pPr>
      <w:r>
        <w:rPr>
          <w:rFonts w:ascii="Arial" w:cs="Arial" w:eastAsia="Arial" w:hAnsi="Arial"/>
          <w:color w:val="1A1A1A"/>
          <w:sz w:val="19"/>
          <w:szCs w:val="19"/>
        </w:rPr>
        <w:t xml:space="preserve">El médico redacta el diagnóstico como siempre y, al cerrar la consulta, indica al sistema qué protocolo corresponde mediante una decisión explícita. Nunca inferida.</w:t>
      </w:r>
    </w:p>
    <w:p>
      <w:pPr>
        <w:spacing w:after="60"/>
      </w:pPr>
    </w:p>
    <w:tbl>
      <w:tblPr>
        <w:tblW w:type="dxa" w:w="9638"/>
        <w:tblBorders>
          <w:top w:val="single" w:color="D9DDE0" w:sz="2"/>
          <w:left w:val="single" w:color="00ADBB" w:sz="18"/>
          <w:bottom w:val="single" w:color="D9DDE0" w:sz="2"/>
          <w:right w:val="single" w:color="D9DDE0" w:sz="2"/>
          <w:insideH w:val="single" w:color="auto" w:sz="4"/>
          <w:insideV w:val="single" w:color="auto" w:sz="4"/>
        </w:tblBorders>
      </w:tblPr>
      <w:tblGrid>
        <w:gridCol w:w="9638"/>
      </w:tblGrid>
      <w:tr>
        <w:tc>
          <w:tcPr>
            <w:tcW w:type="dxa" w:w="9638"/>
            <w:tcBorders>
              <w:top w:val="single" w:color="D9DDE0" w:sz="2"/>
              <w:left w:val="single" w:color="00ADBB" w:sz="18"/>
              <w:bottom w:val="single" w:color="D9DDE0" w:sz="2"/>
              <w:right w:val="single" w:color="D9DDE0" w:sz="2"/>
            </w:tcBorders>
            <w:shd w:fill="FEECEC" w:val="clear"/>
            <w:tcMar>
              <w:top w:type="dxa" w:w="110"/>
              <w:left w:type="dxa" w:w="160"/>
              <w:bottom w:type="dxa" w:w="110"/>
              <w:right w:type="dxa" w:w="140"/>
            </w:tcMar>
          </w:tcPr>
          <w:p>
            <w:pPr>
              <w:spacing w:after="40" w:line="250"/>
            </w:pPr>
            <w:r>
              <w:rPr>
                <w:rFonts w:ascii="Arial" w:cs="Arial" w:eastAsia="Arial" w:hAnsi="Arial"/>
                <w:b/>
                <w:bCs/>
                <w:color w:val="263545"/>
                <w:sz w:val="18"/>
                <w:szCs w:val="18"/>
              </w:rPr>
              <w:t xml:space="preserve">El principio se extiende a los hallazgos, no solo al diagnóstico</w:t>
            </w:r>
          </w:p>
          <w:p>
            <w:pPr>
              <w:spacing w:after="0" w:line="264"/>
            </w:pPr>
            <w:r>
              <w:rPr>
                <w:rFonts w:ascii="Arial" w:cs="Arial" w:eastAsia="Arial" w:hAnsi="Arial"/>
                <w:color w:val="1A1A1A"/>
                <w:sz w:val="18"/>
                <w:szCs w:val="18"/>
              </w:rPr>
              <w:t xml:space="preserve">Con la incorporación del motor de hallazgos del Anexo A.14, el expediente contiene ahora información estructurada y no solo texto, lo que hace técnicamente posible deducir un protocolo a partir de lo registrado en la exploración. Esa posibilidad queda expresamente descartada. El motivo es el mismo que en la versión original de este documento: la responsabilidad de activar un seguimiento sobre un paciente es un acto médico y debe ejercerse como tal. El sistema registra lo que el médico declara; no anticipa su conducta.</w:t>
            </w:r>
          </w:p>
        </w:tc>
      </w:tr>
    </w:tbl>
    <w:p>
      <w:pPr>
        <w:spacing w:after="280"/>
      </w:pPr>
    </w:p>
    <w:p>
      <w:r>
        <w:br w:type="page"/>
      </w:r>
    </w:p>
    <w:tbl>
      <w:tblPr>
        <w:tblW w:type="dxa" w:w="9638"/>
        <w:tblBorders>
          <w:top w:val="none"/>
          <w:left w:val="none"/>
          <w:bottom w:val="none"/>
          <w:right w:val="none"/>
          <w:insideH w:val="single" w:color="auto" w:sz="4"/>
          <w:insideV w:val="single" w:color="auto" w:sz="4"/>
        </w:tblBorders>
      </w:tblPr>
      <w:tblGrid>
        <w:gridCol w:w="9638"/>
      </w:tblGrid>
      <w:tr>
        <w:tc>
          <w:tcPr>
            <w:tcW w:type="dxa" w:w="9638"/>
            <w:tcBorders>
              <w:top w:val="none"/>
              <w:left w:val="none"/>
              <w:bottom w:val="none"/>
              <w:right w:val="none"/>
            </w:tcBorders>
            <w:shd w:fill="263545" w:val="clear"/>
            <w:tcMar>
              <w:top w:type="dxa" w:w="90"/>
              <w:left w:type="dxa" w:w="140"/>
              <w:bottom w:type="dxa" w:w="90"/>
              <w:right w:type="dxa" w:w="140"/>
            </w:tcMar>
          </w:tcPr>
          <w:p>
            <w:pPr>
              <w:spacing w:after="0" w:line="240"/>
            </w:pPr>
            <w:r>
              <w:rPr>
                <w:rFonts w:ascii="Arial" w:cs="Arial" w:eastAsia="Arial" w:hAnsi="Arial"/>
                <w:b/>
                <w:bCs/>
                <w:color w:val="FFFFFF"/>
                <w:sz w:val="21"/>
                <w:szCs w:val="21"/>
              </w:rPr>
              <w:t xml:space="preserve">4.  PANORAMA DE ACTIVACIÓN DEL BLOQUE 3</w:t>
            </w:r>
          </w:p>
        </w:tc>
      </w:tr>
    </w:tbl>
    <w:p>
      <w:pPr>
        <w:spacing w:after="120"/>
      </w:pPr>
    </w:p>
    <w:p>
      <w:pPr>
        <w:spacing w:after="100" w:before="0" w:line="264"/>
      </w:pPr>
      <w:r>
        <w:rPr>
          <w:rFonts w:ascii="Arial" w:cs="Arial" w:eastAsia="Arial" w:hAnsi="Arial"/>
          <w:color w:val="1A1A1A"/>
          <w:sz w:val="19"/>
          <w:szCs w:val="19"/>
        </w:rPr>
        <w:t xml:space="preserve">El principio del acto explícito aplica por igual a los catorce documentos operativos del bloque. Lo que cambia es el mecanismo concreto según el tipo de protocolo.</w:t>
      </w:r>
    </w:p>
    <w:p>
      <w:pPr>
        <w:spacing w:after="60"/>
      </w:pPr>
    </w:p>
    <w:tbl>
      <w:tblPr>
        <w:tblW w:type="dxa" w:w="9638"/>
        <w:tblBorders>
          <w:top w:val="single" w:color="D9DDE0" w:sz="2"/>
          <w:left w:val="single" w:color="D9DDE0" w:sz="2"/>
          <w:bottom w:val="single" w:color="D9DDE0" w:sz="2"/>
          <w:right w:val="single" w:color="D9DDE0" w:sz="2"/>
          <w:insideH w:val="single" w:color="auto" w:sz="4"/>
          <w:insideV w:val="single" w:color="auto" w:sz="4"/>
        </w:tblBorders>
      </w:tblPr>
      <w:tblGrid>
        <w:gridCol w:w="2400"/>
        <w:gridCol w:w="2600"/>
        <w:gridCol w:w="4638"/>
      </w:tblGrid>
      <w:tr>
        <w:tc>
          <w:tcPr>
            <w:tcW w:type="dxa" w:w="2400"/>
            <w:tcBorders>
              <w:top w:val="single" w:color="D9DDE0" w:sz="2"/>
              <w:left w:val="single" w:color="D9DDE0" w:sz="2"/>
              <w:bottom w:val="single" w:color="D9DDE0" w:sz="2"/>
              <w:right w:val="single" w:color="D9DDE0" w:sz="2"/>
            </w:tcBorders>
            <w:shd w:fill="263545" w:val="clear"/>
            <w:tcMar>
              <w:top w:type="dxa" w:w="70"/>
              <w:left w:type="dxa" w:w="110"/>
              <w:bottom w:type="dxa" w:w="70"/>
              <w:right w:type="dxa" w:w="110"/>
            </w:tcMar>
            <w:vAlign w:val="center"/>
          </w:tcPr>
          <w:p>
            <w:pPr>
              <w:spacing w:after="0" w:line="250"/>
            </w:pPr>
            <w:r>
              <w:rPr>
                <w:rFonts w:ascii="Arial" w:cs="Arial" w:eastAsia="Arial" w:hAnsi="Arial"/>
                <w:b/>
                <w:bCs/>
                <w:color w:val="FFFFFF"/>
                <w:sz w:val="17"/>
                <w:szCs w:val="17"/>
              </w:rPr>
              <w:t xml:space="preserve">Categoría</w:t>
            </w:r>
          </w:p>
        </w:tc>
        <w:tc>
          <w:tcPr>
            <w:tcW w:type="dxa" w:w="2600"/>
            <w:tcBorders>
              <w:top w:val="single" w:color="D9DDE0" w:sz="2"/>
              <w:left w:val="single" w:color="D9DDE0" w:sz="2"/>
              <w:bottom w:val="single" w:color="D9DDE0" w:sz="2"/>
              <w:right w:val="single" w:color="D9DDE0" w:sz="2"/>
            </w:tcBorders>
            <w:shd w:fill="263545" w:val="clear"/>
            <w:tcMar>
              <w:top w:type="dxa" w:w="70"/>
              <w:left w:type="dxa" w:w="110"/>
              <w:bottom w:type="dxa" w:w="70"/>
              <w:right w:type="dxa" w:w="110"/>
            </w:tcMar>
            <w:vAlign w:val="center"/>
          </w:tcPr>
          <w:p>
            <w:pPr>
              <w:spacing w:after="0" w:line="250"/>
            </w:pPr>
            <w:r>
              <w:rPr>
                <w:rFonts w:ascii="Arial" w:cs="Arial" w:eastAsia="Arial" w:hAnsi="Arial"/>
                <w:b/>
                <w:bCs/>
                <w:color w:val="FFFFFF"/>
                <w:sz w:val="17"/>
                <w:szCs w:val="17"/>
              </w:rPr>
              <w:t xml:space="preserve">Documentos</w:t>
            </w:r>
          </w:p>
        </w:tc>
        <w:tc>
          <w:tcPr>
            <w:tcW w:type="dxa" w:w="4638"/>
            <w:tcBorders>
              <w:top w:val="single" w:color="D9DDE0" w:sz="2"/>
              <w:left w:val="single" w:color="D9DDE0" w:sz="2"/>
              <w:bottom w:val="single" w:color="D9DDE0" w:sz="2"/>
              <w:right w:val="single" w:color="D9DDE0" w:sz="2"/>
            </w:tcBorders>
            <w:shd w:fill="263545" w:val="clear"/>
            <w:tcMar>
              <w:top w:type="dxa" w:w="70"/>
              <w:left w:type="dxa" w:w="110"/>
              <w:bottom w:type="dxa" w:w="70"/>
              <w:right w:type="dxa" w:w="110"/>
            </w:tcMar>
            <w:vAlign w:val="center"/>
          </w:tcPr>
          <w:p>
            <w:pPr>
              <w:spacing w:after="0" w:line="250"/>
            </w:pPr>
            <w:r>
              <w:rPr>
                <w:rFonts w:ascii="Arial" w:cs="Arial" w:eastAsia="Arial" w:hAnsi="Arial"/>
                <w:b/>
                <w:bCs/>
                <w:color w:val="FFFFFF"/>
                <w:sz w:val="17"/>
                <w:szCs w:val="17"/>
              </w:rPr>
              <w:t xml:space="preserve">Mecanismo de activación</w:t>
            </w:r>
          </w:p>
        </w:tc>
      </w:tr>
      <w:tr>
        <w:tc>
          <w:tcPr>
            <w:tcW w:type="dxa" w:w="24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1 · Árbol único — trío pediátrico</w:t>
            </w:r>
          </w:p>
        </w:tc>
        <w:tc>
          <w:tcPr>
            <w:tcW w:type="dxa" w:w="2600"/>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3.1 · 3.2 · 3.3</w:t>
            </w:r>
          </w:p>
        </w:tc>
        <w:tc>
          <w:tcPr>
            <w:tcW w:type="dxa" w:w="4638"/>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Secuencia de preguntas de sí o no que el médico tratante responde al cerrar la consulta. Se activa siempre uno solo, el de mayor jerarquía clínica presente. Ver sección 5.</w:t>
            </w:r>
          </w:p>
        </w:tc>
      </w:tr>
      <w:tr>
        <w:tc>
          <w:tcPr>
            <w:tcW w:type="dxa" w:w="24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2 · Selección directa</w:t>
            </w:r>
          </w:p>
        </w:tc>
        <w:tc>
          <w:tcPr>
            <w:tcW w:type="dxa" w:w="2600"/>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3.4 · 3.5 · 3.8</w:t>
            </w:r>
          </w:p>
        </w:tc>
        <w:tc>
          <w:tcPr>
            <w:tcW w:type="dxa" w:w="4638"/>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El médico tratante selecciona el protocolo al confirmar el diagnóstico. No requieren árbol porque en la práctica clínica no coinciden entre sí ni con el trío pediátrico en un mismo paciente.</w:t>
            </w:r>
          </w:p>
        </w:tc>
      </w:tr>
      <w:tr>
        <w:tc>
          <w:tcPr>
            <w:tcW w:type="dxa" w:w="24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3 · Procedimiento aceptado</w:t>
            </w:r>
          </w:p>
        </w:tc>
        <w:tc>
          <w:tcPr>
            <w:tcW w:type="dxa" w:w="2600"/>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3.6a · 3.6b · 3.6c · 3.6d · 3.6e · 3.6f</w:t>
            </w:r>
          </w:p>
        </w:tc>
        <w:tc>
          <w:tcPr>
            <w:tcW w:type="dxa" w:w="4638"/>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Se activan con un evento posterior y distinto al diagnóstico: la aceptación del procedimiento con su tipo declarado. Hay dos formas de llegar: activación derivada desde un protocolo previo, o activación directa sin protocolo antecedente. Ver sección 7 para la distinción entre indicación y programación.</w:t>
            </w:r>
          </w:p>
        </w:tc>
      </w:tr>
      <w:tr>
        <w:tc>
          <w:tcPr>
            <w:tcW w:type="dxa" w:w="24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4 · Cíclico — tratamiento recurrente</w:t>
            </w:r>
          </w:p>
        </w:tc>
        <w:tc>
          <w:tcPr>
            <w:tcW w:type="dxa" w:w="2600"/>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3.9</w:t>
            </w:r>
          </w:p>
        </w:tc>
        <w:tc>
          <w:tcPr>
            <w:tcW w:type="dxa" w:w="4638"/>
            <w:tcBorders>
              <w:top w:val="single" w:color="D9DDE0" w:sz="2"/>
              <w:left w:val="single" w:color="D9DDE0" w:sz="2"/>
              <w:bottom w:val="single" w:color="D9DDE0" w:sz="2"/>
              <w:right w:val="single" w:color="D9DDE0" w:sz="2"/>
            </w:tcBorders>
            <w:shd w:fill="FFF8E1" w:val="clear"/>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Ciclo corto que se repite en cada aplicación. El sistema conserva el número de aplicación y la fase de tratamiento entre ciclos. No se modela como estado único progresivo.</w:t>
            </w:r>
          </w:p>
        </w:tc>
      </w:tr>
      <w:tr>
        <w:tc>
          <w:tcPr>
            <w:tcW w:type="dxa" w:w="24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5 · Cierre transaccional</w:t>
            </w:r>
          </w:p>
        </w:tc>
        <w:tc>
          <w:tcPr>
            <w:tcW w:type="dxa" w:w="2600"/>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3.7</w:t>
            </w:r>
          </w:p>
        </w:tc>
        <w:tc>
          <w:tcPr>
            <w:tcW w:type="dxa" w:w="4638"/>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No compite con las cuatro anteriores. Se activa por la ausencia de otro evento: cierre de consulta sin programación quirúrgica. Si la consulta deriva en cirugía, este documento no se activa.</w:t>
            </w:r>
          </w:p>
        </w:tc>
      </w:tr>
    </w:tbl>
    <w:p>
      <w:pPr>
        <w:spacing w:after="140"/>
      </w:pPr>
    </w:p>
    <w:tbl>
      <w:tblPr>
        <w:tblW w:type="dxa" w:w="9638"/>
        <w:tblBorders>
          <w:top w:val="single" w:color="D9DDE0" w:sz="2"/>
          <w:left w:val="single" w:color="00ADBB" w:sz="18"/>
          <w:bottom w:val="single" w:color="D9DDE0" w:sz="2"/>
          <w:right w:val="single" w:color="D9DDE0" w:sz="2"/>
          <w:insideH w:val="single" w:color="auto" w:sz="4"/>
          <w:insideV w:val="single" w:color="auto" w:sz="4"/>
        </w:tblBorders>
      </w:tblPr>
      <w:tblGrid>
        <w:gridCol w:w="9638"/>
      </w:tblGrid>
      <w:tr>
        <w:tc>
          <w:tcPr>
            <w:tcW w:type="dxa" w:w="9638"/>
            <w:tcBorders>
              <w:top w:val="single" w:color="D9DDE0" w:sz="2"/>
              <w:left w:val="single" w:color="00ADBB" w:sz="18"/>
              <w:bottom w:val="single" w:color="D9DDE0" w:sz="2"/>
              <w:right w:val="single" w:color="D9DDE0" w:sz="2"/>
            </w:tcBorders>
            <w:shd w:fill="F2F4F5" w:val="clear"/>
            <w:tcMar>
              <w:top w:type="dxa" w:w="110"/>
              <w:left w:type="dxa" w:w="160"/>
              <w:bottom w:type="dxa" w:w="110"/>
              <w:right w:type="dxa" w:w="140"/>
            </w:tcMar>
          </w:tcPr>
          <w:p>
            <w:pPr>
              <w:spacing w:after="40" w:line="250"/>
            </w:pPr>
            <w:r>
              <w:rPr>
                <w:rFonts w:ascii="Arial" w:cs="Arial" w:eastAsia="Arial" w:hAnsi="Arial"/>
                <w:b/>
                <w:bCs/>
                <w:color w:val="263545"/>
                <w:sz w:val="18"/>
                <w:szCs w:val="18"/>
              </w:rPr>
              <w:t xml:space="preserve">Documentos incorporados en esta versión</w:t>
            </w:r>
          </w:p>
          <w:p>
            <w:pPr>
              <w:spacing w:after="0" w:line="264"/>
            </w:pPr>
            <w:r>
              <w:rPr>
                <w:rFonts w:ascii="Arial" w:cs="Arial" w:eastAsia="Arial" w:hAnsi="Arial"/>
                <w:color w:val="1A1A1A"/>
                <w:sz w:val="18"/>
                <w:szCs w:val="18"/>
              </w:rPr>
              <w:t xml:space="preserve">La versión 2.4 declaraba once documentos operativos y su panorama de activación omitía dos que ya existen: el Doc 3.6f, de acompañamiento en crosslinking corneal, y el Doc 3.9, de acompañamiento en antiangiogénicos intravítreos. El Doc 3.9 no encajaba en ninguna de las categorías anteriores por tratarse de un tratamiento recurrente y no de un episodio único, por lo que esta versión incorpora la categoría cíclica. El bloque cuenta hoy con catorce documentos operativos.</w:t>
            </w:r>
          </w:p>
        </w:tc>
      </w:tr>
    </w:tbl>
    <w:p>
      <w:pPr>
        <w:spacing w:after="280"/>
      </w:pPr>
    </w:p>
    <w:tbl>
      <w:tblPr>
        <w:tblW w:type="dxa" w:w="9638"/>
        <w:tblBorders>
          <w:top w:val="none"/>
          <w:left w:val="none"/>
          <w:bottom w:val="none"/>
          <w:right w:val="none"/>
          <w:insideH w:val="single" w:color="auto" w:sz="4"/>
          <w:insideV w:val="single" w:color="auto" w:sz="4"/>
        </w:tblBorders>
      </w:tblPr>
      <w:tblGrid>
        <w:gridCol w:w="9638"/>
      </w:tblGrid>
      <w:tr>
        <w:tc>
          <w:tcPr>
            <w:tcW w:type="dxa" w:w="9638"/>
            <w:tcBorders>
              <w:top w:val="none"/>
              <w:left w:val="none"/>
              <w:bottom w:val="none"/>
              <w:right w:val="none"/>
            </w:tcBorders>
            <w:shd w:fill="263545" w:val="clear"/>
            <w:tcMar>
              <w:top w:type="dxa" w:w="90"/>
              <w:left w:type="dxa" w:w="140"/>
              <w:bottom w:type="dxa" w:w="90"/>
              <w:right w:type="dxa" w:w="140"/>
            </w:tcMar>
          </w:tcPr>
          <w:p>
            <w:pPr>
              <w:spacing w:after="0" w:line="240"/>
            </w:pPr>
            <w:r>
              <w:rPr>
                <w:rFonts w:ascii="Arial" w:cs="Arial" w:eastAsia="Arial" w:hAnsi="Arial"/>
                <w:b/>
                <w:bCs/>
                <w:color w:val="FFFFFF"/>
                <w:sz w:val="21"/>
                <w:szCs w:val="21"/>
              </w:rPr>
              <w:t xml:space="preserve">5.  ÁRBOL DE DECISIÓN — TRÍO PEDIÁTRICO</w:t>
            </w:r>
          </w:p>
        </w:tc>
      </w:tr>
    </w:tbl>
    <w:p>
      <w:pPr>
        <w:spacing w:after="120"/>
      </w:pPr>
    </w:p>
    <w:p>
      <w:pPr>
        <w:spacing w:after="100" w:before="0" w:line="264"/>
      </w:pPr>
      <w:r>
        <w:rPr>
          <w:rFonts w:ascii="Arial" w:cs="Arial" w:eastAsia="Arial" w:hAnsi="Arial"/>
          <w:color w:val="1A1A1A"/>
          <w:sz w:val="19"/>
          <w:szCs w:val="19"/>
        </w:rPr>
        <w:t xml:space="preserve">Los Docs 3.1, 3.2 y 3.3 pueden superponerse en la práctica clínica sobre un mismo paciente. El árbol resuelve cuál de los tres se activa, y garantiza que nunca haya más de uno activo.</w:t>
      </w:r>
    </w:p>
    <w:p>
      <w:pPr>
        <w:spacing w:after="60"/>
      </w:pPr>
    </w:p>
    <w:tbl>
      <w:tblPr>
        <w:tblW w:type="dxa" w:w="9638"/>
        <w:tblBorders>
          <w:top w:val="single" w:color="D9DDE0" w:sz="2"/>
          <w:left w:val="single" w:color="D9DDE0" w:sz="2"/>
          <w:bottom w:val="single" w:color="D9DDE0" w:sz="2"/>
          <w:right w:val="single" w:color="D9DDE0" w:sz="2"/>
          <w:insideH w:val="single" w:color="auto" w:sz="4"/>
          <w:insideV w:val="single" w:color="auto" w:sz="4"/>
        </w:tblBorders>
      </w:tblPr>
      <w:tblGrid>
        <w:gridCol w:w="900"/>
        <w:gridCol w:w="3200"/>
        <w:gridCol w:w="2769"/>
        <w:gridCol w:w="2769"/>
      </w:tblGrid>
      <w:tr>
        <w:tc>
          <w:tcPr>
            <w:tcW w:type="dxa" w:w="900"/>
            <w:tcBorders>
              <w:top w:val="single" w:color="D9DDE0" w:sz="2"/>
              <w:left w:val="single" w:color="D9DDE0" w:sz="2"/>
              <w:bottom w:val="single" w:color="D9DDE0" w:sz="2"/>
              <w:right w:val="single" w:color="D9DDE0" w:sz="2"/>
            </w:tcBorders>
            <w:shd w:fill="263545" w:val="clear"/>
            <w:tcMar>
              <w:top w:type="dxa" w:w="70"/>
              <w:left w:type="dxa" w:w="110"/>
              <w:bottom w:type="dxa" w:w="70"/>
              <w:right w:type="dxa" w:w="110"/>
            </w:tcMar>
            <w:vAlign w:val="center"/>
          </w:tcPr>
          <w:p>
            <w:pPr>
              <w:spacing w:after="0" w:line="250"/>
            </w:pPr>
            <w:r>
              <w:rPr>
                <w:rFonts w:ascii="Arial" w:cs="Arial" w:eastAsia="Arial" w:hAnsi="Arial"/>
                <w:b/>
                <w:bCs/>
                <w:color w:val="FFFFFF"/>
                <w:sz w:val="17"/>
                <w:szCs w:val="17"/>
              </w:rPr>
              <w:t xml:space="preserve">Paso</w:t>
            </w:r>
          </w:p>
        </w:tc>
        <w:tc>
          <w:tcPr>
            <w:tcW w:type="dxa" w:w="3200"/>
            <w:tcBorders>
              <w:top w:val="single" w:color="D9DDE0" w:sz="2"/>
              <w:left w:val="single" w:color="D9DDE0" w:sz="2"/>
              <w:bottom w:val="single" w:color="D9DDE0" w:sz="2"/>
              <w:right w:val="single" w:color="D9DDE0" w:sz="2"/>
            </w:tcBorders>
            <w:shd w:fill="263545" w:val="clear"/>
            <w:tcMar>
              <w:top w:type="dxa" w:w="70"/>
              <w:left w:type="dxa" w:w="110"/>
              <w:bottom w:type="dxa" w:w="70"/>
              <w:right w:type="dxa" w:w="110"/>
            </w:tcMar>
            <w:vAlign w:val="center"/>
          </w:tcPr>
          <w:p>
            <w:pPr>
              <w:spacing w:after="0" w:line="250"/>
            </w:pPr>
            <w:r>
              <w:rPr>
                <w:rFonts w:ascii="Arial" w:cs="Arial" w:eastAsia="Arial" w:hAnsi="Arial"/>
                <w:b/>
                <w:bCs/>
                <w:color w:val="FFFFFF"/>
                <w:sz w:val="17"/>
                <w:szCs w:val="17"/>
              </w:rPr>
              <w:t xml:space="preserve">Pregunta</w:t>
            </w:r>
          </w:p>
        </w:tc>
        <w:tc>
          <w:tcPr>
            <w:tcW w:type="dxa" w:w="2769"/>
            <w:tcBorders>
              <w:top w:val="single" w:color="D9DDE0" w:sz="2"/>
              <w:left w:val="single" w:color="D9DDE0" w:sz="2"/>
              <w:bottom w:val="single" w:color="D9DDE0" w:sz="2"/>
              <w:right w:val="single" w:color="D9DDE0" w:sz="2"/>
            </w:tcBorders>
            <w:shd w:fill="263545" w:val="clear"/>
            <w:tcMar>
              <w:top w:type="dxa" w:w="70"/>
              <w:left w:type="dxa" w:w="110"/>
              <w:bottom w:type="dxa" w:w="70"/>
              <w:right w:type="dxa" w:w="110"/>
            </w:tcMar>
            <w:vAlign w:val="center"/>
          </w:tcPr>
          <w:p>
            <w:pPr>
              <w:spacing w:after="0" w:line="250"/>
            </w:pPr>
            <w:r>
              <w:rPr>
                <w:rFonts w:ascii="Arial" w:cs="Arial" w:eastAsia="Arial" w:hAnsi="Arial"/>
                <w:b/>
                <w:bCs/>
                <w:color w:val="FFFFFF"/>
                <w:sz w:val="17"/>
                <w:szCs w:val="17"/>
              </w:rPr>
              <w:t xml:space="preserve">Si la respuesta es sí</w:t>
            </w:r>
          </w:p>
        </w:tc>
        <w:tc>
          <w:tcPr>
            <w:tcW w:type="dxa" w:w="2769"/>
            <w:tcBorders>
              <w:top w:val="single" w:color="D9DDE0" w:sz="2"/>
              <w:left w:val="single" w:color="D9DDE0" w:sz="2"/>
              <w:bottom w:val="single" w:color="D9DDE0" w:sz="2"/>
              <w:right w:val="single" w:color="D9DDE0" w:sz="2"/>
            </w:tcBorders>
            <w:shd w:fill="263545" w:val="clear"/>
            <w:tcMar>
              <w:top w:type="dxa" w:w="70"/>
              <w:left w:type="dxa" w:w="110"/>
              <w:bottom w:type="dxa" w:w="70"/>
              <w:right w:type="dxa" w:w="110"/>
            </w:tcMar>
            <w:vAlign w:val="center"/>
          </w:tcPr>
          <w:p>
            <w:pPr>
              <w:spacing w:after="0" w:line="250"/>
            </w:pPr>
            <w:r>
              <w:rPr>
                <w:rFonts w:ascii="Arial" w:cs="Arial" w:eastAsia="Arial" w:hAnsi="Arial"/>
                <w:b/>
                <w:bCs/>
                <w:color w:val="FFFFFF"/>
                <w:sz w:val="17"/>
                <w:szCs w:val="17"/>
              </w:rPr>
              <w:t xml:space="preserve">Si la respuesta es no</w:t>
            </w:r>
          </w:p>
        </w:tc>
      </w:tr>
      <w:tr>
        <w:tc>
          <w:tcPr>
            <w:tcW w:type="dxa" w:w="900"/>
            <w:tcBorders>
              <w:top w:val="single" w:color="D9DDE0" w:sz="2"/>
              <w:left w:val="single" w:color="D9DDE0" w:sz="2"/>
              <w:bottom w:val="single" w:color="D9DDE0" w:sz="2"/>
              <w:right w:val="single" w:color="D9DDE0" w:sz="2"/>
            </w:tcBorders>
            <w:shd w:fill="263545" w:val="clear"/>
            <w:tcMar>
              <w:top w:type="dxa" w:w="70"/>
              <w:left w:type="dxa" w:w="110"/>
              <w:bottom w:type="dxa" w:w="70"/>
              <w:right w:type="dxa" w:w="110"/>
            </w:tcMar>
            <w:vAlign w:val="center"/>
          </w:tcPr>
          <w:p>
            <w:pPr>
              <w:spacing w:after="0" w:line="250"/>
            </w:pPr>
            <w:r>
              <w:rPr>
                <w:rFonts w:ascii="Arial" w:cs="Arial" w:eastAsia="Arial" w:hAnsi="Arial"/>
                <w:b/>
                <w:bCs/>
                <w:color w:val="FFFFFF"/>
                <w:sz w:val="17"/>
                <w:szCs w:val="17"/>
              </w:rPr>
              <w:t xml:space="preserve">1</w:t>
            </w:r>
          </w:p>
        </w:tc>
        <w:tc>
          <w:tcPr>
            <w:tcW w:type="dxa" w:w="3200"/>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¿El paciente tiene diagnóstico de estrabismo?</w:t>
            </w:r>
          </w:p>
        </w:tc>
        <w:tc>
          <w:tcPr>
            <w:tcW w:type="dxa" w:w="2769"/>
            <w:tcBorders>
              <w:top w:val="single" w:color="D9DDE0" w:sz="2"/>
              <w:left w:val="single" w:color="D9DDE0" w:sz="2"/>
              <w:bottom w:val="single" w:color="D9DDE0" w:sz="2"/>
              <w:right w:val="single" w:color="D9DDE0" w:sz="2"/>
            </w:tcBorders>
            <w:shd w:fill="E8F5EE" w:val="clear"/>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Activa Doc 3.2 como protocolo raíz. Continuar al paso 2 dentro del mismo protocolo.</w:t>
            </w:r>
          </w:p>
        </w:tc>
        <w:tc>
          <w:tcPr>
            <w:tcW w:type="dxa" w:w="2769"/>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Ir al paso 3.</w:t>
            </w:r>
          </w:p>
        </w:tc>
      </w:tr>
      <w:tr>
        <w:tc>
          <w:tcPr>
            <w:tcW w:type="dxa" w:w="900"/>
            <w:tcBorders>
              <w:top w:val="single" w:color="D9DDE0" w:sz="2"/>
              <w:left w:val="single" w:color="D9DDE0" w:sz="2"/>
              <w:bottom w:val="single" w:color="D9DDE0" w:sz="2"/>
              <w:right w:val="single" w:color="D9DDE0" w:sz="2"/>
            </w:tcBorders>
            <w:shd w:fill="263545" w:val="clear"/>
            <w:tcMar>
              <w:top w:type="dxa" w:w="70"/>
              <w:left w:type="dxa" w:w="110"/>
              <w:bottom w:type="dxa" w:w="70"/>
              <w:right w:type="dxa" w:w="110"/>
            </w:tcMar>
            <w:vAlign w:val="center"/>
          </w:tcPr>
          <w:p>
            <w:pPr>
              <w:spacing w:after="0" w:line="250"/>
            </w:pPr>
            <w:r>
              <w:rPr>
                <w:rFonts w:ascii="Arial" w:cs="Arial" w:eastAsia="Arial" w:hAnsi="Arial"/>
                <w:b/>
                <w:bCs/>
                <w:color w:val="FFFFFF"/>
                <w:sz w:val="17"/>
                <w:szCs w:val="17"/>
              </w:rPr>
              <w:t xml:space="preserve">2</w:t>
            </w:r>
          </w:p>
        </w:tc>
        <w:tc>
          <w:tcPr>
            <w:tcW w:type="dxa" w:w="3200"/>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Dentro del Doc 3.2: ¿qué conducta está indicada?</w:t>
            </w:r>
          </w:p>
        </w:tc>
        <w:tc>
          <w:tcPr>
            <w:tcW w:type="dxa" w:w="2769"/>
            <w:tcBorders>
              <w:top w:val="single" w:color="D9DDE0" w:sz="2"/>
              <w:left w:val="single" w:color="D9DDE0" w:sz="2"/>
              <w:bottom w:val="single" w:color="D9DDE0" w:sz="2"/>
              <w:right w:val="single" w:color="D9DDE0" w:sz="2"/>
            </w:tcBorders>
            <w:shd w:fill="E8F5EE" w:val="clear"/>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Registrar en conducta_indicada: lentes, parche u observación. La selección múltiple se permite dentro de este único protocolo y no activa ningún otro documento.</w:t>
            </w:r>
          </w:p>
        </w:tc>
        <w:tc>
          <w:tcPr>
            <w:tcW w:type="dxa" w:w="2769"/>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w:t>
            </w:r>
          </w:p>
        </w:tc>
      </w:tr>
      <w:tr>
        <w:tc>
          <w:tcPr>
            <w:tcW w:type="dxa" w:w="900"/>
            <w:tcBorders>
              <w:top w:val="single" w:color="D9DDE0" w:sz="2"/>
              <w:left w:val="single" w:color="D9DDE0" w:sz="2"/>
              <w:bottom w:val="single" w:color="D9DDE0" w:sz="2"/>
              <w:right w:val="single" w:color="D9DDE0" w:sz="2"/>
            </w:tcBorders>
            <w:shd w:fill="263545" w:val="clear"/>
            <w:tcMar>
              <w:top w:type="dxa" w:w="70"/>
              <w:left w:type="dxa" w:w="110"/>
              <w:bottom w:type="dxa" w:w="70"/>
              <w:right w:type="dxa" w:w="110"/>
            </w:tcMar>
            <w:vAlign w:val="center"/>
          </w:tcPr>
          <w:p>
            <w:pPr>
              <w:spacing w:after="0" w:line="250"/>
            </w:pPr>
            <w:r>
              <w:rPr>
                <w:rFonts w:ascii="Arial" w:cs="Arial" w:eastAsia="Arial" w:hAnsi="Arial"/>
                <w:b/>
                <w:bCs/>
                <w:color w:val="FFFFFF"/>
                <w:sz w:val="17"/>
                <w:szCs w:val="17"/>
              </w:rPr>
              <w:t xml:space="preserve">3</w:t>
            </w:r>
          </w:p>
        </w:tc>
        <w:tc>
          <w:tcPr>
            <w:tcW w:type="dxa" w:w="3200"/>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¿El paciente tiene diagnóstico de ambliopía?</w:t>
            </w:r>
          </w:p>
        </w:tc>
        <w:tc>
          <w:tcPr>
            <w:tcW w:type="dxa" w:w="2769"/>
            <w:tcBorders>
              <w:top w:val="single" w:color="D9DDE0" w:sz="2"/>
              <w:left w:val="single" w:color="D9DDE0" w:sz="2"/>
              <w:bottom w:val="single" w:color="D9DDE0" w:sz="2"/>
              <w:right w:val="single" w:color="D9DDE0" w:sz="2"/>
            </w:tcBorders>
            <w:shd w:fill="E8F5EE" w:val="clear"/>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Activa Doc 3.1 como protocolo raíz. Registrar tratamiento_lentes y tratamiento_parche.</w:t>
            </w:r>
          </w:p>
        </w:tc>
        <w:tc>
          <w:tcPr>
            <w:tcW w:type="dxa" w:w="2769"/>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Ir al paso 4.</w:t>
            </w:r>
          </w:p>
        </w:tc>
      </w:tr>
      <w:tr>
        <w:tc>
          <w:tcPr>
            <w:tcW w:type="dxa" w:w="900"/>
            <w:tcBorders>
              <w:top w:val="single" w:color="D9DDE0" w:sz="2"/>
              <w:left w:val="single" w:color="D9DDE0" w:sz="2"/>
              <w:bottom w:val="single" w:color="D9DDE0" w:sz="2"/>
              <w:right w:val="single" w:color="D9DDE0" w:sz="2"/>
            </w:tcBorders>
            <w:shd w:fill="263545" w:val="clear"/>
            <w:tcMar>
              <w:top w:type="dxa" w:w="70"/>
              <w:left w:type="dxa" w:w="110"/>
              <w:bottom w:type="dxa" w:w="70"/>
              <w:right w:type="dxa" w:w="110"/>
            </w:tcMar>
            <w:vAlign w:val="center"/>
          </w:tcPr>
          <w:p>
            <w:pPr>
              <w:spacing w:after="0" w:line="250"/>
            </w:pPr>
            <w:r>
              <w:rPr>
                <w:rFonts w:ascii="Arial" w:cs="Arial" w:eastAsia="Arial" w:hAnsi="Arial"/>
                <w:b/>
                <w:bCs/>
                <w:color w:val="FFFFFF"/>
                <w:sz w:val="17"/>
                <w:szCs w:val="17"/>
              </w:rPr>
              <w:t xml:space="preserve">4</w:t>
            </w:r>
          </w:p>
        </w:tc>
        <w:tc>
          <w:tcPr>
            <w:tcW w:type="dxa" w:w="3200"/>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¿Hay indicación de uso de lentes, sin ambliopía ni estrabismo diagnosticados?</w:t>
            </w:r>
          </w:p>
        </w:tc>
        <w:tc>
          <w:tcPr>
            <w:tcW w:type="dxa" w:w="2769"/>
            <w:tcBorders>
              <w:top w:val="single" w:color="D9DDE0" w:sz="2"/>
              <w:left w:val="single" w:color="D9DDE0" w:sz="2"/>
              <w:bottom w:val="single" w:color="D9DDE0" w:sz="2"/>
              <w:right w:val="single" w:color="D9DDE0" w:sz="2"/>
            </w:tcBorders>
            <w:shd w:fill="E8F5EE" w:val="clear"/>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Activa Doc 3.3.</w:t>
            </w:r>
          </w:p>
        </w:tc>
        <w:tc>
          <w:tcPr>
            <w:tcW w:type="dxa" w:w="2769"/>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No se activa protocolo pediátrico.</w:t>
            </w:r>
          </w:p>
        </w:tc>
      </w:tr>
    </w:tbl>
    <w:p>
      <w:pPr>
        <w:spacing w:after="140"/>
      </w:pPr>
    </w:p>
    <w:tbl>
      <w:tblPr>
        <w:tblW w:type="dxa" w:w="9638"/>
        <w:tblBorders>
          <w:top w:val="single" w:color="D9DDE0" w:sz="2"/>
          <w:left w:val="single" w:color="00ADBB" w:sz="18"/>
          <w:bottom w:val="single" w:color="D9DDE0" w:sz="2"/>
          <w:right w:val="single" w:color="D9DDE0" w:sz="2"/>
          <w:insideH w:val="single" w:color="auto" w:sz="4"/>
          <w:insideV w:val="single" w:color="auto" w:sz="4"/>
        </w:tblBorders>
      </w:tblPr>
      <w:tblGrid>
        <w:gridCol w:w="9638"/>
      </w:tblGrid>
      <w:tr>
        <w:tc>
          <w:tcPr>
            <w:tcW w:type="dxa" w:w="9638"/>
            <w:tcBorders>
              <w:top w:val="single" w:color="D9DDE0" w:sz="2"/>
              <w:left w:val="single" w:color="00ADBB" w:sz="18"/>
              <w:bottom w:val="single" w:color="D9DDE0" w:sz="2"/>
              <w:right w:val="single" w:color="D9DDE0" w:sz="2"/>
            </w:tcBorders>
            <w:shd w:fill="F2F4F5" w:val="clear"/>
            <w:tcMar>
              <w:top w:type="dxa" w:w="110"/>
              <w:left w:type="dxa" w:w="160"/>
              <w:bottom w:type="dxa" w:w="110"/>
              <w:right w:type="dxa" w:w="140"/>
            </w:tcMar>
          </w:tcPr>
          <w:p>
            <w:pPr>
              <w:spacing w:after="40" w:line="250"/>
            </w:pPr>
            <w:r>
              <w:rPr>
                <w:rFonts w:ascii="Arial" w:cs="Arial" w:eastAsia="Arial" w:hAnsi="Arial"/>
                <w:b/>
                <w:bCs/>
                <w:color w:val="263545"/>
                <w:sz w:val="18"/>
                <w:szCs w:val="18"/>
              </w:rPr>
              <w:t xml:space="preserve">Por qué el árbol y no una selección múltiple</w:t>
            </w:r>
          </w:p>
          <w:p>
            <w:pPr>
              <w:spacing w:after="0" w:line="264"/>
            </w:pPr>
            <w:r>
              <w:rPr>
                <w:rFonts w:ascii="Arial" w:cs="Arial" w:eastAsia="Arial" w:hAnsi="Arial"/>
                <w:color w:val="1A1A1A"/>
                <w:sz w:val="18"/>
                <w:szCs w:val="18"/>
              </w:rPr>
              <w:t xml:space="preserve">El modelo original de este documento permitía activar dos o más protocolos pediátricos a la vez sobre un mismo paciente. Ese diseño producía dos problemas: saturación de mensajes hacia el paciente y, por restricción real de las plantillas de la interfaz de mensajería, imposibilidad técnica de fusionar el contenido de protocolos distintos en un solo envío. El modelo vigente activa siempre un único protocolo, el de mayor jerarquía clínica presente, y ese protocolo se enriquece con sus propias variantes internas. No se importa contenido de otro documento.</w:t>
            </w:r>
          </w:p>
        </w:tc>
      </w:tr>
    </w:tbl>
    <w:p>
      <w:pPr>
        <w:spacing w:after="280"/>
      </w:pPr>
    </w:p>
    <w:p>
      <w:r>
        <w:br w:type="page"/>
      </w:r>
    </w:p>
    <w:tbl>
      <w:tblPr>
        <w:tblW w:type="dxa" w:w="9638"/>
        <w:tblBorders>
          <w:top w:val="none"/>
          <w:left w:val="none"/>
          <w:bottom w:val="none"/>
          <w:right w:val="none"/>
          <w:insideH w:val="single" w:color="auto" w:sz="4"/>
          <w:insideV w:val="single" w:color="auto" w:sz="4"/>
        </w:tblBorders>
      </w:tblPr>
      <w:tblGrid>
        <w:gridCol w:w="9638"/>
      </w:tblGrid>
      <w:tr>
        <w:tc>
          <w:tcPr>
            <w:tcW w:type="dxa" w:w="9638"/>
            <w:tcBorders>
              <w:top w:val="none"/>
              <w:left w:val="none"/>
              <w:bottom w:val="none"/>
              <w:right w:val="none"/>
            </w:tcBorders>
            <w:shd w:fill="263545" w:val="clear"/>
            <w:tcMar>
              <w:top w:type="dxa" w:w="90"/>
              <w:left w:type="dxa" w:w="140"/>
              <w:bottom w:type="dxa" w:w="90"/>
              <w:right w:type="dxa" w:w="140"/>
            </w:tcMar>
          </w:tcPr>
          <w:p>
            <w:pPr>
              <w:spacing w:after="0" w:line="240"/>
            </w:pPr>
            <w:r>
              <w:rPr>
                <w:rFonts w:ascii="Arial" w:cs="Arial" w:eastAsia="Arial" w:hAnsi="Arial"/>
                <w:b/>
                <w:bCs/>
                <w:color w:val="FFFFFF"/>
                <w:sz w:val="21"/>
                <w:szCs w:val="21"/>
              </w:rPr>
              <w:t xml:space="preserve">6.  REGLA DE TRANSICIÓN DE PROTOCOLO</w:t>
            </w:r>
          </w:p>
        </w:tc>
      </w:tr>
    </w:tbl>
    <w:p>
      <w:pPr>
        <w:spacing w:after="120"/>
      </w:pPr>
    </w:p>
    <w:p>
      <w:pPr>
        <w:spacing w:after="100" w:before="0" w:line="264"/>
      </w:pPr>
      <w:r>
        <w:rPr>
          <w:rFonts w:ascii="Arial" w:cs="Arial" w:eastAsia="Arial" w:hAnsi="Arial"/>
          <w:color w:val="1A1A1A"/>
          <w:sz w:val="19"/>
          <w:szCs w:val="19"/>
        </w:rPr>
        <w:t xml:space="preserve">Aplica cuando una consulta posterior confirma un diagnóstico que cambia el protocolo raíz correspondiente.</w:t>
      </w:r>
    </w:p>
    <w:p>
      <w:pPr>
        <w:spacing w:after="60"/>
      </w:pPr>
    </w:p>
    <w:tbl>
      <w:tblPr>
        <w:tblW w:type="dxa" w:w="9638"/>
        <w:tblBorders>
          <w:top w:val="single" w:color="D9DDE0" w:sz="2"/>
          <w:left w:val="single" w:color="D9DDE0" w:sz="2"/>
          <w:bottom w:val="single" w:color="D9DDE0" w:sz="2"/>
          <w:right w:val="single" w:color="D9DDE0" w:sz="2"/>
          <w:insideH w:val="single" w:color="auto" w:sz="4"/>
          <w:insideV w:val="single" w:color="auto" w:sz="4"/>
        </w:tblBorders>
      </w:tblPr>
      <w:tblGrid>
        <w:gridCol w:w="2800"/>
        <w:gridCol w:w="6838"/>
      </w:tblGrid>
      <w:tr>
        <w:tc>
          <w:tcPr>
            <w:tcW w:type="dxa" w:w="2800"/>
            <w:tcBorders>
              <w:top w:val="single" w:color="D9DDE0" w:sz="2"/>
              <w:left w:val="single" w:color="D9DDE0" w:sz="2"/>
              <w:bottom w:val="single" w:color="D9DDE0" w:sz="2"/>
              <w:right w:val="single" w:color="D9DDE0" w:sz="2"/>
            </w:tcBorders>
            <w:shd w:fill="263545" w:val="clear"/>
            <w:tcMar>
              <w:top w:type="dxa" w:w="70"/>
              <w:left w:type="dxa" w:w="110"/>
              <w:bottom w:type="dxa" w:w="70"/>
              <w:right w:type="dxa" w:w="110"/>
            </w:tcMar>
            <w:vAlign w:val="center"/>
          </w:tcPr>
          <w:p>
            <w:pPr>
              <w:spacing w:after="0" w:line="250"/>
            </w:pPr>
            <w:r>
              <w:rPr>
                <w:rFonts w:ascii="Arial" w:cs="Arial" w:eastAsia="Arial" w:hAnsi="Arial"/>
                <w:b/>
                <w:bCs/>
                <w:color w:val="FFFFFF"/>
                <w:sz w:val="17"/>
                <w:szCs w:val="17"/>
              </w:rPr>
              <w:t xml:space="preserve">Regla</w:t>
            </w:r>
          </w:p>
        </w:tc>
        <w:tc>
          <w:tcPr>
            <w:tcW w:type="dxa" w:w="6838"/>
            <w:tcBorders>
              <w:top w:val="single" w:color="D9DDE0" w:sz="2"/>
              <w:left w:val="single" w:color="D9DDE0" w:sz="2"/>
              <w:bottom w:val="single" w:color="D9DDE0" w:sz="2"/>
              <w:right w:val="single" w:color="D9DDE0" w:sz="2"/>
            </w:tcBorders>
            <w:shd w:fill="263545" w:val="clear"/>
            <w:tcMar>
              <w:top w:type="dxa" w:w="70"/>
              <w:left w:type="dxa" w:w="110"/>
              <w:bottom w:type="dxa" w:w="70"/>
              <w:right w:type="dxa" w:w="110"/>
            </w:tcMar>
            <w:vAlign w:val="center"/>
          </w:tcPr>
          <w:p>
            <w:pPr>
              <w:spacing w:after="0" w:line="250"/>
            </w:pPr>
            <w:r>
              <w:rPr>
                <w:rFonts w:ascii="Arial" w:cs="Arial" w:eastAsia="Arial" w:hAnsi="Arial"/>
                <w:b/>
                <w:bCs/>
                <w:color w:val="FFFFFF"/>
                <w:sz w:val="17"/>
                <w:szCs w:val="17"/>
              </w:rPr>
              <w:t xml:space="preserve">Descripción</w:t>
            </w:r>
          </w:p>
        </w:tc>
      </w:tr>
      <w:tr>
        <w:tc>
          <w:tcPr>
            <w:tcW w:type="dxa" w:w="28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Disparador</w:t>
            </w:r>
          </w:p>
        </w:tc>
        <w:tc>
          <w:tcPr>
            <w:tcW w:type="dxa" w:w="6838"/>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El Doc 3.3 está activo, es decir el paciente tiene únicamente indicación de lentes. En una consulta posterior el médico tratante confirma ambliopía o estrabismo.</w:t>
            </w:r>
          </w:p>
        </w:tc>
      </w:tr>
      <w:tr>
        <w:tc>
          <w:tcPr>
            <w:tcW w:type="dxa" w:w="28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Acción del sistema</w:t>
            </w:r>
          </w:p>
        </w:tc>
        <w:tc>
          <w:tcPr>
            <w:tcW w:type="dxa" w:w="6838"/>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El Doc 3.3 se cierra con motivo de transición a protocolo de mayor jerarquía, y no se registra como abandono. Se activa el Doc 3.1 o el Doc 3.2 según corresponda.</w:t>
            </w:r>
          </w:p>
        </w:tc>
      </w:tr>
      <w:tr>
        <w:tc>
          <w:tcPr>
            <w:tcW w:type="dxa" w:w="28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Campos que se preservan</w:t>
            </w:r>
          </w:p>
        </w:tc>
        <w:tc>
          <w:tcPr>
            <w:tcW w:type="dxa" w:w="6838"/>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lentes_adquiridos_pupila y fecha_entrega_lentes se trasladan al protocolo entrante y no se vuelven a preguntar al paciente.</w:t>
            </w:r>
          </w:p>
        </w:tc>
      </w:tr>
      <w:tr>
        <w:tc>
          <w:tcPr>
            <w:tcW w:type="dxa" w:w="28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Mensaje al paciente</w:t>
            </w:r>
          </w:p>
        </w:tc>
        <w:tc>
          <w:tcPr>
            <w:tcW w:type="dxa" w:w="6838"/>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El protocolo entrante no repite la bienvenida: su estado inicial reconoce que ya existe una relación de seguimiento en curso.</w:t>
            </w:r>
          </w:p>
        </w:tc>
      </w:tr>
      <w:tr>
        <w:tc>
          <w:tcPr>
            <w:tcW w:type="dxa" w:w="28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Qué no es</w:t>
            </w:r>
          </w:p>
        </w:tc>
        <w:tc>
          <w:tcPr>
            <w:tcW w:type="dxa" w:w="6838"/>
            <w:tcBorders>
              <w:top w:val="single" w:color="D9DDE0" w:sz="2"/>
              <w:left w:val="single" w:color="D9DDE0" w:sz="2"/>
              <w:bottom w:val="single" w:color="D9DDE0" w:sz="2"/>
              <w:right w:val="single" w:color="D9DDE0" w:sz="2"/>
            </w:tcBorders>
            <w:shd w:fill="FFF8E1" w:val="clear"/>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La transición no es coexistencia. Es el reemplazo de un protocolo activo por otro.</w:t>
            </w:r>
          </w:p>
        </w:tc>
      </w:tr>
    </w:tbl>
    <w:p>
      <w:pPr>
        <w:spacing w:after="280"/>
      </w:pPr>
    </w:p>
    <w:tbl>
      <w:tblPr>
        <w:tblW w:type="dxa" w:w="9638"/>
        <w:tblBorders>
          <w:top w:val="none"/>
          <w:left w:val="none"/>
          <w:bottom w:val="none"/>
          <w:right w:val="none"/>
          <w:insideH w:val="single" w:color="auto" w:sz="4"/>
          <w:insideV w:val="single" w:color="auto" w:sz="4"/>
        </w:tblBorders>
      </w:tblPr>
      <w:tblGrid>
        <w:gridCol w:w="9638"/>
      </w:tblGrid>
      <w:tr>
        <w:tc>
          <w:tcPr>
            <w:tcW w:type="dxa" w:w="9638"/>
            <w:tcBorders>
              <w:top w:val="none"/>
              <w:left w:val="none"/>
              <w:bottom w:val="none"/>
              <w:right w:val="none"/>
            </w:tcBorders>
            <w:shd w:fill="263545" w:val="clear"/>
            <w:tcMar>
              <w:top w:type="dxa" w:w="90"/>
              <w:left w:type="dxa" w:w="140"/>
              <w:bottom w:type="dxa" w:w="90"/>
              <w:right w:type="dxa" w:w="140"/>
            </w:tcMar>
          </w:tcPr>
          <w:p>
            <w:pPr>
              <w:spacing w:after="0" w:line="240"/>
            </w:pPr>
            <w:r>
              <w:rPr>
                <w:rFonts w:ascii="Arial" w:cs="Arial" w:eastAsia="Arial" w:hAnsi="Arial"/>
                <w:b/>
                <w:bCs/>
                <w:color w:val="FFFFFF"/>
                <w:sz w:val="21"/>
                <w:szCs w:val="21"/>
              </w:rPr>
              <w:t xml:space="preserve">7.  INDICACIÓN Y PROGRAMACIÓN — DOS MOMENTOS DISTINTOS</w:t>
            </w:r>
          </w:p>
        </w:tc>
      </w:tr>
    </w:tbl>
    <w:p>
      <w:pPr>
        <w:spacing w:after="120"/>
      </w:pPr>
    </w:p>
    <w:tbl>
      <w:tblPr>
        <w:tblW w:type="dxa" w:w="9638"/>
        <w:tblBorders>
          <w:top w:val="single" w:color="D9DDE0" w:sz="2"/>
          <w:left w:val="single" w:color="D9DDE0" w:sz="2"/>
          <w:bottom w:val="single" w:color="D9DDE0" w:sz="2"/>
          <w:right w:val="single" w:color="D9DDE0" w:sz="2"/>
          <w:insideH w:val="single" w:color="auto" w:sz="4"/>
          <w:insideV w:val="single" w:color="auto" w:sz="4"/>
        </w:tblBorders>
      </w:tblPr>
      <w:tblGrid>
        <w:gridCol w:w="2400"/>
        <w:gridCol w:w="3400"/>
        <w:gridCol w:w="3838"/>
      </w:tblGrid>
      <w:tr>
        <w:tc>
          <w:tcPr>
            <w:tcW w:type="dxa" w:w="2400"/>
            <w:tcBorders>
              <w:top w:val="single" w:color="D9DDE0" w:sz="2"/>
              <w:left w:val="single" w:color="D9DDE0" w:sz="2"/>
              <w:bottom w:val="single" w:color="D9DDE0" w:sz="2"/>
              <w:right w:val="single" w:color="D9DDE0" w:sz="2"/>
            </w:tcBorders>
            <w:shd w:fill="263545" w:val="clear"/>
            <w:tcMar>
              <w:top w:type="dxa" w:w="70"/>
              <w:left w:type="dxa" w:w="110"/>
              <w:bottom w:type="dxa" w:w="70"/>
              <w:right w:type="dxa" w:w="110"/>
            </w:tcMar>
            <w:vAlign w:val="center"/>
          </w:tcPr>
          <w:p>
            <w:pPr>
              <w:spacing w:after="0" w:line="250"/>
            </w:pPr>
            <w:r>
              <w:rPr>
                <w:rFonts w:ascii="Arial" w:cs="Arial" w:eastAsia="Arial" w:hAnsi="Arial"/>
                <w:b/>
                <w:bCs/>
                <w:color w:val="FFFFFF"/>
                <w:sz w:val="17"/>
                <w:szCs w:val="17"/>
              </w:rPr>
              <w:t xml:space="preserve">Documento</w:t>
            </w:r>
          </w:p>
        </w:tc>
        <w:tc>
          <w:tcPr>
            <w:tcW w:type="dxa" w:w="3400"/>
            <w:tcBorders>
              <w:top w:val="single" w:color="D9DDE0" w:sz="2"/>
              <w:left w:val="single" w:color="D9DDE0" w:sz="2"/>
              <w:bottom w:val="single" w:color="D9DDE0" w:sz="2"/>
              <w:right w:val="single" w:color="D9DDE0" w:sz="2"/>
            </w:tcBorders>
            <w:shd w:fill="263545" w:val="clear"/>
            <w:tcMar>
              <w:top w:type="dxa" w:w="70"/>
              <w:left w:type="dxa" w:w="110"/>
              <w:bottom w:type="dxa" w:w="70"/>
              <w:right w:type="dxa" w:w="110"/>
            </w:tcMar>
            <w:vAlign w:val="center"/>
          </w:tcPr>
          <w:p>
            <w:pPr>
              <w:spacing w:after="0" w:line="250"/>
            </w:pPr>
            <w:r>
              <w:rPr>
                <w:rFonts w:ascii="Arial" w:cs="Arial" w:eastAsia="Arial" w:hAnsi="Arial"/>
                <w:b/>
                <w:bCs/>
                <w:color w:val="FFFFFF"/>
                <w:sz w:val="17"/>
                <w:szCs w:val="17"/>
              </w:rPr>
              <w:t xml:space="preserve">Campo de indicación</w:t>
            </w:r>
          </w:p>
        </w:tc>
        <w:tc>
          <w:tcPr>
            <w:tcW w:type="dxa" w:w="3838"/>
            <w:tcBorders>
              <w:top w:val="single" w:color="D9DDE0" w:sz="2"/>
              <w:left w:val="single" w:color="D9DDE0" w:sz="2"/>
              <w:bottom w:val="single" w:color="D9DDE0" w:sz="2"/>
              <w:right w:val="single" w:color="D9DDE0" w:sz="2"/>
            </w:tcBorders>
            <w:shd w:fill="263545" w:val="clear"/>
            <w:tcMar>
              <w:top w:type="dxa" w:w="70"/>
              <w:left w:type="dxa" w:w="110"/>
              <w:bottom w:type="dxa" w:w="70"/>
              <w:right w:type="dxa" w:w="110"/>
            </w:tcMar>
            <w:vAlign w:val="center"/>
          </w:tcPr>
          <w:p>
            <w:pPr>
              <w:spacing w:after="0" w:line="250"/>
            </w:pPr>
            <w:r>
              <w:rPr>
                <w:rFonts w:ascii="Arial" w:cs="Arial" w:eastAsia="Arial" w:hAnsi="Arial"/>
                <w:b/>
                <w:bCs/>
                <w:color w:val="FFFFFF"/>
                <w:sz w:val="17"/>
                <w:szCs w:val="17"/>
              </w:rPr>
              <w:t xml:space="preserve">Campo de programación</w:t>
            </w:r>
          </w:p>
        </w:tc>
      </w:tr>
      <w:tr>
        <w:tc>
          <w:tcPr>
            <w:tcW w:type="dxa" w:w="24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3.2 — Estrabismo</w:t>
            </w:r>
          </w:p>
        </w:tc>
        <w:tc>
          <w:tcPr>
            <w:tcW w:type="dxa" w:w="3400"/>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cirugia_indicada — activa el embudo de acompañamiento en paralelo, sin interrumpir la pista de tratamiento.</w:t>
            </w:r>
          </w:p>
        </w:tc>
        <w:tc>
          <w:tcPr>
            <w:tcW w:type="dxa" w:w="3838"/>
            <w:tcBorders>
              <w:top w:val="single" w:color="D9DDE0" w:sz="2"/>
              <w:left w:val="single" w:color="D9DDE0" w:sz="2"/>
              <w:bottom w:val="single" w:color="D9DDE0" w:sz="2"/>
              <w:right w:val="single" w:color="D9DDE0" w:sz="2"/>
            </w:tcBorders>
            <w:shd w:fill="FFF8E1" w:val="clear"/>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cirugia_programada, fecha real. Cierra el Doc 3.2 desde cualquier estado activo y activa el Doc 3.6d.</w:t>
            </w:r>
          </w:p>
        </w:tc>
      </w:tr>
      <w:tr>
        <w:tc>
          <w:tcPr>
            <w:tcW w:type="dxa" w:w="24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3.4 — Catarata</w:t>
            </w:r>
          </w:p>
        </w:tc>
        <w:tc>
          <w:tcPr>
            <w:tcW w:type="dxa" w:w="3400"/>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cirugia_indicada — activa la ruta de conversión.</w:t>
            </w:r>
          </w:p>
        </w:tc>
        <w:tc>
          <w:tcPr>
            <w:tcW w:type="dxa" w:w="3838"/>
            <w:tcBorders>
              <w:top w:val="single" w:color="D9DDE0" w:sz="2"/>
              <w:left w:val="single" w:color="D9DDE0" w:sz="2"/>
              <w:bottom w:val="single" w:color="D9DDE0" w:sz="2"/>
              <w:right w:val="single" w:color="D9DDE0" w:sz="2"/>
            </w:tcBorders>
            <w:shd w:fill="FFF8E1" w:val="clear"/>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cirugia_programada. Cierra el Doc 3.4 y activa el Doc 3.6a.</w:t>
            </w:r>
          </w:p>
        </w:tc>
      </w:tr>
      <w:tr>
        <w:tc>
          <w:tcPr>
            <w:tcW w:type="dxa" w:w="24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3.5 — Queratocono</w:t>
            </w:r>
          </w:p>
        </w:tc>
        <w:tc>
          <w:tcPr>
            <w:tcW w:type="dxa" w:w="3400"/>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cxl_indicado y origen_indicacion_cxl.</w:t>
            </w:r>
          </w:p>
        </w:tc>
        <w:tc>
          <w:tcPr>
            <w:tcW w:type="dxa" w:w="3838"/>
            <w:tcBorders>
              <w:top w:val="single" w:color="D9DDE0" w:sz="2"/>
              <w:left w:val="single" w:color="D9DDE0" w:sz="2"/>
              <w:bottom w:val="single" w:color="D9DDE0" w:sz="2"/>
              <w:right w:val="single" w:color="D9DDE0" w:sz="2"/>
            </w:tcBorders>
            <w:shd w:fill="FFF8E1" w:val="clear"/>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cxl_programado. Activa el Doc 3.6f. El Doc 3.5 no se cierra, porque la vigilancia continúa.</w:t>
            </w:r>
          </w:p>
        </w:tc>
      </w:tr>
      <w:tr>
        <w:tc>
          <w:tcPr>
            <w:tcW w:type="dxa" w:w="24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3.8 — Retina no quirúrgica</w:t>
            </w:r>
          </w:p>
        </w:tc>
        <w:tc>
          <w:tcPr>
            <w:tcW w:type="dxa" w:w="3400"/>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No aplica: no existe indicación previa separada.</w:t>
            </w:r>
          </w:p>
        </w:tc>
        <w:tc>
          <w:tcPr>
            <w:tcW w:type="dxa" w:w="3838"/>
            <w:tcBorders>
              <w:top w:val="single" w:color="D9DDE0" w:sz="2"/>
              <w:left w:val="single" w:color="D9DDE0" w:sz="2"/>
              <w:bottom w:val="single" w:color="D9DDE0" w:sz="2"/>
              <w:right w:val="single" w:color="D9DDE0" w:sz="2"/>
            </w:tcBorders>
            <w:shd w:fill="FFF8E1" w:val="clear"/>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Registro de sesión de láser programada, con fecha y hora. Activa el protocolo mismo.</w:t>
            </w:r>
          </w:p>
        </w:tc>
      </w:tr>
    </w:tbl>
    <w:p>
      <w:pPr>
        <w:spacing w:after="140"/>
      </w:pPr>
    </w:p>
    <w:tbl>
      <w:tblPr>
        <w:tblW w:type="dxa" w:w="9638"/>
        <w:tblBorders>
          <w:top w:val="single" w:color="D9DDE0" w:sz="2"/>
          <w:left w:val="single" w:color="00ADBB" w:sz="18"/>
          <w:bottom w:val="single" w:color="D9DDE0" w:sz="2"/>
          <w:right w:val="single" w:color="D9DDE0" w:sz="2"/>
          <w:insideH w:val="single" w:color="auto" w:sz="4"/>
          <w:insideV w:val="single" w:color="auto" w:sz="4"/>
        </w:tblBorders>
      </w:tblPr>
      <w:tblGrid>
        <w:gridCol w:w="9638"/>
      </w:tblGrid>
      <w:tr>
        <w:tc>
          <w:tcPr>
            <w:tcW w:type="dxa" w:w="9638"/>
            <w:tcBorders>
              <w:top w:val="single" w:color="D9DDE0" w:sz="2"/>
              <w:left w:val="single" w:color="00ADBB" w:sz="18"/>
              <w:bottom w:val="single" w:color="D9DDE0" w:sz="2"/>
              <w:right w:val="single" w:color="D9DDE0" w:sz="2"/>
            </w:tcBorders>
            <w:shd w:fill="FEECEC" w:val="clear"/>
            <w:tcMar>
              <w:top w:type="dxa" w:w="110"/>
              <w:left w:type="dxa" w:w="160"/>
              <w:bottom w:type="dxa" w:w="110"/>
              <w:right w:type="dxa" w:w="140"/>
            </w:tcMar>
          </w:tcPr>
          <w:p>
            <w:pPr>
              <w:spacing w:after="40" w:line="250"/>
            </w:pPr>
            <w:r>
              <w:rPr>
                <w:rFonts w:ascii="Arial" w:cs="Arial" w:eastAsia="Arial" w:hAnsi="Arial"/>
                <w:b/>
                <w:bCs/>
                <w:color w:val="263545"/>
                <w:sz w:val="18"/>
                <w:szCs w:val="18"/>
              </w:rPr>
              <w:t xml:space="preserve">Regla general — indicación no es programación</w:t>
            </w:r>
          </w:p>
          <w:p>
            <w:pPr>
              <w:spacing w:after="0" w:line="264"/>
            </w:pPr>
            <w:r>
              <w:rPr>
                <w:rFonts w:ascii="Arial" w:cs="Arial" w:eastAsia="Arial" w:hAnsi="Arial"/>
                <w:color w:val="1A1A1A"/>
                <w:sz w:val="18"/>
                <w:szCs w:val="18"/>
              </w:rPr>
              <w:t xml:space="preserve">Un campo de indicación responde a si el procedimiento está indicado y sirve para medir y para activar acompañamiento en paralelo. Un campo de programación responde a cuándo se realizará y contiene una fecha real. Únicamente el campo de programación provoca transiciones entre protocolos. Confundirlos produce el cierre prematuro de un protocolo de tratamiento cuya conducta conservadora sigue vigente, error detectado y corregido en el Doc 3.2. La regla aplica a cualquier protocolo futuro que distinga ambos momentos.</w:t>
            </w:r>
          </w:p>
        </w:tc>
      </w:tr>
    </w:tbl>
    <w:p>
      <w:pPr>
        <w:spacing w:after="280"/>
      </w:pPr>
    </w:p>
    <w:p>
      <w:r>
        <w:br w:type="page"/>
      </w:r>
    </w:p>
    <w:tbl>
      <w:tblPr>
        <w:tblW w:type="dxa" w:w="9638"/>
        <w:tblBorders>
          <w:top w:val="none"/>
          <w:left w:val="none"/>
          <w:bottom w:val="none"/>
          <w:right w:val="none"/>
          <w:insideH w:val="single" w:color="auto" w:sz="4"/>
          <w:insideV w:val="single" w:color="auto" w:sz="4"/>
        </w:tblBorders>
      </w:tblPr>
      <w:tblGrid>
        <w:gridCol w:w="9638"/>
      </w:tblGrid>
      <w:tr>
        <w:tc>
          <w:tcPr>
            <w:tcW w:type="dxa" w:w="9638"/>
            <w:tcBorders>
              <w:top w:val="none"/>
              <w:left w:val="none"/>
              <w:bottom w:val="none"/>
              <w:right w:val="none"/>
            </w:tcBorders>
            <w:shd w:fill="263545" w:val="clear"/>
            <w:tcMar>
              <w:top w:type="dxa" w:w="90"/>
              <w:left w:type="dxa" w:w="140"/>
              <w:bottom w:type="dxa" w:w="90"/>
              <w:right w:type="dxa" w:w="140"/>
            </w:tcMar>
          </w:tcPr>
          <w:p>
            <w:pPr>
              <w:spacing w:after="0" w:line="240"/>
            </w:pPr>
            <w:r>
              <w:rPr>
                <w:rFonts w:ascii="Arial" w:cs="Arial" w:eastAsia="Arial" w:hAnsi="Arial"/>
                <w:b/>
                <w:bCs/>
                <w:color w:val="FFFFFF"/>
                <w:sz w:val="21"/>
                <w:szCs w:val="21"/>
              </w:rPr>
              <w:t xml:space="preserve">8.  REGLA DE DOBLE CONFIRMACIÓN</w:t>
            </w:r>
          </w:p>
        </w:tc>
      </w:tr>
    </w:tbl>
    <w:p>
      <w:pPr>
        <w:spacing w:after="120"/>
      </w:pPr>
    </w:p>
    <w:p>
      <w:pPr>
        <w:spacing w:after="100" w:before="0" w:line="264"/>
      </w:pPr>
      <w:r>
        <w:rPr>
          <w:rFonts w:ascii="Arial" w:cs="Arial" w:eastAsia="Arial" w:hAnsi="Arial"/>
          <w:color w:val="1A1A1A"/>
          <w:sz w:val="19"/>
          <w:szCs w:val="19"/>
        </w:rPr>
        <w:t xml:space="preserve">Cuando un campo, al cambiar de valor, provoca que un protocolo salte dos o más estados de su máquina de estados, el sistema solicita una confirmación explícita adicional antes de ejecutar el salto.</w:t>
      </w:r>
    </w:p>
    <w:p>
      <w:pPr>
        <w:spacing w:after="60"/>
      </w:pPr>
    </w:p>
    <w:tbl>
      <w:tblPr>
        <w:tblW w:type="dxa" w:w="9638"/>
        <w:tblBorders>
          <w:top w:val="single" w:color="D9DDE0" w:sz="2"/>
          <w:left w:val="single" w:color="D9DDE0" w:sz="2"/>
          <w:bottom w:val="single" w:color="D9DDE0" w:sz="2"/>
          <w:right w:val="single" w:color="D9DDE0" w:sz="2"/>
          <w:insideH w:val="single" w:color="auto" w:sz="4"/>
          <w:insideV w:val="single" w:color="auto" w:sz="4"/>
        </w:tblBorders>
      </w:tblPr>
      <w:tblGrid>
        <w:gridCol w:w="3000"/>
        <w:gridCol w:w="3200"/>
        <w:gridCol w:w="3438"/>
      </w:tblGrid>
      <w:tr>
        <w:tc>
          <w:tcPr>
            <w:tcW w:type="dxa" w:w="3000"/>
            <w:tcBorders>
              <w:top w:val="single" w:color="D9DDE0" w:sz="2"/>
              <w:left w:val="single" w:color="D9DDE0" w:sz="2"/>
              <w:bottom w:val="single" w:color="D9DDE0" w:sz="2"/>
              <w:right w:val="single" w:color="D9DDE0" w:sz="2"/>
            </w:tcBorders>
            <w:shd w:fill="263545" w:val="clear"/>
            <w:tcMar>
              <w:top w:type="dxa" w:w="70"/>
              <w:left w:type="dxa" w:w="110"/>
              <w:bottom w:type="dxa" w:w="70"/>
              <w:right w:type="dxa" w:w="110"/>
            </w:tcMar>
            <w:vAlign w:val="center"/>
          </w:tcPr>
          <w:p>
            <w:pPr>
              <w:spacing w:after="0" w:line="250"/>
            </w:pPr>
            <w:r>
              <w:rPr>
                <w:rFonts w:ascii="Arial" w:cs="Arial" w:eastAsia="Arial" w:hAnsi="Arial"/>
                <w:b/>
                <w:bCs/>
                <w:color w:val="FFFFFF"/>
                <w:sz w:val="17"/>
                <w:szCs w:val="17"/>
              </w:rPr>
              <w:t xml:space="preserve">Campo</w:t>
            </w:r>
          </w:p>
        </w:tc>
        <w:tc>
          <w:tcPr>
            <w:tcW w:type="dxa" w:w="3200"/>
            <w:tcBorders>
              <w:top w:val="single" w:color="D9DDE0" w:sz="2"/>
              <w:left w:val="single" w:color="D9DDE0" w:sz="2"/>
              <w:bottom w:val="single" w:color="D9DDE0" w:sz="2"/>
              <w:right w:val="single" w:color="D9DDE0" w:sz="2"/>
            </w:tcBorders>
            <w:shd w:fill="263545" w:val="clear"/>
            <w:tcMar>
              <w:top w:type="dxa" w:w="70"/>
              <w:left w:type="dxa" w:w="110"/>
              <w:bottom w:type="dxa" w:w="70"/>
              <w:right w:type="dxa" w:w="110"/>
            </w:tcMar>
            <w:vAlign w:val="center"/>
          </w:tcPr>
          <w:p>
            <w:pPr>
              <w:spacing w:after="0" w:line="250"/>
            </w:pPr>
            <w:r>
              <w:rPr>
                <w:rFonts w:ascii="Arial" w:cs="Arial" w:eastAsia="Arial" w:hAnsi="Arial"/>
                <w:b/>
                <w:bCs/>
                <w:color w:val="FFFFFF"/>
                <w:sz w:val="17"/>
                <w:szCs w:val="17"/>
              </w:rPr>
              <w:t xml:space="preserve">Protocolo</w:t>
            </w:r>
          </w:p>
        </w:tc>
        <w:tc>
          <w:tcPr>
            <w:tcW w:type="dxa" w:w="3438"/>
            <w:tcBorders>
              <w:top w:val="single" w:color="D9DDE0" w:sz="2"/>
              <w:left w:val="single" w:color="D9DDE0" w:sz="2"/>
              <w:bottom w:val="single" w:color="D9DDE0" w:sz="2"/>
              <w:right w:val="single" w:color="D9DDE0" w:sz="2"/>
            </w:tcBorders>
            <w:shd w:fill="263545" w:val="clear"/>
            <w:tcMar>
              <w:top w:type="dxa" w:w="70"/>
              <w:left w:type="dxa" w:w="110"/>
              <w:bottom w:type="dxa" w:w="70"/>
              <w:right w:type="dxa" w:w="110"/>
            </w:tcMar>
            <w:vAlign w:val="center"/>
          </w:tcPr>
          <w:p>
            <w:pPr>
              <w:spacing w:after="0" w:line="250"/>
            </w:pPr>
            <w:r>
              <w:rPr>
                <w:rFonts w:ascii="Arial" w:cs="Arial" w:eastAsia="Arial" w:hAnsi="Arial"/>
                <w:b/>
                <w:bCs/>
                <w:color w:val="FFFFFF"/>
                <w:sz w:val="17"/>
                <w:szCs w:val="17"/>
              </w:rPr>
              <w:t xml:space="preserve">Salto que provoca</w:t>
            </w:r>
          </w:p>
        </w:tc>
      </w:tr>
      <w:tr>
        <w:tc>
          <w:tcPr>
            <w:tcW w:type="dxa" w:w="30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cirugia_programada</w:t>
            </w:r>
          </w:p>
        </w:tc>
        <w:tc>
          <w:tcPr>
            <w:tcW w:type="dxa" w:w="3200"/>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Doc 3.2 — Estrabismo</w:t>
            </w:r>
          </w:p>
        </w:tc>
        <w:tc>
          <w:tcPr>
            <w:tcW w:type="dxa" w:w="3438"/>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Cierra el protocolo activo y activa el Doc 3.6d.</w:t>
            </w:r>
          </w:p>
        </w:tc>
      </w:tr>
      <w:tr>
        <w:tc>
          <w:tcPr>
            <w:tcW w:type="dxa" w:w="30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cirugia_programada</w:t>
            </w:r>
          </w:p>
        </w:tc>
        <w:tc>
          <w:tcPr>
            <w:tcW w:type="dxa" w:w="3200"/>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Doc 3.4 — Catarata</w:t>
            </w:r>
          </w:p>
        </w:tc>
        <w:tc>
          <w:tcPr>
            <w:tcW w:type="dxa" w:w="3438"/>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Cierra el protocolo activo y activa el Doc 3.6a.</w:t>
            </w:r>
          </w:p>
        </w:tc>
      </w:tr>
      <w:tr>
        <w:tc>
          <w:tcPr>
            <w:tcW w:type="dxa" w:w="30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cxl_programado</w:t>
            </w:r>
          </w:p>
        </w:tc>
        <w:tc>
          <w:tcPr>
            <w:tcW w:type="dxa" w:w="3200"/>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Doc 3.5 — Queratocono</w:t>
            </w:r>
          </w:p>
        </w:tc>
        <w:tc>
          <w:tcPr>
            <w:tcW w:type="dxa" w:w="3438"/>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Activa el Doc 3.6f sin cerrar el protocolo de vigilancia.</w:t>
            </w:r>
          </w:p>
        </w:tc>
      </w:tr>
      <w:tr>
        <w:tc>
          <w:tcPr>
            <w:tcW w:type="dxa" w:w="30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Confirmación de diagnóstico de ambliopía o estrabismo</w:t>
            </w:r>
          </w:p>
        </w:tc>
        <w:tc>
          <w:tcPr>
            <w:tcW w:type="dxa" w:w="3200"/>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Doc 3.3 — Lentes en Niños</w:t>
            </w:r>
          </w:p>
        </w:tc>
        <w:tc>
          <w:tcPr>
            <w:tcW w:type="dxa" w:w="3438"/>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Cierra el Doc 3.3 por transición y activa el Doc 3.1 o el Doc 3.2.</w:t>
            </w:r>
          </w:p>
        </w:tc>
      </w:tr>
    </w:tbl>
    <w:p>
      <w:pPr>
        <w:spacing w:after="280"/>
      </w:pPr>
    </w:p>
    <w:tbl>
      <w:tblPr>
        <w:tblW w:type="dxa" w:w="9638"/>
        <w:tblBorders>
          <w:top w:val="none"/>
          <w:left w:val="none"/>
          <w:bottom w:val="none"/>
          <w:right w:val="none"/>
          <w:insideH w:val="single" w:color="auto" w:sz="4"/>
          <w:insideV w:val="single" w:color="auto" w:sz="4"/>
        </w:tblBorders>
      </w:tblPr>
      <w:tblGrid>
        <w:gridCol w:w="9638"/>
      </w:tblGrid>
      <w:tr>
        <w:tc>
          <w:tcPr>
            <w:tcW w:type="dxa" w:w="9638"/>
            <w:tcBorders>
              <w:top w:val="none"/>
              <w:left w:val="none"/>
              <w:bottom w:val="none"/>
              <w:right w:val="none"/>
            </w:tcBorders>
            <w:shd w:fill="263545" w:val="clear"/>
            <w:tcMar>
              <w:top w:type="dxa" w:w="90"/>
              <w:left w:type="dxa" w:w="140"/>
              <w:bottom w:type="dxa" w:w="90"/>
              <w:right w:type="dxa" w:w="140"/>
            </w:tcMar>
          </w:tcPr>
          <w:p>
            <w:pPr>
              <w:spacing w:after="0" w:line="240"/>
            </w:pPr>
            <w:r>
              <w:rPr>
                <w:rFonts w:ascii="Arial" w:cs="Arial" w:eastAsia="Arial" w:hAnsi="Arial"/>
                <w:b/>
                <w:bCs/>
                <w:color w:val="FFFFFF"/>
                <w:sz w:val="21"/>
                <w:szCs w:val="21"/>
              </w:rPr>
              <w:t xml:space="preserve">9.  EL SELECTOR EN EL EXPEDIENTE ELECTRÓNICO</w:t>
            </w:r>
          </w:p>
        </w:tc>
      </w:tr>
    </w:tbl>
    <w:p>
      <w:pPr>
        <w:spacing w:after="120"/>
      </w:pPr>
    </w:p>
    <w:tbl>
      <w:tblPr>
        <w:tblW w:type="dxa" w:w="9638"/>
        <w:tblBorders>
          <w:top w:val="single" w:color="D9DDE0" w:sz="2"/>
          <w:left w:val="single" w:color="D9DDE0" w:sz="2"/>
          <w:bottom w:val="single" w:color="D9DDE0" w:sz="2"/>
          <w:right w:val="single" w:color="D9DDE0" w:sz="2"/>
          <w:insideH w:val="single" w:color="auto" w:sz="4"/>
          <w:insideV w:val="single" w:color="auto" w:sz="4"/>
        </w:tblBorders>
      </w:tblPr>
      <w:tblGrid>
        <w:gridCol w:w="2800"/>
        <w:gridCol w:w="6838"/>
      </w:tblGrid>
      <w:tr>
        <w:tc>
          <w:tcPr>
            <w:tcW w:type="dxa" w:w="2800"/>
            <w:tcBorders>
              <w:top w:val="single" w:color="D9DDE0" w:sz="2"/>
              <w:left w:val="single" w:color="D9DDE0" w:sz="2"/>
              <w:bottom w:val="single" w:color="D9DDE0" w:sz="2"/>
              <w:right w:val="single" w:color="D9DDE0" w:sz="2"/>
            </w:tcBorders>
            <w:shd w:fill="263545" w:val="clear"/>
            <w:tcMar>
              <w:top w:type="dxa" w:w="70"/>
              <w:left w:type="dxa" w:w="110"/>
              <w:bottom w:type="dxa" w:w="70"/>
              <w:right w:type="dxa" w:w="110"/>
            </w:tcMar>
            <w:vAlign w:val="center"/>
          </w:tcPr>
          <w:p>
            <w:pPr>
              <w:spacing w:after="0" w:line="250"/>
            </w:pPr>
            <w:r>
              <w:rPr>
                <w:rFonts w:ascii="Arial" w:cs="Arial" w:eastAsia="Arial" w:hAnsi="Arial"/>
                <w:b/>
                <w:bCs/>
                <w:color w:val="FFFFFF"/>
                <w:sz w:val="17"/>
                <w:szCs w:val="17"/>
              </w:rPr>
              <w:t xml:space="preserve">Aspecto</w:t>
            </w:r>
          </w:p>
        </w:tc>
        <w:tc>
          <w:tcPr>
            <w:tcW w:type="dxa" w:w="6838"/>
            <w:tcBorders>
              <w:top w:val="single" w:color="D9DDE0" w:sz="2"/>
              <w:left w:val="single" w:color="D9DDE0" w:sz="2"/>
              <w:bottom w:val="single" w:color="D9DDE0" w:sz="2"/>
              <w:right w:val="single" w:color="D9DDE0" w:sz="2"/>
            </w:tcBorders>
            <w:shd w:fill="263545" w:val="clear"/>
            <w:tcMar>
              <w:top w:type="dxa" w:w="70"/>
              <w:left w:type="dxa" w:w="110"/>
              <w:bottom w:type="dxa" w:w="70"/>
              <w:right w:type="dxa" w:w="110"/>
            </w:tcMar>
            <w:vAlign w:val="center"/>
          </w:tcPr>
          <w:p>
            <w:pPr>
              <w:spacing w:after="0" w:line="250"/>
            </w:pPr>
            <w:r>
              <w:rPr>
                <w:rFonts w:ascii="Arial" w:cs="Arial" w:eastAsia="Arial" w:hAnsi="Arial"/>
                <w:b/>
                <w:bCs/>
                <w:color w:val="FFFFFF"/>
                <w:sz w:val="17"/>
                <w:szCs w:val="17"/>
              </w:rPr>
              <w:t xml:space="preserve">Definición</w:t>
            </w:r>
          </w:p>
        </w:tc>
      </w:tr>
      <w:tr>
        <w:tc>
          <w:tcPr>
            <w:tcW w:type="dxa" w:w="28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Dónde vive el Selector</w:t>
            </w:r>
          </w:p>
        </w:tc>
        <w:tc>
          <w:tcPr>
            <w:tcW w:type="dxa" w:w="6838"/>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En el paso 6 del wizard de consulta, denominado Cierre y firma, conforme al Anexo A.14.</w:t>
            </w:r>
          </w:p>
        </w:tc>
      </w:tr>
      <w:tr>
        <w:tc>
          <w:tcPr>
            <w:tcW w:type="dxa" w:w="28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Cuándo aparece</w:t>
            </w:r>
          </w:p>
        </w:tc>
        <w:tc>
          <w:tcPr>
            <w:tcW w:type="dxa" w:w="6838"/>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Antes de la firma. La firma ocurre después del Selector y no antes, de modo que la activación del protocolo queda contenida en la nota firmada.</w:t>
            </w:r>
          </w:p>
        </w:tc>
      </w:tr>
      <w:tr>
        <w:tc>
          <w:tcPr>
            <w:tcW w:type="dxa" w:w="28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Campo que registra</w:t>
            </w:r>
          </w:p>
        </w:tc>
        <w:tc>
          <w:tcPr>
            <w:tcW w:type="dxa" w:w="6838"/>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protocolo_activado, con selección única por consulta.</w:t>
            </w:r>
          </w:p>
        </w:tc>
      </w:tr>
      <w:tr>
        <w:tc>
          <w:tcPr>
            <w:tcW w:type="dxa" w:w="28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Doble confirmación</w:t>
            </w:r>
          </w:p>
        </w:tc>
        <w:tc>
          <w:tcPr>
            <w:tcW w:type="dxa" w:w="6838"/>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Cuando la selección provoca un salto de dos o más estados, el sistema solicita confirmación adicional antes de ejecutarlo. Ver sección 8.</w:t>
            </w:r>
          </w:p>
        </w:tc>
      </w:tr>
      <w:tr>
        <w:tc>
          <w:tcPr>
            <w:tcW w:type="dxa" w:w="28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Qué no hace el sistema</w:t>
            </w:r>
          </w:p>
        </w:tc>
        <w:tc>
          <w:tcPr>
            <w:tcW w:type="dxa" w:w="6838"/>
            <w:tcBorders>
              <w:top w:val="single" w:color="D9DDE0" w:sz="2"/>
              <w:left w:val="single" w:color="D9DDE0" w:sz="2"/>
              <w:bottom w:val="single" w:color="D9DDE0" w:sz="2"/>
              <w:right w:val="single" w:color="D9DDE0" w:sz="2"/>
            </w:tcBorders>
            <w:shd w:fill="FEECEC" w:val="clear"/>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No lee el texto del diagnóstico, no propone protocolo a partir de los hallazgos registrados y no activa nada por inferencia. Ver sección 3.</w:t>
            </w:r>
          </w:p>
        </w:tc>
      </w:tr>
    </w:tbl>
    <w:p>
      <w:pPr>
        <w:spacing w:after="280"/>
      </w:pPr>
    </w:p>
    <w:p>
      <w:r>
        <w:br w:type="page"/>
      </w:r>
    </w:p>
    <w:tbl>
      <w:tblPr>
        <w:tblW w:type="dxa" w:w="9638"/>
        <w:tblBorders>
          <w:top w:val="none"/>
          <w:left w:val="none"/>
          <w:bottom w:val="none"/>
          <w:right w:val="none"/>
          <w:insideH w:val="single" w:color="auto" w:sz="4"/>
          <w:insideV w:val="single" w:color="auto" w:sz="4"/>
        </w:tblBorders>
      </w:tblPr>
      <w:tblGrid>
        <w:gridCol w:w="9638"/>
      </w:tblGrid>
      <w:tr>
        <w:tc>
          <w:tcPr>
            <w:tcW w:type="dxa" w:w="9638"/>
            <w:tcBorders>
              <w:top w:val="none"/>
              <w:left w:val="none"/>
              <w:bottom w:val="none"/>
              <w:right w:val="none"/>
            </w:tcBorders>
            <w:shd w:fill="263545" w:val="clear"/>
            <w:tcMar>
              <w:top w:type="dxa" w:w="90"/>
              <w:left w:type="dxa" w:w="140"/>
              <w:bottom w:type="dxa" w:w="90"/>
              <w:right w:type="dxa" w:w="140"/>
            </w:tcMar>
          </w:tcPr>
          <w:p>
            <w:pPr>
              <w:spacing w:after="0" w:line="240"/>
            </w:pPr>
            <w:r>
              <w:rPr>
                <w:rFonts w:ascii="Arial" w:cs="Arial" w:eastAsia="Arial" w:hAnsi="Arial"/>
                <w:b/>
                <w:bCs/>
                <w:color w:val="FFFFFF"/>
                <w:sz w:val="21"/>
                <w:szCs w:val="21"/>
              </w:rPr>
              <w:t xml:space="preserve">10.  EJEMPLOS DE APLICACIÓN</w:t>
            </w:r>
          </w:p>
        </w:tc>
      </w:tr>
    </w:tbl>
    <w:p>
      <w:pPr>
        <w:spacing w:after="120"/>
      </w:pPr>
    </w:p>
    <w:tbl>
      <w:tblPr>
        <w:tblW w:type="dxa" w:w="9638"/>
        <w:tblBorders>
          <w:top w:val="single" w:color="D9DDE0" w:sz="2"/>
          <w:left w:val="single" w:color="D9DDE0" w:sz="2"/>
          <w:bottom w:val="single" w:color="D9DDE0" w:sz="2"/>
          <w:right w:val="single" w:color="D9DDE0" w:sz="2"/>
          <w:insideH w:val="single" w:color="auto" w:sz="4"/>
          <w:insideV w:val="single" w:color="auto" w:sz="4"/>
        </w:tblBorders>
      </w:tblPr>
      <w:tblGrid>
        <w:gridCol w:w="2400"/>
        <w:gridCol w:w="7238"/>
      </w:tblGrid>
      <w:tr>
        <w:tc>
          <w:tcPr>
            <w:tcW w:type="dxa" w:w="2400"/>
            <w:tcBorders>
              <w:top w:val="single" w:color="D9DDE0" w:sz="2"/>
              <w:left w:val="single" w:color="D9DDE0" w:sz="2"/>
              <w:bottom w:val="single" w:color="D9DDE0" w:sz="2"/>
              <w:right w:val="single" w:color="D9DDE0" w:sz="2"/>
            </w:tcBorders>
            <w:shd w:fill="263545" w:val="clear"/>
            <w:tcMar>
              <w:top w:type="dxa" w:w="70"/>
              <w:left w:type="dxa" w:w="110"/>
              <w:bottom w:type="dxa" w:w="70"/>
              <w:right w:type="dxa" w:w="110"/>
            </w:tcMar>
            <w:vAlign w:val="center"/>
          </w:tcPr>
          <w:p>
            <w:pPr>
              <w:spacing w:after="0" w:line="250"/>
            </w:pPr>
            <w:r>
              <w:rPr>
                <w:rFonts w:ascii="Arial" w:cs="Arial" w:eastAsia="Arial" w:hAnsi="Arial"/>
                <w:b/>
                <w:bCs/>
                <w:color w:val="FFFFFF"/>
                <w:sz w:val="17"/>
                <w:szCs w:val="17"/>
              </w:rPr>
              <w:t xml:space="preserve">Caso</w:t>
            </w:r>
          </w:p>
        </w:tc>
        <w:tc>
          <w:tcPr>
            <w:tcW w:type="dxa" w:w="7238"/>
            <w:tcBorders>
              <w:top w:val="single" w:color="D9DDE0" w:sz="2"/>
              <w:left w:val="single" w:color="D9DDE0" w:sz="2"/>
              <w:bottom w:val="single" w:color="D9DDE0" w:sz="2"/>
              <w:right w:val="single" w:color="D9DDE0" w:sz="2"/>
            </w:tcBorders>
            <w:shd w:fill="263545" w:val="clear"/>
            <w:tcMar>
              <w:top w:type="dxa" w:w="70"/>
              <w:left w:type="dxa" w:w="110"/>
              <w:bottom w:type="dxa" w:w="70"/>
              <w:right w:type="dxa" w:w="110"/>
            </w:tcMar>
            <w:vAlign w:val="center"/>
          </w:tcPr>
          <w:p>
            <w:pPr>
              <w:spacing w:after="0" w:line="250"/>
            </w:pPr>
            <w:r>
              <w:rPr>
                <w:rFonts w:ascii="Arial" w:cs="Arial" w:eastAsia="Arial" w:hAnsi="Arial"/>
                <w:b/>
                <w:bCs/>
                <w:color w:val="FFFFFF"/>
                <w:sz w:val="17"/>
                <w:szCs w:val="17"/>
              </w:rPr>
              <w:t xml:space="preserve">Resolución</w:t>
            </w:r>
          </w:p>
        </w:tc>
      </w:tr>
      <w:tr>
        <w:tc>
          <w:tcPr>
            <w:tcW w:type="dxa" w:w="24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Ambliopía con indicación de lentes, sin estrabismo</w:t>
            </w:r>
          </w:p>
        </w:tc>
        <w:tc>
          <w:tcPr>
            <w:tcW w:type="dxa" w:w="7238"/>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El árbol resuelve: no hay estrabismo, sí hay ambliopía. Se activa únicamente el Doc 3.1, con tratamiento_lentes en sí. No se activa el Doc 3.3: el seguimiento de lentes vive dentro del Doc 3.1.</w:t>
            </w:r>
          </w:p>
        </w:tc>
      </w:tr>
      <w:tr>
        <w:tc>
          <w:tcPr>
            <w:tcW w:type="dxa" w:w="24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Estrabismo con lentes indicados y ambliopía asociada</w:t>
            </w:r>
          </w:p>
        </w:tc>
        <w:tc>
          <w:tcPr>
            <w:tcW w:type="dxa" w:w="7238"/>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El árbol resuelve en el primer paso: hay estrabismo. Se activa únicamente el Doc 3.2, con conducta_indicada en lentes y parche. La ambliopía queda registrada en el diagnóstico y visible para el médico, pero no genera secuencia propia de mensajes.</w:t>
            </w:r>
          </w:p>
        </w:tc>
      </w:tr>
      <w:tr>
        <w:tc>
          <w:tcPr>
            <w:tcW w:type="dxa" w:w="24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Solo lentes, con confirmación posterior de ambliopía</w:t>
            </w:r>
          </w:p>
        </w:tc>
        <w:tc>
          <w:tcPr>
            <w:tcW w:type="dxa" w:w="7238"/>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Se activa el Doc 3.3. Dos meses después, en consulta de control, el médico confirma ambliopía. Se aplica la regla de transición: el Doc 3.3 se cierra por transición, el Doc 3.1 se activa, y los campos de lentes ya capturados se trasladan sin volver a preguntarse.</w:t>
            </w:r>
          </w:p>
        </w:tc>
      </w:tr>
      <w:tr>
        <w:tc>
          <w:tcPr>
            <w:tcW w:type="dxa" w:w="24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Catarata con cirugía indicada y aún no programada</w:t>
            </w:r>
          </w:p>
        </w:tc>
        <w:tc>
          <w:tcPr>
            <w:tcW w:type="dxa" w:w="7238"/>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Se activa el Doc 3.4 con cirugia_indicada en sí, que abre la ruta de conversión. El Doc 3.6a no se activa: espera la fecha real en cirugia_programada.</w:t>
            </w:r>
          </w:p>
        </w:tc>
      </w:tr>
      <w:tr>
        <w:tc>
          <w:tcPr>
            <w:tcW w:type="dxa" w:w="24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Queratocono con crosslinking programado</w:t>
            </w:r>
          </w:p>
        </w:tc>
        <w:tc>
          <w:tcPr>
            <w:tcW w:type="dxa" w:w="7238"/>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cxl_programado activa el Doc 3.6f. El Doc 3.5 permanece activo, porque la vigilancia del queratocono no termina con el procedimiento.</w:t>
            </w:r>
          </w:p>
        </w:tc>
      </w:tr>
      <w:tr>
        <w:tc>
          <w:tcPr>
            <w:tcW w:type="dxa" w:w="24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Antiangiogénico intravítreo indicado</w:t>
            </w:r>
          </w:p>
        </w:tc>
        <w:tc>
          <w:tcPr>
            <w:tcW w:type="dxa" w:w="7238"/>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Se activa el Doc 3.9, de arquitectura cíclica. El sistema conserva numero_aplicacion y fase_tratamiento entre ciclos, y no reinicia el protocolo en cada aplicación.</w:t>
            </w:r>
          </w:p>
        </w:tc>
      </w:tr>
      <w:tr>
        <w:tc>
          <w:tcPr>
            <w:tcW w:type="dxa" w:w="24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Consulta que cierra sin cirugía ni protocolo clínico</w:t>
            </w:r>
          </w:p>
        </w:tc>
        <w:tc>
          <w:tcPr>
            <w:tcW w:type="dxa" w:w="7238"/>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Se activa el Doc 3.7, de cierre transaccional, por ausencia de programación quirúrgica.</w:t>
            </w:r>
          </w:p>
        </w:tc>
      </w:tr>
    </w:tbl>
    <w:p>
      <w:pPr>
        <w:spacing w:after="280"/>
      </w:pPr>
    </w:p>
    <w:tbl>
      <w:tblPr>
        <w:tblW w:type="dxa" w:w="9638"/>
        <w:tblBorders>
          <w:top w:val="none"/>
          <w:left w:val="none"/>
          <w:bottom w:val="none"/>
          <w:right w:val="none"/>
          <w:insideH w:val="single" w:color="auto" w:sz="4"/>
          <w:insideV w:val="single" w:color="auto" w:sz="4"/>
        </w:tblBorders>
      </w:tblPr>
      <w:tblGrid>
        <w:gridCol w:w="9638"/>
      </w:tblGrid>
      <w:tr>
        <w:tc>
          <w:tcPr>
            <w:tcW w:type="dxa" w:w="9638"/>
            <w:tcBorders>
              <w:top w:val="none"/>
              <w:left w:val="none"/>
              <w:bottom w:val="none"/>
              <w:right w:val="none"/>
            </w:tcBorders>
            <w:shd w:fill="263545" w:val="clear"/>
            <w:tcMar>
              <w:top w:type="dxa" w:w="90"/>
              <w:left w:type="dxa" w:w="140"/>
              <w:bottom w:type="dxa" w:w="90"/>
              <w:right w:type="dxa" w:w="140"/>
            </w:tcMar>
          </w:tcPr>
          <w:p>
            <w:pPr>
              <w:spacing w:after="0" w:line="240"/>
            </w:pPr>
            <w:r>
              <w:rPr>
                <w:rFonts w:ascii="Arial" w:cs="Arial" w:eastAsia="Arial" w:hAnsi="Arial"/>
                <w:b/>
                <w:bCs/>
                <w:color w:val="FFFFFF"/>
                <w:sz w:val="21"/>
                <w:szCs w:val="21"/>
              </w:rPr>
              <w:t xml:space="preserve">11.  CRITERIO DE VERIFICACIÓN</w:t>
            </w:r>
          </w:p>
        </w:tc>
      </w:tr>
    </w:tbl>
    <w:p>
      <w:pPr>
        <w:spacing w:after="120"/>
      </w:pPr>
    </w:p>
    <w:tbl>
      <w:tblPr>
        <w:tblW w:type="dxa" w:w="9638"/>
        <w:tblBorders>
          <w:top w:val="single" w:color="D9DDE0" w:sz="2"/>
          <w:left w:val="single" w:color="D9DDE0" w:sz="2"/>
          <w:bottom w:val="single" w:color="D9DDE0" w:sz="2"/>
          <w:right w:val="single" w:color="D9DDE0" w:sz="2"/>
          <w:insideH w:val="single" w:color="auto" w:sz="4"/>
          <w:insideV w:val="single" w:color="auto" w:sz="4"/>
        </w:tblBorders>
      </w:tblPr>
      <w:tblGrid>
        <w:gridCol w:w="700"/>
        <w:gridCol w:w="6300"/>
        <w:gridCol w:w="2638"/>
      </w:tblGrid>
      <w:tr>
        <w:tc>
          <w:tcPr>
            <w:tcW w:type="dxa" w:w="700"/>
            <w:tcBorders>
              <w:top w:val="single" w:color="D9DDE0" w:sz="2"/>
              <w:left w:val="single" w:color="D9DDE0" w:sz="2"/>
              <w:bottom w:val="single" w:color="D9DDE0" w:sz="2"/>
              <w:right w:val="single" w:color="D9DDE0" w:sz="2"/>
            </w:tcBorders>
            <w:shd w:fill="263545" w:val="clear"/>
            <w:tcMar>
              <w:top w:type="dxa" w:w="70"/>
              <w:left w:type="dxa" w:w="110"/>
              <w:bottom w:type="dxa" w:w="70"/>
              <w:right w:type="dxa" w:w="110"/>
            </w:tcMar>
            <w:vAlign w:val="center"/>
          </w:tcPr>
          <w:p>
            <w:pPr>
              <w:spacing w:after="0" w:line="250"/>
            </w:pPr>
            <w:r>
              <w:rPr>
                <w:rFonts w:ascii="Arial" w:cs="Arial" w:eastAsia="Arial" w:hAnsi="Arial"/>
                <w:b/>
                <w:bCs/>
                <w:color w:val="FFFFFF"/>
                <w:sz w:val="17"/>
                <w:szCs w:val="17"/>
              </w:rPr>
              <w:t xml:space="preserve"/>
            </w:r>
          </w:p>
        </w:tc>
        <w:tc>
          <w:tcPr>
            <w:tcW w:type="dxa" w:w="6300"/>
            <w:tcBorders>
              <w:top w:val="single" w:color="D9DDE0" w:sz="2"/>
              <w:left w:val="single" w:color="D9DDE0" w:sz="2"/>
              <w:bottom w:val="single" w:color="D9DDE0" w:sz="2"/>
              <w:right w:val="single" w:color="D9DDE0" w:sz="2"/>
            </w:tcBorders>
            <w:shd w:fill="263545" w:val="clear"/>
            <w:tcMar>
              <w:top w:type="dxa" w:w="70"/>
              <w:left w:type="dxa" w:w="110"/>
              <w:bottom w:type="dxa" w:w="70"/>
              <w:right w:type="dxa" w:w="110"/>
            </w:tcMar>
            <w:vAlign w:val="center"/>
          </w:tcPr>
          <w:p>
            <w:pPr>
              <w:spacing w:after="0" w:line="250"/>
            </w:pPr>
            <w:r>
              <w:rPr>
                <w:rFonts w:ascii="Arial" w:cs="Arial" w:eastAsia="Arial" w:hAnsi="Arial"/>
                <w:b/>
                <w:bCs/>
                <w:color w:val="FFFFFF"/>
                <w:sz w:val="17"/>
                <w:szCs w:val="17"/>
              </w:rPr>
              <w:t xml:space="preserve">Condición de verificación</w:t>
            </w:r>
          </w:p>
        </w:tc>
        <w:tc>
          <w:tcPr>
            <w:tcW w:type="dxa" w:w="2638"/>
            <w:tcBorders>
              <w:top w:val="single" w:color="D9DDE0" w:sz="2"/>
              <w:left w:val="single" w:color="D9DDE0" w:sz="2"/>
              <w:bottom w:val="single" w:color="D9DDE0" w:sz="2"/>
              <w:right w:val="single" w:color="D9DDE0" w:sz="2"/>
            </w:tcBorders>
            <w:shd w:fill="263545" w:val="clear"/>
            <w:tcMar>
              <w:top w:type="dxa" w:w="70"/>
              <w:left w:type="dxa" w:w="110"/>
              <w:bottom w:type="dxa" w:w="70"/>
              <w:right w:type="dxa" w:w="110"/>
            </w:tcMar>
            <w:vAlign w:val="center"/>
          </w:tcPr>
          <w:p>
            <w:pPr>
              <w:spacing w:after="0" w:line="250"/>
            </w:pPr>
            <w:r>
              <w:rPr>
                <w:rFonts w:ascii="Arial" w:cs="Arial" w:eastAsia="Arial" w:hAnsi="Arial"/>
                <w:b/>
                <w:bCs/>
                <w:color w:val="FFFFFF"/>
                <w:sz w:val="17"/>
                <w:szCs w:val="17"/>
              </w:rPr>
              <w:t xml:space="preserve">Responsable</w:t>
            </w:r>
          </w:p>
        </w:tc>
      </w:tr>
      <w:tr>
        <w:tc>
          <w:tcPr>
            <w:tcW w:type="dxa" w:w="7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w:t>
            </w:r>
          </w:p>
        </w:tc>
        <w:tc>
          <w:tcPr>
            <w:tcW w:type="dxa" w:w="6300"/>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La incorporación de los Docs 3.6f y 3.9 al panorama de activación fue revisada y aprobada, incluida la categoría cíclica.</w:t>
            </w:r>
          </w:p>
        </w:tc>
        <w:tc>
          <w:tcPr>
            <w:tcW w:type="dxa" w:w="2638"/>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Directora Médica</w:t>
            </w:r>
          </w:p>
        </w:tc>
      </w:tr>
      <w:tr>
        <w:tc>
          <w:tcPr>
            <w:tcW w:type="dxa" w:w="7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w:t>
            </w:r>
          </w:p>
        </w:tc>
        <w:tc>
          <w:tcPr>
            <w:tcW w:type="dxa" w:w="6300"/>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El Selector aparece en el paso 6 del expediente electrónico y la firma ocurre después de él.</w:t>
            </w:r>
          </w:p>
        </w:tc>
        <w:tc>
          <w:tcPr>
            <w:tcW w:type="dxa" w:w="2638"/>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Dirección General</w:t>
            </w:r>
          </w:p>
        </w:tc>
      </w:tr>
      <w:tr>
        <w:tc>
          <w:tcPr>
            <w:tcW w:type="dxa" w:w="7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w:t>
            </w:r>
          </w:p>
        </w:tc>
        <w:tc>
          <w:tcPr>
            <w:tcW w:type="dxa" w:w="6300"/>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Se verificó en el sistema que ningún protocolo se activa a partir del texto del diagnóstico ni de los hallazgos registrados.</w:t>
            </w:r>
          </w:p>
        </w:tc>
        <w:tc>
          <w:tcPr>
            <w:tcW w:type="dxa" w:w="2638"/>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Dirección General</w:t>
            </w:r>
          </w:p>
        </w:tc>
      </w:tr>
      <w:tr>
        <w:tc>
          <w:tcPr>
            <w:tcW w:type="dxa" w:w="7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w:t>
            </w:r>
          </w:p>
        </w:tc>
        <w:tc>
          <w:tcPr>
            <w:tcW w:type="dxa" w:w="6300"/>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Se probó un caso de transición del Doc 3.3 al Doc 3.1 y se confirmó que los campos de lentes se trasladaron sin volver a preguntarse al paciente.</w:t>
            </w:r>
          </w:p>
        </w:tc>
        <w:tc>
          <w:tcPr>
            <w:tcW w:type="dxa" w:w="2638"/>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Asistente Clínica</w:t>
            </w:r>
          </w:p>
        </w:tc>
      </w:tr>
      <w:tr>
        <w:tc>
          <w:tcPr>
            <w:tcW w:type="dxa" w:w="7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w:t>
            </w:r>
          </w:p>
        </w:tc>
        <w:tc>
          <w:tcPr>
            <w:tcW w:type="dxa" w:w="6300"/>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Se probó que un campo de indicación no cierra el protocolo de tratamiento y que solo el campo de programación provoca la transición.</w:t>
            </w:r>
          </w:p>
        </w:tc>
        <w:tc>
          <w:tcPr>
            <w:tcW w:type="dxa" w:w="2638"/>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Asistente Clínica</w:t>
            </w:r>
          </w:p>
        </w:tc>
      </w:tr>
    </w:tbl>
    <w:p>
      <w:pPr>
        <w:spacing w:after="280"/>
      </w:pPr>
    </w:p>
    <w:tbl>
      <w:tblPr>
        <w:tblW w:type="dxa" w:w="9638"/>
        <w:tblBorders>
          <w:top w:val="none"/>
          <w:left w:val="none"/>
          <w:bottom w:val="none"/>
          <w:right w:val="none"/>
          <w:insideH w:val="single" w:color="auto" w:sz="4"/>
          <w:insideV w:val="single" w:color="auto" w:sz="4"/>
        </w:tblBorders>
      </w:tblPr>
      <w:tblGrid>
        <w:gridCol w:w="9638"/>
      </w:tblGrid>
      <w:tr>
        <w:tc>
          <w:tcPr>
            <w:tcW w:type="dxa" w:w="9638"/>
            <w:tcBorders>
              <w:top w:val="none"/>
              <w:left w:val="none"/>
              <w:bottom w:val="none"/>
              <w:right w:val="none"/>
            </w:tcBorders>
            <w:shd w:fill="263545" w:val="clear"/>
            <w:tcMar>
              <w:top w:type="dxa" w:w="90"/>
              <w:left w:type="dxa" w:w="140"/>
              <w:bottom w:type="dxa" w:w="90"/>
              <w:right w:type="dxa" w:w="140"/>
            </w:tcMar>
          </w:tcPr>
          <w:p>
            <w:pPr>
              <w:spacing w:after="0" w:line="240"/>
            </w:pPr>
            <w:r>
              <w:rPr>
                <w:rFonts w:ascii="Arial" w:cs="Arial" w:eastAsia="Arial" w:hAnsi="Arial"/>
                <w:b/>
                <w:bCs/>
                <w:color w:val="FFFFFF"/>
                <w:sz w:val="21"/>
                <w:szCs w:val="21"/>
              </w:rPr>
              <w:t xml:space="preserve">12.  CONTROL DE VERSIONES</w:t>
            </w:r>
          </w:p>
        </w:tc>
      </w:tr>
    </w:tbl>
    <w:p>
      <w:pPr>
        <w:spacing w:after="120"/>
      </w:pPr>
    </w:p>
    <w:tbl>
      <w:tblPr>
        <w:tblW w:type="dxa" w:w="9638"/>
        <w:tblBorders>
          <w:top w:val="single" w:color="D9DDE0" w:sz="2"/>
          <w:left w:val="single" w:color="D9DDE0" w:sz="2"/>
          <w:bottom w:val="single" w:color="D9DDE0" w:sz="2"/>
          <w:right w:val="single" w:color="D9DDE0" w:sz="2"/>
          <w:insideH w:val="single" w:color="auto" w:sz="4"/>
          <w:insideV w:val="single" w:color="auto" w:sz="4"/>
        </w:tblBorders>
      </w:tblPr>
      <w:tblGrid>
        <w:gridCol w:w="900"/>
        <w:gridCol w:w="1500"/>
        <w:gridCol w:w="5700"/>
        <w:gridCol w:w="1538"/>
      </w:tblGrid>
      <w:tr>
        <w:tc>
          <w:tcPr>
            <w:tcW w:type="dxa" w:w="900"/>
            <w:tcBorders>
              <w:top w:val="single" w:color="D9DDE0" w:sz="2"/>
              <w:left w:val="single" w:color="D9DDE0" w:sz="2"/>
              <w:bottom w:val="single" w:color="D9DDE0" w:sz="2"/>
              <w:right w:val="single" w:color="D9DDE0" w:sz="2"/>
            </w:tcBorders>
            <w:shd w:fill="263545" w:val="clear"/>
            <w:tcMar>
              <w:top w:type="dxa" w:w="70"/>
              <w:left w:type="dxa" w:w="110"/>
              <w:bottom w:type="dxa" w:w="70"/>
              <w:right w:type="dxa" w:w="110"/>
            </w:tcMar>
            <w:vAlign w:val="center"/>
          </w:tcPr>
          <w:p>
            <w:pPr>
              <w:spacing w:after="0" w:line="250"/>
            </w:pPr>
            <w:r>
              <w:rPr>
                <w:rFonts w:ascii="Arial" w:cs="Arial" w:eastAsia="Arial" w:hAnsi="Arial"/>
                <w:b/>
                <w:bCs/>
                <w:color w:val="FFFFFF"/>
                <w:sz w:val="17"/>
                <w:szCs w:val="17"/>
              </w:rPr>
              <w:t xml:space="preserve">Ver.</w:t>
            </w:r>
          </w:p>
        </w:tc>
        <w:tc>
          <w:tcPr>
            <w:tcW w:type="dxa" w:w="1500"/>
            <w:tcBorders>
              <w:top w:val="single" w:color="D9DDE0" w:sz="2"/>
              <w:left w:val="single" w:color="D9DDE0" w:sz="2"/>
              <w:bottom w:val="single" w:color="D9DDE0" w:sz="2"/>
              <w:right w:val="single" w:color="D9DDE0" w:sz="2"/>
            </w:tcBorders>
            <w:shd w:fill="263545" w:val="clear"/>
            <w:tcMar>
              <w:top w:type="dxa" w:w="70"/>
              <w:left w:type="dxa" w:w="110"/>
              <w:bottom w:type="dxa" w:w="70"/>
              <w:right w:type="dxa" w:w="110"/>
            </w:tcMar>
            <w:vAlign w:val="center"/>
          </w:tcPr>
          <w:p>
            <w:pPr>
              <w:spacing w:after="0" w:line="250"/>
            </w:pPr>
            <w:r>
              <w:rPr>
                <w:rFonts w:ascii="Arial" w:cs="Arial" w:eastAsia="Arial" w:hAnsi="Arial"/>
                <w:b/>
                <w:bCs/>
                <w:color w:val="FFFFFF"/>
                <w:sz w:val="17"/>
                <w:szCs w:val="17"/>
              </w:rPr>
              <w:t xml:space="preserve">Fecha</w:t>
            </w:r>
          </w:p>
        </w:tc>
        <w:tc>
          <w:tcPr>
            <w:tcW w:type="dxa" w:w="5700"/>
            <w:tcBorders>
              <w:top w:val="single" w:color="D9DDE0" w:sz="2"/>
              <w:left w:val="single" w:color="D9DDE0" w:sz="2"/>
              <w:bottom w:val="single" w:color="D9DDE0" w:sz="2"/>
              <w:right w:val="single" w:color="D9DDE0" w:sz="2"/>
            </w:tcBorders>
            <w:shd w:fill="263545" w:val="clear"/>
            <w:tcMar>
              <w:top w:type="dxa" w:w="70"/>
              <w:left w:type="dxa" w:w="110"/>
              <w:bottom w:type="dxa" w:w="70"/>
              <w:right w:type="dxa" w:w="110"/>
            </w:tcMar>
            <w:vAlign w:val="center"/>
          </w:tcPr>
          <w:p>
            <w:pPr>
              <w:spacing w:after="0" w:line="250"/>
            </w:pPr>
            <w:r>
              <w:rPr>
                <w:rFonts w:ascii="Arial" w:cs="Arial" w:eastAsia="Arial" w:hAnsi="Arial"/>
                <w:b/>
                <w:bCs/>
                <w:color w:val="FFFFFF"/>
                <w:sz w:val="17"/>
                <w:szCs w:val="17"/>
              </w:rPr>
              <w:t xml:space="preserve">Descripción</w:t>
            </w:r>
          </w:p>
        </w:tc>
        <w:tc>
          <w:tcPr>
            <w:tcW w:type="dxa" w:w="1538"/>
            <w:tcBorders>
              <w:top w:val="single" w:color="D9DDE0" w:sz="2"/>
              <w:left w:val="single" w:color="D9DDE0" w:sz="2"/>
              <w:bottom w:val="single" w:color="D9DDE0" w:sz="2"/>
              <w:right w:val="single" w:color="D9DDE0" w:sz="2"/>
            </w:tcBorders>
            <w:shd w:fill="263545" w:val="clear"/>
            <w:tcMar>
              <w:top w:type="dxa" w:w="70"/>
              <w:left w:type="dxa" w:w="110"/>
              <w:bottom w:type="dxa" w:w="70"/>
              <w:right w:type="dxa" w:w="110"/>
            </w:tcMar>
            <w:vAlign w:val="center"/>
          </w:tcPr>
          <w:p>
            <w:pPr>
              <w:spacing w:after="0" w:line="250"/>
            </w:pPr>
            <w:r>
              <w:rPr>
                <w:rFonts w:ascii="Arial" w:cs="Arial" w:eastAsia="Arial" w:hAnsi="Arial"/>
                <w:b/>
                <w:bCs/>
                <w:color w:val="FFFFFF"/>
                <w:sz w:val="17"/>
                <w:szCs w:val="17"/>
              </w:rPr>
              <w:t xml:space="preserve">Responsable</w:t>
            </w:r>
          </w:p>
        </w:tc>
      </w:tr>
      <w:tr>
        <w:tc>
          <w:tcPr>
            <w:tcW w:type="dxa" w:w="9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3.0</w:t>
            </w:r>
          </w:p>
        </w:tc>
        <w:tc>
          <w:tcPr>
            <w:tcW w:type="dxa" w:w="1500"/>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Agosto 2026</w:t>
            </w:r>
          </w:p>
        </w:tc>
        <w:tc>
          <w:tcPr>
            <w:tcW w:type="dxa" w:w="5700"/>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Reescritura completa con reducción de alcance, emitida en sustitución de la v2.4 por decisión del Director General de no acumular enmiendas. (1) El documento deja de titularse «Estructura del Expediente Clínico y Selector de Protocolos» y pasa a llamarse «Selector de Protocolos Clínicos». Se retira la sección que definía la estructura mínima del expediente en cuatro campos, superada por los Anexos A.12, A.13 y A.14; sostener dos documentos que describen la misma materia contradice la regla de contenido normativo de fuente única. (2) Sección de alcance nueva, que declara qué materia corresponde a cada documento y en cuál este es fuente única. (3) El panorama de activación incorpora los Docs 3.6f y 3.9, ausentes en la v2.4, y con el Doc 3.9 una categoría nueva de protocolo cíclico, por tratarse de un tratamiento recurrente y no de un episodio único. El bloque queda declarado en catorce documentos operativos. (4) Sección nueva sobre la distinción entre indicación y programación, con su regla general: solo el campo de programación provoca transiciones. (5) Sección nueva que ancla el Selector al paso 6 del expediente electrónico, con la firma posterior a la selección. (6) Ejemplos ampliados de tres a siete, con los casos de catarata indicada sin programar, crosslinking y antiangiogénicos. (7) Criterio de verificación en cinco condiciones. (8) El estado del documento se expresa conforme al modelo de seis estados del Gantt Maestro, en sustitución de la etiqueta «Vigente» que no pertenecía a ese modelo.</w:t>
            </w:r>
          </w:p>
        </w:tc>
        <w:tc>
          <w:tcPr>
            <w:tcW w:type="dxa" w:w="1538"/>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Dirección General</w:t>
            </w:r>
          </w:p>
        </w:tc>
      </w:tr>
      <w:tr>
        <w:tc>
          <w:tcPr>
            <w:tcW w:type="dxa" w:w="900"/>
            <w:tcBorders>
              <w:top w:val="single" w:color="D9DDE0" w:sz="2"/>
              <w:left w:val="single" w:color="D9DDE0" w:sz="2"/>
              <w:bottom w:val="single" w:color="D9DDE0" w:sz="2"/>
              <w:right w:val="single" w:color="D9DDE0" w:sz="2"/>
            </w:tcBorders>
            <w:shd w:fill="F2F4F5" w:val="clear"/>
            <w:tcMar>
              <w:top w:type="dxa" w:w="70"/>
              <w:left w:type="dxa" w:w="110"/>
              <w:bottom w:type="dxa" w:w="70"/>
              <w:right w:type="dxa" w:w="110"/>
            </w:tcMar>
            <w:vAlign w:val="center"/>
          </w:tcPr>
          <w:p>
            <w:pPr>
              <w:spacing w:after="0" w:line="250"/>
            </w:pPr>
            <w:r>
              <w:rPr>
                <w:rFonts w:ascii="Arial" w:cs="Arial" w:eastAsia="Arial" w:hAnsi="Arial"/>
                <w:b/>
                <w:bCs/>
                <w:color w:val="1A1A1A"/>
                <w:sz w:val="17"/>
                <w:szCs w:val="17"/>
              </w:rPr>
              <w:t xml:space="preserve">2.0 a 2.4</w:t>
            </w:r>
          </w:p>
        </w:tc>
        <w:tc>
          <w:tcPr>
            <w:tcW w:type="dxa" w:w="1500"/>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Julio 2026</w:t>
            </w:r>
          </w:p>
        </w:tc>
        <w:tc>
          <w:tcPr>
            <w:tcW w:type="dxa" w:w="5700"/>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Historial conservado del documento sustituido. La v2.0 sustituyó el checklist de selección múltiple por el árbol de decisión de selección única del trío pediátrico e incorporó la regla de transición. La v2.1 amplió el alcance del trío pediátrico a todo el Bloque 3. Las v2.2 y v2.3 corrigieron el formato y los colores institucionales. La v2.4 corrigió el ejemplo de la regla de doble confirmación: el campo que provoca el salto de estados en el Doc 3.2 es cirugia_programada y no cirugia_indicada.</w:t>
            </w:r>
          </w:p>
        </w:tc>
        <w:tc>
          <w:tcPr>
            <w:tcW w:type="dxa" w:w="1538"/>
            <w:tcBorders>
              <w:top w:val="single" w:color="D9DDE0" w:sz="2"/>
              <w:left w:val="single" w:color="D9DDE0" w:sz="2"/>
              <w:bottom w:val="single" w:color="D9DDE0" w:sz="2"/>
              <w:right w:val="single" w:color="D9DDE0" w:sz="2"/>
            </w:tcBorders>
            <w:tcMar>
              <w:top w:type="dxa" w:w="70"/>
              <w:left w:type="dxa" w:w="110"/>
              <w:bottom w:type="dxa" w:w="70"/>
              <w:right w:type="dxa" w:w="110"/>
            </w:tcMar>
            <w:vAlign w:val="center"/>
          </w:tcPr>
          <w:p>
            <w:pPr>
              <w:spacing w:after="0" w:line="250"/>
            </w:pPr>
            <w:r>
              <w:rPr>
                <w:rFonts w:ascii="Arial" w:cs="Arial" w:eastAsia="Arial" w:hAnsi="Arial"/>
                <w:color w:val="1A1A1A"/>
                <w:sz w:val="17"/>
                <w:szCs w:val="17"/>
              </w:rPr>
              <w:t xml:space="preserve">Dirección General</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6B76"/>
        <w:sz w:val="15"/>
        <w:szCs w:val="15"/>
      </w:rPr>
      <w:t xml:space="preserve">Pupila Inc.  ·  Bloque 3 — Expediente Clínico y Protocolos Clínicos  ·  Confidencial  ·  Página </w:t>
    </w:r>
    <w:r>
      <w:rPr>
        <w:rFonts w:ascii="Arial" w:cs="Arial" w:eastAsia="Arial" w:hAnsi="Arial"/>
        <w:color w:val="5F6B76"/>
        <w:sz w:val="15"/>
        <w:szCs w:val="15"/>
      </w:rPr>
      <w:fldChar w:fldCharType="begin"/>
      <w:instrText xml:space="preserve">PAGE</w:instrText>
      <w:fldChar w:fldCharType="separate"/>
      <w:fldChar w:fldCharType="end"/>
    </w:r>
    <w:r>
      <w:rPr>
        <w:rFonts w:ascii="Arial" w:cs="Arial" w:eastAsia="Arial" w:hAnsi="Arial"/>
        <w:color w:val="5F6B76"/>
        <w:sz w:val="15"/>
        <w:szCs w:val="15"/>
      </w:rPr>
      <w:t xml:space="preserve"> de </w:t>
    </w:r>
    <w:r>
      <w:rPr>
        <w:rFonts w:ascii="Arial" w:cs="Arial" w:eastAsia="Arial" w:hAnsi="Arial"/>
        <w:color w:val="5F6B76"/>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ADBB" w:sz="4"/>
      </w:pBdr>
      <w:spacing w:after="120"/>
    </w:pPr>
    <w:r>
      <w:rPr>
        <w:rFonts w:ascii="Arial" w:cs="Arial" w:eastAsia="Arial" w:hAnsi="Arial"/>
        <w:color w:val="5F6B76"/>
        <w:sz w:val="15"/>
        <w:szCs w:val="15"/>
      </w:rPr>
      <w:t xml:space="preserve">PUPILA INC.   ·   Doc 3.0a — Selector de Protocolos Clínicos   ·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2026-08-03T22:08:13.447Z</dcterms:created>
  <dcterms:modified xsi:type="dcterms:W3CDTF">2026-08-03T22:08:13.447Z</dcterms:modified>
</cp:coreProperties>
</file>

<file path=docProps/custom.xml><?xml version="1.0" encoding="utf-8"?>
<Properties xmlns="http://schemas.openxmlformats.org/officeDocument/2006/custom-properties" xmlns:vt="http://schemas.openxmlformats.org/officeDocument/2006/docPropsVTypes"/>
</file>