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6.png" ContentType="image/png"/>
  <Override PartName="/word/media/rId2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Cs/>
          <w:b/>
        </w:rPr>
        <w:t xml:space="preserve">Keywords : active sensing, echolocation, cocktail-party problem, group-living</w:t>
      </w:r>
    </w:p>
    <w:p>
      <w:pPr>
        <w:pStyle w:val="BodyText"/>
      </w:pPr>
      <w:r>
        <w:t xml:space="preserve">text to be incroporated?:</w:t>
      </w:r>
      <w:r>
        <w:t xml:space="preserve"> </w:t>
      </w:r>
      <w:r>
        <w:rPr>
          <w:iCs/>
          <w:i/>
        </w:rPr>
        <w:t xml:space="preserve">We thus show that horseshoe bats, despite their long calls that are prone to spectro-temporal overlap, do not alter their calls when flying in groups of up to four bats in a complex echoic cave environment</w:t>
      </w:r>
    </w:p>
    <w:p>
      <w:r>
        <w:br w:type="page"/>
      </w:r>
    </w:p>
    <w:p>
      <w:pPr>
        <w:pStyle w:val="SourceCode"/>
      </w:pPr>
      <w:r>
        <w:rPr>
          <w:rStyle w:val="VerbatimChar"/>
        </w:rPr>
        <w:t xml:space="preserve">## Warning: package 'knitr' was built under R version 4.0.5</w:t>
      </w:r>
    </w:p>
    <w:p>
      <w:pPr>
        <w:pStyle w:val="SourceCode"/>
      </w:pPr>
      <w:r>
        <w:rPr>
          <w:rStyle w:val="VerbatimChar"/>
        </w:rPr>
        <w:t xml:space="preserve">## Warning: package 'stringi' was built under R version 4.0.5</w:t>
      </w:r>
    </w:p>
    <w:bookmarkStart w:id="22"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extract and process only the relevant information</w:t>
      </w:r>
      <w:r>
        <w:t xml:space="preserve"> </w:t>
      </w:r>
      <w:r>
        <w:t xml:space="preserve">(5,6)</w:t>
      </w:r>
      <w:r>
        <w:t xml:space="preserve">. This sensory challenge in groups is even higher for animals that perceive their environment by actively radiating energy</w:t>
      </w:r>
      <w:r>
        <w:t xml:space="preserve"> </w:t>
      </w:r>
      <w:r>
        <w:t xml:space="preserve">(7,8)</w:t>
      </w:r>
      <w:r>
        <w:t xml:space="preserve">, i.e., active sensing animals in the strict sense</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social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typically emit frequency-modulated (FM) calls. Most studies on group echolocation so far have investigated low-duty cycle bats [</w:t>
      </w:r>
      <w:r>
        <w:t xml:space="preserve">(27)</w:t>
      </w:r>
      <w:r>
        <w:t xml:space="preserve">;</w:t>
      </w:r>
      <w:r>
        <w:t xml:space="preserve">(19)</w:t>
      </w:r>
      <w:r>
        <w:t xml:space="preserve">;</w:t>
      </w:r>
      <w:r>
        <w:t xml:space="preserve">(22)</w:t>
      </w:r>
      <w:r>
        <w:t xml:space="preserve">;</w:t>
      </w:r>
      <w:hyperlink r:id="rId21">
        <w:r>
          <w:rPr>
            <w:rStyle w:val="Hyperlink"/>
          </w:rPr>
          <w:t xml:space="preserve">amichai2015calling;@habersetzer1981adaptive</w:t>
        </w:r>
      </w:hyperlink>
      <w:r>
        <w:t xml:space="preserve">;</w:t>
      </w:r>
      <w:r>
        <w:t xml:space="preserve">(28)</w:t>
      </w:r>
      <w:r>
        <w:t xml:space="preserve">;</w:t>
      </w:r>
      <w:r>
        <w:t xml:space="preserve">(23)</w:t>
      </w:r>
      <w:r>
        <w:t xml:space="preserve">], likely due their speciosity (~87% of all echolocating bats</w:t>
      </w:r>
      <w:r>
        <w:t xml:space="preserve"> </w:t>
      </w:r>
      <w:r>
        <w:t xml:space="preserve">(26,29)</w:t>
      </w:r>
      <w:r>
        <w:t xml:space="preserve"> </w:t>
      </w:r>
      <w:r>
        <w:t xml:space="preserve">and ease of call analysis. The second group is the high-duty cycle bats which typically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likely to be more affected in group echolocation than low-duty cycle bats, making them a unique system to understand the sensory strategies echolocators use in challenging conditions. A majority of studies investigating jamming in groups have been performed with FM-bats, or low duty-cycle bats [</w:t>
      </w:r>
      <w:r>
        <w:t xml:space="preserve">(15)</w:t>
      </w:r>
      <w:r>
        <w:t xml:space="preserve">;</w:t>
      </w:r>
      <w:r>
        <w:t xml:space="preserve">(22)</w:t>
      </w:r>
      <w:r>
        <w:t xml:space="preserve">;</w:t>
      </w:r>
      <w:r>
        <w:t xml:space="preserve">(23)</w:t>
      </w:r>
      <w:r>
        <w:t xml:space="preserve">;</w:t>
      </w:r>
      <w:r>
        <w:t xml:space="preserve">(19)</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(31)</w:t>
      </w:r>
      <w:r>
        <w:t xml:space="preserve">. The CF component is used for the flutter detection of prey wingbeats</w:t>
      </w:r>
      <w:r>
        <w:t xml:space="preserve"> </w:t>
      </w:r>
      <w:r>
        <w:t xml:space="preserve">(32)</w:t>
      </w:r>
      <w:r>
        <w:t xml:space="preserve"> </w:t>
      </w:r>
      <w:r>
        <w:t xml:space="preserve">based on based on a highly resolved frequency analysis in the bat’s auditory fovea</w:t>
      </w:r>
      <w:r>
        <w:t xml:space="preserve"> </w:t>
      </w:r>
      <w:r>
        <w:t xml:space="preserve">(33)</w:t>
      </w:r>
      <w:r>
        <w:t xml:space="preserve">. The CF-frequency differs between species and even individuals</w:t>
      </w:r>
      <w:r>
        <w:t xml:space="preserve"> </w:t>
      </w:r>
      <w:r>
        <w:t xml:space="preserve">(34,35)</w:t>
      </w:r>
      <w:r>
        <w:t xml:space="preserve">. CD frequency also varies during flight, where bats lower their emission frequency to compensate for flight-induced Doppler-shifts to keep the returning echo-frequency constant</w:t>
      </w:r>
      <w:r>
        <w:t xml:space="preserve"> </w:t>
      </w:r>
      <w:r>
        <w:t xml:space="preserve">(36,37)</w:t>
      </w:r>
      <w:r>
        <w:t xml:space="preserve">. When flying alone, this Doppler-shift compensation separates temporally overlapping calls and echoes in frequency space. In groups, however, both temporal and spectral overlap between own echoes, and the calls and echoes of close-by bats is bound to occur. The tFM component is thought to be involved in target ranging</w:t>
      </w:r>
      <w:r>
        <w:t xml:space="preserve"> </w:t>
      </w:r>
      <w:r>
        <w:t xml:space="preserve">(31,38)</w:t>
      </w:r>
      <w:r>
        <w:t xml:space="preserve">, and the role of the iFM remains ambiguous. Comparable to call alterations in FM-bats</w:t>
      </w:r>
      <w:r>
        <w:t xml:space="preserve"> </w:t>
      </w:r>
      <w:r>
        <w:t xml:space="preserve">(39)</w:t>
      </w:r>
      <w:r>
        <w:t xml:space="preserve">, CF-FM bats show rapid alterations in tFM bandwidth and duration based on the behavioural context, e.g. resting, landing or prey capture</w:t>
      </w:r>
      <w:r>
        <w:t xml:space="preserve"> </w:t>
      </w:r>
      <w:r>
        <w:t xml:space="preserve">(31,37,38)</w:t>
      </w:r>
      <w:r>
        <w:t xml:space="preserve">.</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(40–42)</w:t>
      </w:r>
      <w:r>
        <w:t xml:space="preserve">. Recent studies in low duty cycle FM bats also questioned the efficacy of a jamming avoidance response in groups</w:t>
      </w:r>
      <w:r>
        <w:t xml:space="preserve"> </w:t>
      </w:r>
      <w:r>
        <w:t xml:space="preserve">(23,24)</w:t>
      </w:r>
      <w:r>
        <w:t xml:space="preserve">. While there are multiple studes investigating the CF component, we are only aware of two studies that quantified changes of the FM-component in paired flight</w:t>
      </w:r>
      <w:r>
        <w:t xml:space="preserve"> </w:t>
      </w:r>
      <w:r>
        <w:t xml:space="preserve">(42,43)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2"/>
    <w:bookmarkStart w:id="31" w:name="methods"/>
    <w:p>
      <w:pPr>
        <w:pStyle w:val="Heading1"/>
      </w:pPr>
      <w:r>
        <w:rPr>
          <w:rStyle w:val="SectionNumber"/>
        </w:rPr>
        <w:t xml:space="preserve">2</w:t>
      </w:r>
      <w:r>
        <w:tab/>
      </w:r>
      <w:r>
        <w:t xml:space="preserve">Methods</w:t>
      </w:r>
    </w:p>
    <w:bookmarkStart w:id="23"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the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3"/>
    <w:bookmarkStart w:id="25"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however there was frame rate variation between 18-27 Hz. Video feeds were time-synchronised (but not frame-synchronised) by common time stamps burnt-in on the frame. The two cameras were placed in approximately the same position on every recording night. Audio from three CM16 microphones (Avisoft Bioacoustics, Glienicke, Germany) were recorded by a 416H soundcard (Avisoft Bioacoustics, 250 kHz sampling rate, 16-bit resolution). To increase the number of calls recorded on-axis,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 (0.08-0.5 s; Raspberry Pi 3), which were recorded on the soundcard and used to flash an LED that was recorded by the two cameras (Laurijssen et al. 2018; see Supplementary Information (SI)</w:t>
      </w:r>
      <w:r>
        <w:t xml:space="preserve"> </w:t>
      </w:r>
      <w:r>
        <w:t xml:space="preserve">??</w:t>
      </w:r>
      <w:r>
        <w:t xml:space="preserve"> </w:t>
      </w:r>
      <w:r>
        <w:t xml:space="preserve">for signal generation script, electronic circuit and associated notes). The video was recorded continuously throughout the recording nights (16th, 19th and 20th August 2018), which yielded between 1.75-8 hours of analysable video (16/8/2018: 8.17, 19/8/2018: 1.67, 20/8/2018: 2 hours), while audio was recorded as consecutive multichannel files of 1 minute duration.</w:t>
      </w:r>
    </w:p>
    <w:p>
      <w:pPr>
        <w:pStyle w:val="CaptionedFigure"/>
      </w:pPr>
      <w:r>
        <w:drawing>
          <wp:inline>
            <wp:extent cx="5334000" cy="2203718"/>
            <wp:effectExtent b="0" l="0" r="0" t="0"/>
            <wp:docPr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4"/>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w:t>
      </w:r>
    </w:p>
    <w:bookmarkEnd w:id="25"/>
    <w:bookmarkStart w:id="26"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several seconds to minutes, and later exited from the cave again. We watched the videos and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noting its start and end time and the number of visible bats.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6"/>
    <w:bookmarkStart w:id="30"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it appeared to suffer least from reverberance and because it recorded calls of both entering and exiting bats. First, all audio files corresponding to the bat activity periods (henceforth referred to as flight-activity audio) were high-pass filtered at 70 kHz (2nd order zero-phase Butterworth filter). Next, we used two complementary acoustic analyses to quantify frequency, duration and amplitude parameters of the three components of the echolocation call (initial FM, CF and terminal FM). The first analysis is the</w:t>
      </w:r>
      <w:r>
        <w:t xml:space="preserve"> </w:t>
      </w:r>
      <w:r>
        <w:t xml:space="preserve">‘</w:t>
      </w:r>
      <w:r>
        <w:t xml:space="preserve">individual call</w:t>
      </w:r>
      <w:r>
        <w:t xml:space="preserve">’</w:t>
      </w:r>
      <w:r>
        <w:t xml:space="preserve"> </w:t>
      </w:r>
      <w:r>
        <w:t xml:space="preserve">analysis, where we measured parameters of one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and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Windowed call analysis also allows a kind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multiple single 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altering their calls in response to each other’s presence. The disadvantage of the windowed call analysis is the lack of call-level measurements. Using both approaches simultaneously strengthens the interpretation of our results.</w:t>
      </w:r>
    </w:p>
    <w:bookmarkStart w:id="28"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 itsfm package</w:t>
      </w:r>
      <w:r>
        <w:t xml:space="preserve"> </w:t>
      </w:r>
      <w:r>
        <w:t xml:space="preserve">(46)</w:t>
      </w:r>
      <w:r>
        <w:t xml:space="preserve">. Most approaches to date segment CF-FM calls into their components by high/low pass filtering around the call’s peak frequency</w:t>
      </w:r>
      <w:r>
        <w:t xml:space="preserve"> </w:t>
      </w:r>
      <w:r>
        <w:t xml:space="preserve">(31,35,37,47,48)</w:t>
      </w:r>
      <w:r>
        <w:t xml:space="preserve">. 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tracking the change in frequency over the call time to segment it into FM and CF components. For our analysis, we defined FM components as those portions of a call where frequency modulation was larger than 2 kHz/ms. Further settings were a maximum acceleration of 3 kHz/ms</w:t>
      </w:r>
      <m:oMath>
        <m:sSup>
          <m:e>
            <m:r>
              <m:t>​</m:t>
            </m:r>
          </m:e>
          <m:sup>
            <m:r>
              <m:t>2</m:t>
            </m:r>
          </m:sup>
        </m:sSup>
      </m:oMath>
      <w:r>
        <w:t xml:space="preserve">, an extrapolation window of 50</w:t>
      </w:r>
      <w:r>
        <w:t xml:space="preserve"> </w:t>
      </w:r>
      <m:oMath>
        <m:r>
          <m:t>μ</m:t>
        </m:r>
      </m:oMath>
      <w:r>
        <w:t xml:space="preserve">s and a window size of 375 samples. Threshold signal level and time-frequency clip range were manually tuned for each calls using the</w:t>
      </w:r>
      <w:r>
        <w:t xml:space="preserve"> </w:t>
      </w:r>
      <w:r>
        <w:rPr>
          <w:rStyle w:val="VerbatimChar"/>
        </w:rPr>
        <w:t xml:space="preserve">pwvd</w:t>
      </w:r>
      <w:r>
        <w:t xml:space="preserve"> </w:t>
      </w:r>
      <w:r>
        <w:t xml:space="preserve">method, since each call had differing received levels.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(31,48)</w:t>
      </w:r>
      <w:r>
        <w:t xml:space="preserve">.</w:t>
      </w:r>
    </w:p>
    <w:p>
      <w:pPr>
        <w:pStyle w:val="BodyText"/>
      </w:pPr>
      <w:r>
        <w:t xml:space="preserve">Statistical analysis of the individual call data revealed that multi-bat calls showed a non-negligible reduction in CF duration (</w:t>
      </w:r>
      <w:r>
        <w:t xml:space="preserve">4.1</w:t>
      </w:r>
      <w:r>
        <w:t xml:space="preserve">). The apparent reduction may have also been due to a bias in our individual call selection that favoured shorter calls. Shorter calls with lower CF durations were potentially less likely to be overlapped and thus selected more often.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portions of one bat (multi-bat audio where CF frequencies of the bats were ambigously close were not analysed). Within the main band, continuous regions that were above a manually chosen threshold were detected, and labelled as candidate CF call components. These candidate detections were then manually verified and their duration was calculated (SI</w:t>
      </w:r>
      <w:r>
        <w:t xml:space="preserve"> </w:t>
      </w:r>
      <w:r>
        <w:t xml:space="preserve">??</w:t>
      </w:r>
      <w:r>
        <w:t xml:space="preserve"> </w:t>
      </w:r>
      <w:r>
        <w:t xml:space="preserve">).</w:t>
      </w:r>
    </w:p>
    <w:p>
      <w:r>
        <w:br w:type="page"/>
      </w:r>
    </w:p>
    <w:p>
      <w:pPr>
        <w:pStyle w:val="CaptionedFigure"/>
      </w:pPr>
      <w:r>
        <w:drawing>
          <wp:inline>
            <wp:extent cx="3092778" cy="1863910"/>
            <wp:effectExtent b="0" l="0" r="0" t="0"/>
            <wp:docPr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7"/>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w:t>
      </w:r>
      <w:r>
        <w:t xml:space="preserve"> </w:t>
      </w:r>
      <w:r>
        <w:rPr>
          <w:rStyle w:val="VerbatimChar"/>
        </w:rPr>
        <w:t xml:space="preserve">itsfm</w:t>
      </w:r>
      <w:r>
        <w:t xml:space="preserve"> </w:t>
      </w:r>
      <w:r>
        <w:t xml:space="preserve">package C-D: Examples of a single bat (C) and a multi-bat (D) recording used for windowed call analysis. The vertical lines indicate the borders between the 50-ms-long windows.</w:t>
      </w:r>
    </w:p>
    <w:bookmarkEnd w:id="28"/>
    <w:bookmarkStart w:id="29" w:name="wincallmethods"/>
    <w:p>
      <w:pPr>
        <w:pStyle w:val="Heading3"/>
      </w:pPr>
      <w:r>
        <w:rPr>
          <w:rStyle w:val="SectionNumber"/>
        </w:rPr>
        <w:t xml:space="preserve">2.4.2</w:t>
      </w:r>
      <w:r>
        <w:tab/>
      </w:r>
      <w:r>
        <w:t xml:space="preserve">Windowed calls analysis</w:t>
      </w:r>
    </w:p>
    <w:p>
      <w:pPr>
        <w:pStyle w:val="FirstParagraph"/>
      </w:pPr>
      <w:r>
        <w:t xml:space="preserve">We performed the</w:t>
      </w:r>
      <w:r>
        <w:t xml:space="preserve"> </w:t>
      </w:r>
      <w:r>
        <w:t xml:space="preserve">‘</w:t>
      </w:r>
      <w:r>
        <w:t xml:space="preserve">windowed call</w:t>
      </w:r>
      <w:r>
        <w:t xml:space="preserve">’</w:t>
      </w:r>
      <w:r>
        <w:t xml:space="preserve"> </w:t>
      </w:r>
      <w:r>
        <w:t xml:space="preserve">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w:t>
      </w:r>
      <w:r>
        <w:t xml:space="preserve"> </w:t>
      </w:r>
      <w:r>
        <w:t xml:space="preserve">‘</w:t>
      </w:r>
      <w:r>
        <w:t xml:space="preserve">virtual multi-bat</w:t>
      </w:r>
      <w:r>
        <w:t xml:space="preserve">’</w:t>
      </w:r>
      <w:r>
        <w:t xml:space="preserve"> </w:t>
      </w:r>
      <w:r>
        <w:t xml:space="preserve">activities</w:t>
      </w:r>
      <w:r>
        <w:t xml:space="preserve"> </w:t>
      </w:r>
      <w:r>
        <w:t xml:space="preserve">(42,49)</w:t>
      </w:r>
      <w:r>
        <w:t xml:space="preserve">, by adding two single bat activity recordings together.</w:t>
      </w:r>
    </w:p>
    <w:p>
      <w:pPr>
        <w:pStyle w:val="BodyText"/>
      </w:pPr>
      <w:r>
        <w:t xml:space="preserve">Each bat activity audio was split into consecutive 50 ms windows (See Figure</w:t>
      </w:r>
      <w:r>
        <w:t xml:space="preserve"> </w:t>
      </w:r>
      <w:r>
        <w:t xml:space="preserve">2.2</w:t>
      </w:r>
      <w:r>
        <w:t xml:space="preserve">, SI</w:t>
      </w:r>
      <w:r>
        <w:t xml:space="preserve"> </w:t>
      </w:r>
      <w:r>
        <w:t xml:space="preserve">??</w:t>
      </w:r>
      <w:r>
        <w:t xml:space="preserve"> </w:t>
      </w:r>
      <w:r>
        <w:t xml:space="preserve">for details of window splitting). We chose a window duration of 50 ms as it provided high spectral resolution (20 Hz at 250 kHz sampling rate) that allows to distinguish between multiple CF components that may be contained in the window. Initial observations showed that 50 ms was about the longest observed duration of a bat call in our data, and was about twice the length of typical calls. To exclude windows without calls or with very faint calls, we excluded all windows whose RMS level was less than 20 dB above the maximum RMS level of silent windows (for details, see SI</w:t>
      </w:r>
      <w:r>
        <w:t xml:space="preserve"> </w:t>
      </w:r>
      <w:r>
        <w:t xml:space="preserve">??</w:t>
      </w:r>
      <w:r>
        <w:t xml:space="preserve">). From the remaining windows that contained echolocation calls, we measured each window’s received RMS level, dominant frequencies and FM lower frequencies. We chose these measurements to complement the analogous measurements in the individual call analyses. The dominant frequencies describe the CF frequencies of multiple calls in the same windows and were defined as local peaks of the smoothed power spectrum (rolling mean average, 100 Hz bin-equivalent window) with a level of not more than 14 dB below the highest peak (for details see SI</w:t>
      </w:r>
      <w:r>
        <w:t xml:space="preserve"> </w:t>
      </w:r>
      <w:r>
        <w:t xml:space="preserve">??</w:t>
      </w:r>
      <w:r>
        <w:t xml:space="preserve">). Dominant frequencies complement the CF peak frequency measurement of individual calls.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activities.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analysis.The RMS level describes the received level of the window, and was defined as the root-mean-square of all samples in a window. In a single window, there could be multiple terminal and dominant frequency measurement,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 to compare real echolocation during group flight during virtual group flight without call alterations.</w:t>
      </w:r>
    </w:p>
    <w:bookmarkEnd w:id="29"/>
    <w:bookmarkEnd w:id="30"/>
    <w:bookmarkEnd w:id="31"/>
    <w:bookmarkStart w:id="35"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w:t>
      </w:r>
    </w:p>
    <w:bookmarkStart w:id="32" w:name="indcallstatanalysis"/>
    <w:p>
      <w:pPr>
        <w:pStyle w:val="Heading2"/>
      </w:pPr>
      <w:r>
        <w:rPr>
          <w:rStyle w:val="SectionNumber"/>
        </w:rPr>
        <w:t xml:space="preserve">3.1</w:t>
      </w:r>
      <w:r>
        <w:tab/>
      </w:r>
      <w:r>
        <w:t xml:space="preserve">Individual call analysis</w:t>
      </w:r>
    </w:p>
    <w:p>
      <w:pPr>
        <w:pStyle w:val="FirstParagraph"/>
      </w:pPr>
      <w:r>
        <w:t xml:space="preserve">We ran linear mixed-models (LMMs) with the measurement as response, group size as a categorical predictor (single, multi) and video-file ID as random intercept for all parameters. Model fit was initially checked by performing residual diagnostics. Model coefficients were then estimated using a Bayesian approach with non-informative priors using the</w:t>
      </w:r>
      <w:r>
        <w:t xml:space="preserve"> </w:t>
      </w:r>
      <w:r>
        <w:rPr>
          <w:rStyle w:val="VerbatimChar"/>
        </w:rPr>
        <w:t xml:space="preserve">sim</w:t>
      </w:r>
      <w:r>
        <w:t xml:space="preserve"> </w:t>
      </w:r>
      <w:r>
        <w:t xml:space="preserve">function of the</w:t>
      </w:r>
      <w:r>
        <w:t xml:space="preserve"> </w:t>
      </w:r>
      <w:r>
        <w:t xml:space="preserve">‘</w:t>
      </w:r>
      <w:r>
        <w:t xml:space="preserve">arm</w:t>
      </w:r>
      <w:r>
        <w:t xml:space="preserve">’</w:t>
      </w:r>
      <w:r>
        <w:t xml:space="preserve"> </w:t>
      </w:r>
      <w:r>
        <w:t xml:space="preserve">package</w:t>
      </w:r>
      <w:r>
        <w:t xml:space="preserve"> </w:t>
      </w:r>
      <w:r>
        <w:t xml:space="preserve">(50)</w:t>
      </w:r>
      <w:r>
        <w:t xml:space="preserve">,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(51)</w:t>
      </w:r>
      <w:r>
        <w:t xml:space="preserve">. Unlike confidence intervals, the compatibility interval allows a true probabilistic interpretation, of a given probability that the underlying parameter value falls within a range for the given dataset.</w:t>
      </w:r>
    </w:p>
    <w:bookmarkEnd w:id="32"/>
    <w:bookmarkStart w:id="33"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and flight-activity period and video-file ID as random intercepts.</w:t>
      </w:r>
    </w:p>
    <w:p>
      <w:pPr>
        <w:pStyle w:val="BodyText"/>
      </w:pPr>
      <w:r>
        <w:t xml:space="preserve">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An LMM was built where dominant frequency with dominant frequency as the response variable, group-type as the fixed effect, and the video-file as a random intercept (a proxy for time).</w:t>
      </w:r>
      <w:r>
        <w:t xml:space="preserve"> </w:t>
      </w:r>
      <w:r>
        <w:t xml:space="preserve">Since different bat individuals emit different CF frequencies</w:t>
      </w:r>
      <w:r>
        <w:t xml:space="preserve"> </w:t>
      </w:r>
      <w:r>
        <w:t xml:space="preserve">(34)</w:t>
      </w:r>
      <w:r>
        <w:t xml:space="preserve">,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pPr>
        <w:pStyle w:val="BodyText"/>
      </w:pPr>
      <w:r>
        <w:t xml:space="preserve">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3"/>
    <w:bookmarkStart w:id="34"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(52)</w:t>
      </w:r>
      <w:r>
        <w:t xml:space="preserve"> </w:t>
      </w:r>
      <w:r>
        <w:t xml:space="preserve">through its scientific ecosystem: the scipy, numpy, matplotlib, soundfile and pandas packages</w:t>
      </w:r>
      <w:r>
        <w:t xml:space="preserve"> </w:t>
      </w:r>
      <w:r>
        <w:t xml:space="preserve">(53–57)</w:t>
      </w:r>
      <w:r>
        <w:t xml:space="preserve">. Reproducible analysis, documentation and presentation were enabled by the Jupyter Notebook and Rmarkdown projects</w:t>
      </w:r>
      <w:r>
        <w:t xml:space="preserve">(58,59)</w:t>
      </w:r>
      <w:r>
        <w:t xml:space="preserve">. Audio visualisation, preliminary measurements and single call annotations were done with Audacity</w:t>
      </w:r>
      <w:r>
        <w:t xml:space="preserve"> </w:t>
      </w:r>
      <w:r>
        <w:t xml:space="preserve">(60)</w:t>
      </w:r>
      <w:r>
        <w:t xml:space="preserve">. LMMs were run in R</w:t>
      </w:r>
      <w:r>
        <w:t xml:space="preserve"> </w:t>
      </w:r>
      <w:r>
        <w:t xml:space="preserve">(61)</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(50,62,63)</w:t>
      </w:r>
      <w:r>
        <w:t xml:space="preserve">.</w:t>
      </w:r>
    </w:p>
    <w:bookmarkEnd w:id="34"/>
    <w:bookmarkEnd w:id="35"/>
    <w:bookmarkStart w:id="40"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In contrast, the dominant-frequency range in the windowed analysis, however, was larger in multi-bat conditions compared to single-bat conditions.</w:t>
      </w:r>
    </w:p>
    <w:bookmarkStart w:id="37"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6"/>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4.1</w:t>
      </w:r>
      <w:r>
        <w:t xml:space="preserve">). Most call parameters showed little or no difference between single-bat and multi-bat observations (Table</w:t>
      </w:r>
      <w:r>
        <w:t xml:space="preserve"> </w:t>
      </w:r>
      <w:r>
        <w:t xml:space="preserve">4.1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4.1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4.1</w:t>
      </w:r>
      <w:r>
        <w:t xml:space="preserve">.</w:t>
      </w:r>
    </w:p>
    <w:p>
      <w:r>
        <w:br w:type="page"/>
      </w:r>
    </w:p>
    <w:p>
      <w:pPr>
        <w:pStyle w:val="BodyText"/>
      </w:pPr>
      <w:r>
        <w:t xml:space="preserve">Table 4.1: 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 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7"/>
    <w:bookmarkStart w:id="39"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w:t>
      </w:r>
    </w:p>
    <w:p>
      <w:pPr>
        <w:pStyle w:val="BodyText"/>
      </w:pPr>
      <w:r>
        <w:t xml:space="preserve">The mean dominant frequency range (Figure</w:t>
      </w:r>
      <w:r>
        <w:t xml:space="preserve"> </w:t>
      </w:r>
      <w:r>
        <w:t xml:space="preserve">4.2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8"/>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9"/>
    <w:bookmarkEnd w:id="40"/>
    <w:bookmarkStart w:id="44" w:name="discussion"/>
    <w:p>
      <w:pPr>
        <w:pStyle w:val="Heading1"/>
      </w:pPr>
      <w:r>
        <w:rPr>
          <w:rStyle w:val="SectionNumber"/>
        </w:rPr>
        <w:t xml:space="preserve">5</w:t>
      </w:r>
      <w:r>
        <w:tab/>
      </w:r>
      <w:r>
        <w:t xml:space="preserve">Discussion</w:t>
      </w:r>
    </w:p>
    <w:p>
      <w:pPr>
        <w:pStyle w:val="FirstParagraph"/>
      </w:pPr>
      <w:r>
        <w:t xml:space="preserve">High duty-cycle bats fly regularly with conspecifics and in cluttered environments [pers obs.;</w:t>
      </w:r>
      <w:r>
        <w:t xml:space="preserve">(64)</w:t>
      </w:r>
      <w:r>
        <w:t xml:space="preserve">;</w:t>
      </w:r>
      <w:r>
        <w:t xml:space="preserve">(65)</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(46)</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41"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(19)</w:t>
      </w:r>
      <w:r>
        <w:t xml:space="preserve">. JAR received mixed support for constant-frequency bats. Several studies in hipposiderid &amp; rhinolophid bats found no changes in CF frequencies</w:t>
      </w:r>
      <w:r>
        <w:t xml:space="preserve"> </w:t>
      </w:r>
      <w:r>
        <w:t xml:space="preserve">(28,40,41,66)</w:t>
      </w:r>
      <w:r>
        <w:t xml:space="preserve">. In contrast,</w:t>
      </w:r>
      <w:r>
        <w:t xml:space="preserve"> </w:t>
      </w:r>
      <w:r>
        <w:t xml:space="preserve">(18)</w:t>
      </w:r>
      <w:r>
        <w:t xml:space="preserve"> </w:t>
      </w:r>
      <w:r>
        <w:t xml:space="preserve">observed CF frequency shifting in groups of the quasi-CF bat, while</w:t>
      </w:r>
      <w:r>
        <w:t xml:space="preserve"> </w:t>
      </w:r>
      <w:r>
        <w:t xml:space="preserve">(22)</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(67)</w:t>
      </w:r>
      <w:r>
        <w:t xml:space="preserve">, which possess individual-specific acoustic fovea that constrain their echolocation call frequency</w:t>
      </w:r>
      <w:r>
        <w:t xml:space="preserve"> </w:t>
      </w:r>
      <w:r>
        <w:t xml:space="preserve">(33,34)</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(19)</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41"/>
    <w:bookmarkStart w:id="42"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(39)</w:t>
      </w:r>
      <w:r>
        <w:t xml:space="preserve">. Frequency-changes in group flying FM-bats could indicate a JAR, but could also be a response to the physical presence of other bats in the vicinity</w:t>
      </w:r>
      <w:r>
        <w:t xml:space="preserve"> </w:t>
      </w:r>
      <w:r>
        <w:t xml:space="preserve">(22,28)</w:t>
      </w:r>
      <w:r>
        <w:t xml:space="preserve">. While not much is known about the iFM-component of CF-FM bats, they do change their tFM-component as they approach objects and during landing</w:t>
      </w:r>
      <w:r>
        <w:t xml:space="preserve"> </w:t>
      </w:r>
      <w:r>
        <w:t xml:space="preserve">(31,37,39)</w:t>
      </w:r>
      <w:r>
        <w:t xml:space="preserve">. CF-FM bats may thus be expected to respond to conspecifics like FM-bats in groups.</w:t>
      </w:r>
      <w:r>
        <w:t xml:space="preserve"> </w:t>
      </w:r>
      <w:r>
        <w:t xml:space="preserve">(42)</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(15,22,42,48,68)</w:t>
      </w:r>
      <w:r>
        <w:t xml:space="preserve">. While we found an increase of tFM duration from single- to multi-bat contexts of 0.19 ms,</w:t>
      </w:r>
      <w:r>
        <w:t xml:space="preserve">(42)</w:t>
      </w:r>
      <w:r>
        <w:t xml:space="preserve"> </w:t>
      </w:r>
      <w:r>
        <w:t xml:space="preserve">found an increase of 1.8 ms in pairs, and</w:t>
      </w:r>
      <w:r>
        <w:t xml:space="preserve"> </w:t>
      </w:r>
      <w:r>
        <w:t xml:space="preserve">(48)</w:t>
      </w:r>
      <w:r>
        <w:t xml:space="preserve"> </w:t>
      </w:r>
      <w:r>
        <w:t xml:space="preserve">found a median increase of 0.35 ms in noise compared to calls in silence. Our results are closer to those of</w:t>
      </w:r>
      <w:r>
        <w:t xml:space="preserve"> </w:t>
      </w:r>
      <w:r>
        <w:t xml:space="preserve">(48)</w:t>
      </w:r>
      <w:r>
        <w:t xml:space="preserve">, while clearly not as strong as</w:t>
      </w:r>
      <w:r>
        <w:t xml:space="preserve"> </w:t>
      </w:r>
      <w:r>
        <w:t xml:space="preserve">(42)</w:t>
      </w:r>
      <w:r>
        <w:t xml:space="preserve">. FM bats too are known to increase their call durations in the presence of noise</w:t>
      </w:r>
      <w:r>
        <w:t xml:space="preserve"> </w:t>
      </w:r>
      <w:r>
        <w:t xml:space="preserve">(15,16,68)</w:t>
      </w:r>
      <w:r>
        <w:t xml:space="preserve">, though here too the extent of increase varies across species. While increasing call duration improves echo detection</w:t>
      </w:r>
      <w:r>
        <w:t xml:space="preserve"> </w:t>
      </w:r>
      <w:r>
        <w:t xml:space="preserve">(15,16)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(42)</w:t>
      </w:r>
      <w:r>
        <w:t xml:space="preserve">, our effects are small. Whether such small increses in tFM duration lead to biologically relevant improvements in detecting the surroundings in groups remains to be seen.</w:t>
      </w:r>
    </w:p>
    <w:bookmarkEnd w:id="42"/>
    <w:bookmarkStart w:id="43"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(15,16,68)</w:t>
      </w:r>
      <w:r>
        <w:t xml:space="preserve"> </w:t>
      </w:r>
      <w:r>
        <w:t xml:space="preserve">and CF-FM bats</w:t>
      </w:r>
      <w:r>
        <w:t xml:space="preserve"> </w:t>
      </w:r>
      <w:r>
        <w:t xml:space="preserve">(48,69,70)</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3"/>
    <w:bookmarkEnd w:id="44"/>
    <w:bookmarkStart w:id="45" w:name="outlook"/>
    <w:p>
      <w:pPr>
        <w:pStyle w:val="Heading1"/>
      </w:pPr>
      <w:r>
        <w:rPr>
          <w:rStyle w:val="SectionNumber"/>
        </w:rPr>
        <w:t xml:space="preserve">6</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(15,20)</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(31)</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(30)</w:t>
      </w:r>
      <w:r>
        <w:t xml:space="preserve">. FM bats integrate echoes across multiple calls and are thus resistant to occasional disruptions in echo arrival</w:t>
      </w:r>
      <w:r>
        <w:t xml:space="preserve"> </w:t>
      </w:r>
      <w:r>
        <w:t xml:space="preserve">(71)</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(42)</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(72,73)</w:t>
      </w:r>
      <w:r>
        <w:t xml:space="preserve">, the bats in our study might be sufficiently familiar with the cave to tolerate occasional echo masking, particularly in combination with multi-echo integration</w:t>
      </w:r>
      <w:r>
        <w:t xml:space="preserve"> </w:t>
      </w:r>
      <w:r>
        <w:t xml:space="preserve">(71)</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w:t>
      </w:r>
      <w:r>
        <w:t xml:space="preserve"> </w:t>
      </w:r>
      <w:r>
        <w:t xml:space="preserve">(74–76)</w:t>
      </w:r>
      <w:r>
        <w:t xml:space="preserve">. Our results add to the growing body of literature</w:t>
      </w:r>
      <w:r>
        <w:t xml:space="preserve"> </w:t>
      </w:r>
      <w:r>
        <w:t xml:space="preserve">(22,23,41)</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(15,22–24,30)</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5"/>
    <w:bookmarkStart w:id="47"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6">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p>
    <w:bookmarkEnd w:id="47"/>
    <w:bookmarkStart w:id="48"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48"/>
    <w:bookmarkStart w:id="49"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9"/>
    <w:bookmarkStart w:id="141" w:name="references"/>
    <w:p>
      <w:pPr>
        <w:pStyle w:val="Heading1"/>
      </w:pPr>
      <w:r>
        <w:t xml:space="preserve">References</w:t>
      </w:r>
    </w:p>
    <w:bookmarkStart w:id="140" w:name="refs"/>
    <w:bookmarkStart w:id="50"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50"/>
    <w:bookmarkStart w:id="51" w:name="ref-krause2002living"/>
    <w:p>
      <w:pPr>
        <w:pStyle w:val="Bibliography"/>
      </w:pPr>
      <w:r>
        <w:t xml:space="preserve">2.</w:t>
      </w:r>
      <w:r>
        <w:t xml:space="preserve"> </w:t>
      </w:r>
      <w:r>
        <w:t xml:space="preserve">	</w:t>
      </w:r>
      <w:r>
        <w:t xml:space="preserve">Krause J, Ruxton GD, Ruxton G, Ruxton IG, others. Living in groups. Oxford University Press; 2002.</w:t>
      </w:r>
      <w:r>
        <w:t xml:space="preserve"> </w:t>
      </w:r>
    </w:p>
    <w:bookmarkEnd w:id="51"/>
    <w:bookmarkStart w:id="52"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52"/>
    <w:bookmarkStart w:id="53"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3"/>
    <w:bookmarkStart w:id="54"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54"/>
    <w:bookmarkStart w:id="55"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55"/>
    <w:bookmarkStart w:id="56"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56"/>
    <w:bookmarkStart w:id="57"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57"/>
    <w:bookmarkStart w:id="58"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8"/>
    <w:bookmarkStart w:id="59"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59"/>
    <w:bookmarkStart w:id="60"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60"/>
    <w:bookmarkStart w:id="62"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61">
        <w:r>
          <w:rPr>
            <w:rStyle w:val="Hyperlink"/>
          </w:rPr>
          <w:t xml:space="preserve">https://doi.org/10.1644/09-MAMM-A-302.1</w:t>
        </w:r>
      </w:hyperlink>
    </w:p>
    <w:bookmarkEnd w:id="62"/>
    <w:bookmarkStart w:id="63"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63"/>
    <w:bookmarkStart w:id="64"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64"/>
    <w:bookmarkStart w:id="65"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5"/>
    <w:bookmarkStart w:id="66"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66"/>
    <w:bookmarkStart w:id="67"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67"/>
    <w:bookmarkStart w:id="68"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68"/>
    <w:bookmarkStart w:id="69"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69"/>
    <w:bookmarkStart w:id="70"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70"/>
    <w:bookmarkStart w:id="71"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71"/>
    <w:bookmarkStart w:id="72"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2"/>
    <w:bookmarkStart w:id="73"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3"/>
    <w:bookmarkStart w:id="74"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74"/>
    <w:bookmarkStart w:id="76"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75">
        <w:r>
          <w:rPr>
            <w:rStyle w:val="Hyperlink"/>
          </w:rPr>
          <w:t xml:space="preserve">https://www.pnas.org/content/116/52/26662</w:t>
        </w:r>
      </w:hyperlink>
    </w:p>
    <w:bookmarkEnd w:id="76"/>
    <w:bookmarkStart w:id="77"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77"/>
    <w:bookmarkStart w:id="78"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78"/>
    <w:bookmarkStart w:id="79"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79"/>
    <w:bookmarkStart w:id="81"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80">
        <w:r>
          <w:rPr>
            <w:rStyle w:val="Hyperlink"/>
          </w:rPr>
          <w:t xml:space="preserve">https://doi.org/10.5281/zenodo.4139818</w:t>
        </w:r>
      </w:hyperlink>
    </w:p>
    <w:bookmarkEnd w:id="81"/>
    <w:bookmarkStart w:id="82"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82"/>
    <w:bookmarkStart w:id="83" w:name="ref-tian1997echolocation"/>
    <w:p>
      <w:pPr>
        <w:pStyle w:val="Bibliography"/>
      </w:pPr>
      <w:r>
        <w:t xml:space="preserve">31.</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3"/>
    <w:bookmarkStart w:id="84" w:name="ref-schnitzler2011auditory"/>
    <w:p>
      <w:pPr>
        <w:pStyle w:val="Bibliography"/>
      </w:pPr>
      <w:r>
        <w:t xml:space="preserve">32.</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4"/>
    <w:bookmarkStart w:id="85" w:name="ref-neuweiler2000biology"/>
    <w:p>
      <w:pPr>
        <w:pStyle w:val="Bibliography"/>
      </w:pPr>
      <w:r>
        <w:t xml:space="preserve">33.</w:t>
      </w:r>
      <w:r>
        <w:t xml:space="preserve"> </w:t>
      </w:r>
      <w:r>
        <w:t xml:space="preserve">	</w:t>
      </w:r>
      <w:r>
        <w:t xml:space="preserve">Neuweiler G. The biology of bats. Oxford University Press; 2000.</w:t>
      </w:r>
      <w:r>
        <w:t xml:space="preserve"> </w:t>
      </w:r>
    </w:p>
    <w:bookmarkEnd w:id="85"/>
    <w:bookmarkStart w:id="86" w:name="ref-schnitzler1976peripheral"/>
    <w:p>
      <w:pPr>
        <w:pStyle w:val="Bibliography"/>
      </w:pPr>
      <w:r>
        <w:t xml:space="preserve">34.</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6"/>
    <w:bookmarkStart w:id="87" w:name="ref-schuchmann2012horseshoe"/>
    <w:p>
      <w:pPr>
        <w:pStyle w:val="Bibliography"/>
      </w:pPr>
      <w:r>
        <w:t xml:space="preserve">35.</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87"/>
    <w:bookmarkStart w:id="88" w:name="ref-schnitzler1973control"/>
    <w:p>
      <w:pPr>
        <w:pStyle w:val="Bibliography"/>
      </w:pPr>
      <w:r>
        <w:t xml:space="preserve">36.</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88"/>
    <w:bookmarkStart w:id="89" w:name="ref-schoeppler2018precise"/>
    <w:p>
      <w:pPr>
        <w:pStyle w:val="Bibliography"/>
      </w:pPr>
      <w:r>
        <w:t xml:space="preserve">37.</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89"/>
    <w:bookmarkStart w:id="90" w:name="ref-neuweiler1987foraging"/>
    <w:p>
      <w:pPr>
        <w:pStyle w:val="Bibliography"/>
      </w:pPr>
      <w:r>
        <w:t xml:space="preserve">38.</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90"/>
    <w:bookmarkStart w:id="92" w:name="ref-Fenton2014"/>
    <w:p>
      <w:pPr>
        <w:pStyle w:val="Bibliography"/>
      </w:pPr>
      <w:r>
        <w:t xml:space="preserve">39.</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91">
        <w:r>
          <w:rPr>
            <w:rStyle w:val="Hyperlink"/>
          </w:rPr>
          <w:t xml:space="preserve">https://doi.org/10.1007/978-1-4614-9146-0_2</w:t>
        </w:r>
      </w:hyperlink>
    </w:p>
    <w:bookmarkEnd w:id="92"/>
    <w:bookmarkStart w:id="93" w:name="ref-jones1993echolocation"/>
    <w:p>
      <w:pPr>
        <w:pStyle w:val="Bibliography"/>
      </w:pPr>
      <w:r>
        <w:t xml:space="preserve">40.</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3"/>
    <w:bookmarkStart w:id="94" w:name="ref-jones1994individual"/>
    <w:p>
      <w:pPr>
        <w:pStyle w:val="Bibliography"/>
      </w:pPr>
      <w:r>
        <w:t xml:space="preserve">41.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4"/>
    <w:bookmarkStart w:id="95" w:name="ref-fawcett2015echolocation"/>
    <w:p>
      <w:pPr>
        <w:pStyle w:val="Bibliography"/>
      </w:pPr>
      <w:r>
        <w:t xml:space="preserve">42.</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95"/>
    <w:bookmarkStart w:id="96" w:name="ref-ding2024adaptive"/>
    <w:p>
      <w:pPr>
        <w:pStyle w:val="Bibliography"/>
      </w:pPr>
      <w:r>
        <w:t xml:space="preserve">43.</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96"/>
    <w:bookmarkStart w:id="97"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7"/>
    <w:bookmarkStart w:id="98"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98"/>
    <w:bookmarkStart w:id="100" w:name="ref-itsfmcitation"/>
    <w:p>
      <w:pPr>
        <w:pStyle w:val="Bibliography"/>
      </w:pPr>
      <w:r>
        <w:t xml:space="preserve">46.</w:t>
      </w:r>
      <w:r>
        <w:t xml:space="preserve"> </w:t>
      </w:r>
      <w:r>
        <w:t xml:space="preserve">	</w:t>
      </w:r>
      <w:r>
        <w:t xml:space="preserve">Beleyur T. Itsfm, an open-source package to reliably segment and measure sounds by frequency modulation. bioRxiv. 2021; Available from:</w:t>
      </w:r>
      <w:r>
        <w:t xml:space="preserve"> </w:t>
      </w:r>
      <w:hyperlink r:id="rId99">
        <w:r>
          <w:rPr>
            <w:rStyle w:val="Hyperlink"/>
          </w:rPr>
          <w:t xml:space="preserve">https://www.biorxiv.org/content/early/2021/01/09/2021.01.09.426033</w:t>
        </w:r>
      </w:hyperlink>
    </w:p>
    <w:bookmarkEnd w:id="100"/>
    <w:bookmarkStart w:id="101" w:name="ref-siemers2005species"/>
    <w:p>
      <w:pPr>
        <w:pStyle w:val="Bibliography"/>
      </w:pPr>
      <w:r>
        <w:t xml:space="preserve">47.</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01"/>
    <w:bookmarkStart w:id="102" w:name="ref-lu2020echolocating"/>
    <w:p>
      <w:pPr>
        <w:pStyle w:val="Bibliography"/>
      </w:pPr>
      <w:r>
        <w:t xml:space="preserve">48.</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02"/>
    <w:bookmarkStart w:id="103" w:name="ref-ratcliffe2004conspecifics"/>
    <w:p>
      <w:pPr>
        <w:pStyle w:val="Bibliography"/>
      </w:pPr>
      <w:r>
        <w:t xml:space="preserve">49.</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103"/>
    <w:bookmarkStart w:id="105" w:name="ref-arm"/>
    <w:p>
      <w:pPr>
        <w:pStyle w:val="Bibliography"/>
      </w:pPr>
      <w:r>
        <w:t xml:space="preserve">50.</w:t>
      </w:r>
      <w:r>
        <w:t xml:space="preserve"> </w:t>
      </w:r>
      <w:r>
        <w:t xml:space="preserve">	</w:t>
      </w:r>
      <w:r>
        <w:t xml:space="preserve">Gelman A, Su Y-S. Arm: Data analysis using regression and multilevel/hierarchical models. 2020. Available from:</w:t>
      </w:r>
      <w:r>
        <w:t xml:space="preserve"> </w:t>
      </w:r>
      <w:hyperlink r:id="rId104">
        <w:r>
          <w:rPr>
            <w:rStyle w:val="Hyperlink"/>
          </w:rPr>
          <w:t xml:space="preserve">https://CRAN.R-project.org/package=arm</w:t>
        </w:r>
      </w:hyperlink>
    </w:p>
    <w:bookmarkEnd w:id="105"/>
    <w:bookmarkStart w:id="106" w:name="ref-nalborczyk2019pragmatism"/>
    <w:p>
      <w:pPr>
        <w:pStyle w:val="Bibliography"/>
      </w:pPr>
      <w:r>
        <w:t xml:space="preserve">51.</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6"/>
    <w:bookmarkStart w:id="107" w:name="ref-van1995python"/>
    <w:p>
      <w:pPr>
        <w:pStyle w:val="Bibliography"/>
      </w:pPr>
      <w:r>
        <w:t xml:space="preserve">52.</w:t>
      </w:r>
      <w:r>
        <w:t xml:space="preserve"> </w:t>
      </w:r>
      <w:r>
        <w:t xml:space="preserve">	</w:t>
      </w:r>
      <w:r>
        <w:t xml:space="preserve">Van Rossum G, Drake Jr FL. Python reference manual. Centrum voor Wiskunde en Informatica Amsterdam; 1995.</w:t>
      </w:r>
      <w:r>
        <w:t xml:space="preserve"> </w:t>
      </w:r>
    </w:p>
    <w:bookmarkEnd w:id="107"/>
    <w:bookmarkStart w:id="109" w:name="ref-2020SciPy"/>
    <w:p>
      <w:pPr>
        <w:pStyle w:val="Bibliography"/>
      </w:pPr>
      <w:r>
        <w:t xml:space="preserve">53.</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8">
        <w:r>
          <w:rPr>
            <w:rStyle w:val="Hyperlink"/>
          </w:rPr>
          <w:t xml:space="preserve">https://doi.org/10.1038/s41592-019-0686-2</w:t>
        </w:r>
      </w:hyperlink>
    </w:p>
    <w:bookmarkEnd w:id="109"/>
    <w:bookmarkStart w:id="110" w:name="ref-numpy"/>
    <w:p>
      <w:pPr>
        <w:pStyle w:val="Bibliography"/>
      </w:pPr>
      <w:r>
        <w:t xml:space="preserve">54.</w:t>
      </w:r>
      <w:r>
        <w:t xml:space="preserve"> </w:t>
      </w:r>
      <w:r>
        <w:t xml:space="preserve">	</w:t>
      </w:r>
      <w:r>
        <w:t xml:space="preserve">Oliphant TE. A guide to NumPy. Vol. 1. Trelgol Publishing USA; 2006.</w:t>
      </w:r>
      <w:r>
        <w:t xml:space="preserve"> </w:t>
      </w:r>
    </w:p>
    <w:bookmarkEnd w:id="110"/>
    <w:bookmarkStart w:id="111" w:name="ref-matplotlib"/>
    <w:p>
      <w:pPr>
        <w:pStyle w:val="Bibliography"/>
      </w:pPr>
      <w:r>
        <w:t xml:space="preserve">55.</w:t>
      </w:r>
      <w:r>
        <w:t xml:space="preserve"> </w:t>
      </w:r>
      <w:r>
        <w:t xml:space="preserve">	</w:t>
      </w:r>
      <w:r>
        <w:t xml:space="preserve">Hunter JD. Matplotlib: A 2D graphics environment. Computing in science &amp; engineering. 2007;9(3):90–5.</w:t>
      </w:r>
      <w:r>
        <w:t xml:space="preserve"> </w:t>
      </w:r>
    </w:p>
    <w:bookmarkEnd w:id="111"/>
    <w:bookmarkStart w:id="113" w:name="ref-soundfile"/>
    <w:p>
      <w:pPr>
        <w:pStyle w:val="Bibliography"/>
      </w:pPr>
      <w:r>
        <w:t xml:space="preserve">56.</w:t>
      </w:r>
      <w:r>
        <w:t xml:space="preserve"> </w:t>
      </w:r>
      <w:r>
        <w:t xml:space="preserve">	</w:t>
      </w:r>
      <w:r>
        <w:t xml:space="preserve">Bechtold B, Geier M. SoundFile. 2019. Available from:</w:t>
      </w:r>
      <w:r>
        <w:t xml:space="preserve"> </w:t>
      </w:r>
      <w:hyperlink r:id="rId112">
        <w:r>
          <w:rPr>
            <w:rStyle w:val="Hyperlink"/>
          </w:rPr>
          <w:t xml:space="preserve">https://github.com/bastibe/SoundFile</w:t>
        </w:r>
      </w:hyperlink>
    </w:p>
    <w:bookmarkEnd w:id="113"/>
    <w:bookmarkStart w:id="114" w:name="ref-pandas"/>
    <w:p>
      <w:pPr>
        <w:pStyle w:val="Bibliography"/>
      </w:pPr>
      <w:r>
        <w:t xml:space="preserve">57.</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4"/>
    <w:bookmarkStart w:id="115" w:name="ref-jupyter"/>
    <w:p>
      <w:pPr>
        <w:pStyle w:val="Bibliography"/>
      </w:pPr>
      <w:r>
        <w:t xml:space="preserve">58.</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5"/>
    <w:bookmarkStart w:id="117" w:name="ref-rmarkdown"/>
    <w:p>
      <w:pPr>
        <w:pStyle w:val="Bibliography"/>
      </w:pPr>
      <w:r>
        <w:t xml:space="preserve">59.</w:t>
      </w:r>
      <w:r>
        <w:t xml:space="preserve"> </w:t>
      </w:r>
      <w:r>
        <w:t xml:space="preserve">	</w:t>
      </w:r>
      <w:r>
        <w:t xml:space="preserve">Xie Y, Allaire JJ, Grolemund G. R markdown: The definitive guide. Boca Raton, Florida: Chapman; Hall/CRC; 2018. Available from:</w:t>
      </w:r>
      <w:r>
        <w:t xml:space="preserve"> </w:t>
      </w:r>
      <w:hyperlink r:id="rId116">
        <w:r>
          <w:rPr>
            <w:rStyle w:val="Hyperlink"/>
          </w:rPr>
          <w:t xml:space="preserve">https://bookdown.org/yihui/rmarkdown</w:t>
        </w:r>
      </w:hyperlink>
    </w:p>
    <w:bookmarkEnd w:id="117"/>
    <w:bookmarkStart w:id="119" w:name="ref-audacity"/>
    <w:p>
      <w:pPr>
        <w:pStyle w:val="Bibliography"/>
      </w:pPr>
      <w:r>
        <w:t xml:space="preserve">60.</w:t>
      </w:r>
      <w:r>
        <w:t xml:space="preserve"> </w:t>
      </w:r>
      <w:r>
        <w:t xml:space="preserve">	</w:t>
      </w:r>
      <w:r>
        <w:t xml:space="preserve">Audacity-Team. Audacity(r): Free audio editor and recorder [computer application] version 2.3.3. 2019. Available from:</w:t>
      </w:r>
      <w:r>
        <w:t xml:space="preserve"> </w:t>
      </w:r>
      <w:hyperlink r:id="rId118">
        <w:r>
          <w:rPr>
            <w:rStyle w:val="Hyperlink"/>
          </w:rPr>
          <w:t xml:space="preserve">https://audacityteam.org/</w:t>
        </w:r>
      </w:hyperlink>
    </w:p>
    <w:bookmarkEnd w:id="119"/>
    <w:bookmarkStart w:id="121" w:name="ref-R4"/>
    <w:p>
      <w:pPr>
        <w:pStyle w:val="Bibliography"/>
      </w:pPr>
      <w:r>
        <w:t xml:space="preserve">61.</w:t>
      </w:r>
      <w:r>
        <w:t xml:space="preserve"> </w:t>
      </w:r>
      <w:r>
        <w:t xml:space="preserve">	</w:t>
      </w:r>
      <w:r>
        <w:t xml:space="preserve">R Core Team. R: A language and environment for statistical computing. Vienna, Austria: R Foundation for Statistical Computing; 2021. Available from:</w:t>
      </w:r>
      <w:r>
        <w:t xml:space="preserve"> </w:t>
      </w:r>
      <w:hyperlink r:id="rId120">
        <w:r>
          <w:rPr>
            <w:rStyle w:val="Hyperlink"/>
          </w:rPr>
          <w:t xml:space="preserve">https://www.R-project.org/</w:t>
        </w:r>
      </w:hyperlink>
    </w:p>
    <w:bookmarkEnd w:id="121"/>
    <w:bookmarkStart w:id="123" w:name="ref-lme4"/>
    <w:p>
      <w:pPr>
        <w:pStyle w:val="Bibliography"/>
      </w:pPr>
      <w:r>
        <w:t xml:space="preserve">62.</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22">
        <w:r>
          <w:rPr>
            <w:rStyle w:val="Hyperlink"/>
          </w:rPr>
          <w:t xml:space="preserve">10.18637/jss.v067.i01</w:t>
        </w:r>
      </w:hyperlink>
    </w:p>
    <w:bookmarkEnd w:id="123"/>
    <w:bookmarkStart w:id="125" w:name="ref-coda"/>
    <w:p>
      <w:pPr>
        <w:pStyle w:val="Bibliography"/>
      </w:pPr>
      <w:r>
        <w:t xml:space="preserve">63.</w:t>
      </w:r>
      <w:r>
        <w:t xml:space="preserve"> </w:t>
      </w:r>
      <w:r>
        <w:t xml:space="preserve">	</w:t>
      </w:r>
      <w:r>
        <w:t xml:space="preserve">Plummer M, Best N, Cowles K, Vines K. CODA: Convergence diagnosis and output analysis for MCMC. R News. 2006;6(1):7–11. Available from:</w:t>
      </w:r>
      <w:r>
        <w:t xml:space="preserve"> </w:t>
      </w:r>
      <w:hyperlink r:id="rId124">
        <w:r>
          <w:rPr>
            <w:rStyle w:val="Hyperlink"/>
          </w:rPr>
          <w:t xml:space="preserve">https://journal.r-project.org/archive/</w:t>
        </w:r>
      </w:hyperlink>
    </w:p>
    <w:bookmarkEnd w:id="125"/>
    <w:bookmarkStart w:id="126" w:name="ref-rossiter2002relatedness"/>
    <w:p>
      <w:pPr>
        <w:pStyle w:val="Bibliography"/>
      </w:pPr>
      <w:r>
        <w:t xml:space="preserve">64.</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6"/>
    <w:bookmarkStart w:id="127" w:name="ref-denzinger2016guild"/>
    <w:p>
      <w:pPr>
        <w:pStyle w:val="Bibliography"/>
      </w:pPr>
      <w:r>
        <w:t xml:space="preserve">65.</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7"/>
    <w:bookmarkStart w:id="128" w:name="ref-pye1972bimodal"/>
    <w:p>
      <w:pPr>
        <w:pStyle w:val="Bibliography"/>
      </w:pPr>
      <w:r>
        <w:t xml:space="preserve">66.</w:t>
      </w:r>
      <w:r>
        <w:t xml:space="preserve"> </w:t>
      </w:r>
      <w:r>
        <w:t xml:space="preserve">	</w:t>
      </w:r>
      <w:r>
        <w:t xml:space="preserve">Pye J. Bimodal distribution of constant frequencies in some hipposiderid bats (mammalia: hipposideridae). Journal of Zoology. 1972;166(3):323–35.</w:t>
      </w:r>
      <w:r>
        <w:t xml:space="preserve"> </w:t>
      </w:r>
    </w:p>
    <w:bookmarkEnd w:id="128"/>
    <w:bookmarkStart w:id="129" w:name="ref-simmons1984echolocation"/>
    <w:p>
      <w:pPr>
        <w:pStyle w:val="Bibliography"/>
      </w:pPr>
      <w:r>
        <w:t xml:space="preserve">67.</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9"/>
    <w:bookmarkStart w:id="130" w:name="ref-gomes2020individual"/>
    <w:p>
      <w:pPr>
        <w:pStyle w:val="Bibliography"/>
      </w:pPr>
      <w:r>
        <w:t xml:space="preserve">68.</w:t>
      </w:r>
      <w:r>
        <w:t xml:space="preserve"> </w:t>
      </w:r>
      <w:r>
        <w:t xml:space="preserve">	</w:t>
      </w:r>
      <w:r>
        <w:t xml:space="preserve">Gomes DG, Goerlitz HR. Individual differences show that only some bats can cope with noise-induced masking and distraction. PeerJ. 2020;8:e10551.</w:t>
      </w:r>
      <w:r>
        <w:t xml:space="preserve"> </w:t>
      </w:r>
    </w:p>
    <w:bookmarkEnd w:id="130"/>
    <w:bookmarkStart w:id="131" w:name="ref-hage2013ambient"/>
    <w:p>
      <w:pPr>
        <w:pStyle w:val="Bibliography"/>
      </w:pPr>
      <w:r>
        <w:t xml:space="preserve">69.</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31"/>
    <w:bookmarkStart w:id="132" w:name="ref-hage2014ambient"/>
    <w:p>
      <w:pPr>
        <w:pStyle w:val="Bibliography"/>
      </w:pPr>
      <w:r>
        <w:t xml:space="preserve">70.</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2"/>
    <w:bookmarkStart w:id="134" w:name="ref-Salles202011719"/>
    <w:p>
      <w:pPr>
        <w:pStyle w:val="Bibliography"/>
      </w:pPr>
      <w:r>
        <w:t xml:space="preserve">71.</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33">
        <w:r>
          <w:rPr>
            <w:rStyle w:val="Hyperlink"/>
          </w:rPr>
          <w:t xml:space="preserve">https://www.pnas.org/content/early/2020/10/27/2011719117</w:t>
        </w:r>
      </w:hyperlink>
    </w:p>
    <w:bookmarkEnd w:id="134"/>
    <w:bookmarkStart w:id="135" w:name="ref-barchi2013spatial"/>
    <w:p>
      <w:pPr>
        <w:pStyle w:val="Bibliography"/>
      </w:pPr>
      <w:r>
        <w:t xml:space="preserve">72.</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35"/>
    <w:bookmarkStart w:id="136" w:name="ref-mohres1949versuche"/>
    <w:p>
      <w:pPr>
        <w:pStyle w:val="Bibliography"/>
      </w:pPr>
      <w:r>
        <w:t xml:space="preserve">73.</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6"/>
    <w:bookmarkStart w:id="137" w:name="ref-lewanzik2021task"/>
    <w:p>
      <w:pPr>
        <w:pStyle w:val="Bibliography"/>
      </w:pPr>
      <w:r>
        <w:t xml:space="preserve">74.</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7"/>
    <w:bookmarkStart w:id="138" w:name="ref-stidsholt2021hunting"/>
    <w:p>
      <w:pPr>
        <w:pStyle w:val="Bibliography"/>
      </w:pPr>
      <w:r>
        <w:t xml:space="preserve">75.</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8"/>
    <w:bookmarkStart w:id="139" w:name="ref-taub2020segregating"/>
    <w:p>
      <w:pPr>
        <w:pStyle w:val="Bibliography"/>
      </w:pPr>
      <w:r>
        <w:t xml:space="preserve">76.</w:t>
      </w:r>
      <w:r>
        <w:t xml:space="preserve"> </w:t>
      </w:r>
      <w:r>
        <w:t xml:space="preserve">	</w:t>
      </w:r>
      <w:r>
        <w:t xml:space="preserve">Taub M, Yovel Y. Segregating signal from noise through movement in echolocating bats. Scientific reports. 2020;10(1):1–0.</w:t>
      </w:r>
      <w:r>
        <w:t xml:space="preserve"> </w:t>
      </w:r>
    </w:p>
    <w:bookmarkEnd w:id="139"/>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Cs/>
          <w:b/>
        </w:rPr>
        <w:t xml:space="preserve">bi.mpg.de?</w:t>
      </w:r>
      <w:r>
        <w:t xml:space="preserve">)</w:t>
      </w:r>
      <w:r>
        <w:t xml:space="preserve">,</w:t>
      </w:r>
      <w:r>
        <w:t xml:space="preserve">(</w:t>
      </w:r>
      <w:r>
        <w:rPr>
          <w:bCs/>
          <w:b/>
        </w:rPr>
        <w:t xml:space="preserve">ab.mpg.de?</w:t>
      </w:r>
      <w:r>
        <w:t xml:space="preserve">)</w:t>
      </w:r>
      <w:r>
        <w:t xml:space="preserve">,</w:t>
      </w:r>
      <w:r>
        <w:t xml:space="preserve">(</w:t>
      </w:r>
      <w:r>
        <w:rPr>
          <w:bCs/>
          <w:b/>
        </w:rPr>
        <w:t xml:space="preserve">uni-konstanz.de?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hyperlink" Id="rId104" Target="https://CRAN.R-project.org/package=arm" TargetMode="External" /><Relationship Type="http://schemas.openxmlformats.org/officeDocument/2006/relationships/hyperlink" Id="rId118" Target="https://audacityteam.org/" TargetMode="External" /><Relationship Type="http://schemas.openxmlformats.org/officeDocument/2006/relationships/hyperlink" Id="rId116" Target="https://bookdown.org/yihui/rmarkdown" TargetMode="External" /><Relationship Type="http://schemas.openxmlformats.org/officeDocument/2006/relationships/hyperlink" Id="rId91" Target="https://doi.org/10.1007/978-1-4614-9146-0_2" TargetMode="External" /><Relationship Type="http://schemas.openxmlformats.org/officeDocument/2006/relationships/hyperlink" Id="rId108" Target="https://doi.org/10.1038/s41592-019-0686-2" TargetMode="External" /><Relationship Type="http://schemas.openxmlformats.org/officeDocument/2006/relationships/hyperlink" Id="rId61" Target="https://doi.org/10.1644/09-MAMM-A-302.1" TargetMode="External" /><Relationship Type="http://schemas.openxmlformats.org/officeDocument/2006/relationships/hyperlink" Id="rId122" Target="https://doi.org/10.18637/jss.v067.i01" TargetMode="External" /><Relationship Type="http://schemas.openxmlformats.org/officeDocument/2006/relationships/hyperlink" Id="rId80" Target="https://doi.org/10.5281/zenodo.4139818" TargetMode="External" /><Relationship Type="http://schemas.openxmlformats.org/officeDocument/2006/relationships/hyperlink" Id="rId112"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20" Target="https://www.R-project.org/" TargetMode="External" /><Relationship Type="http://schemas.openxmlformats.org/officeDocument/2006/relationships/hyperlink" Id="rId99" Target="https://www.biorxiv.org/content/early/2021/01/09/2021.01.09.426033" TargetMode="External" /><Relationship Type="http://schemas.openxmlformats.org/officeDocument/2006/relationships/hyperlink" Id="rId75" Target="https://www.pnas.org/content/116/52/26662" TargetMode="External" /><Relationship Type="http://schemas.openxmlformats.org/officeDocument/2006/relationships/hyperlink" Id="rId133" Target="https://www.pnas.org/content/early/2020/10/27/2011719117" TargetMode="External" /><Relationship Type="http://schemas.openxmlformats.org/officeDocument/2006/relationships/hyperlink" Id="rId21" Target="mailto:amichai2015calling;@habersetzer1981adaptive" TargetMode="External" /></Relationships>
</file>

<file path=word/_rels/footnotes.xml.rels><?xml version="1.0" encoding="UTF-8"?>
<Relationships xmlns="http://schemas.openxmlformats.org/package/2006/relationships"><Relationship Type="http://schemas.openxmlformats.org/officeDocument/2006/relationships/hyperlink" Id="rId104" Target="https://CRAN.R-project.org/package=arm" TargetMode="External" /><Relationship Type="http://schemas.openxmlformats.org/officeDocument/2006/relationships/hyperlink" Id="rId118" Target="https://audacityteam.org/" TargetMode="External" /><Relationship Type="http://schemas.openxmlformats.org/officeDocument/2006/relationships/hyperlink" Id="rId116" Target="https://bookdown.org/yihui/rmarkdown" TargetMode="External" /><Relationship Type="http://schemas.openxmlformats.org/officeDocument/2006/relationships/hyperlink" Id="rId91" Target="https://doi.org/10.1007/978-1-4614-9146-0_2" TargetMode="External" /><Relationship Type="http://schemas.openxmlformats.org/officeDocument/2006/relationships/hyperlink" Id="rId108" Target="https://doi.org/10.1038/s41592-019-0686-2" TargetMode="External" /><Relationship Type="http://schemas.openxmlformats.org/officeDocument/2006/relationships/hyperlink" Id="rId61" Target="https://doi.org/10.1644/09-MAMM-A-302.1" TargetMode="External" /><Relationship Type="http://schemas.openxmlformats.org/officeDocument/2006/relationships/hyperlink" Id="rId122" Target="https://doi.org/10.18637/jss.v067.i01" TargetMode="External" /><Relationship Type="http://schemas.openxmlformats.org/officeDocument/2006/relationships/hyperlink" Id="rId80" Target="https://doi.org/10.5281/zenodo.4139818" TargetMode="External" /><Relationship Type="http://schemas.openxmlformats.org/officeDocument/2006/relationships/hyperlink" Id="rId112"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20" Target="https://www.R-project.org/" TargetMode="External" /><Relationship Type="http://schemas.openxmlformats.org/officeDocument/2006/relationships/hyperlink" Id="rId99" Target="https://www.biorxiv.org/content/early/2021/01/09/2021.01.09.426033" TargetMode="External" /><Relationship Type="http://schemas.openxmlformats.org/officeDocument/2006/relationships/hyperlink" Id="rId75" Target="https://www.pnas.org/content/116/52/26662" TargetMode="External" /><Relationship Type="http://schemas.openxmlformats.org/officeDocument/2006/relationships/hyperlink" Id="rId133" Target="https://www.pnas.org/content/early/2020/10/27/2011719117" TargetMode="External" /><Relationship Type="http://schemas.openxmlformats.org/officeDocument/2006/relationships/hyperlink" Id="rId21" Target="mailto:amichai2015calling;@habersetzer1981adaptiv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2024-11-18T09:54:15Z</dcterms:created>
  <dcterms:modified xsi:type="dcterms:W3CDTF">2024-11-18T09:54:15Z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