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b53c6"/>
          <w:sz w:val="18"/>
          <w:szCs w:val="18"/>
        </w:rPr>
        <w:t xml:space="preserve">DELTA · TWITTER CUSTOMER SUPPORT · SDE INTERN TAKE-HOME</w:t>
      </w:r>
    </w:p>
    <w:p>
      <w:pPr>
        <w:spacing w:after="60"/>
      </w:pPr>
      <w:r>
        <w:rPr>
          <w:b/>
          <w:bCs/>
          <w:color w:val="1a2230"/>
          <w:sz w:val="40"/>
          <w:szCs w:val="40"/>
        </w:rPr>
        <w:t xml:space="preserve">An Evaluation-First AI Support Agent for Delta</w:t>
      </w:r>
    </w:p>
    <w:p>
      <w:pPr>
        <w:spacing w:after="120" w:line="276"/>
      </w:pPr>
      <w:r>
        <w:rPr>
          <w:i/>
          <w:iCs/>
          <w:color w:val="586479"/>
        </w:rPr>
        <w:t xml:space="preserve">Classify the customer's intent, ground a reply in Delta's own historical resolutions, and decide — with a stated reason — whether to auto-handle or escalate. Built on the Kaggle </w:t>
      </w:r>
      <w:r>
        <w:rPr>
          <w:i/>
          <w:iCs/>
          <w:color w:val="586479"/>
        </w:rPr>
        <w:t xml:space="preserve">Customer Support on Twitter</w:t>
      </w:r>
      <w:r>
        <w:rPr>
          <w:i/>
          <w:iCs/>
          <w:color w:val="586479"/>
        </w:rPr>
        <w:t xml:space="preserve"> corpus. Guiding principle: the proof is worth more than the system.</w:t>
      </w:r>
    </w:p>
    <w:p>
      <w:pPr>
        <w:pBdr>
          <w:bottom w:val="single" w:color="dde3ec" w:sz="6"/>
        </w:pBdr>
        <w:spacing w:after="120" w:before="60"/>
      </w:pP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1.  Problem framing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What “good” means for this brand</w:t>
      </w:r>
    </w:p>
    <w:p>
      <w:pPr>
        <w:spacing w:after="120" w:line="276"/>
      </w:pPr>
      <w:r>
        <w:rPr>
          <w:color w:val="1a2230"/>
        </w:rPr>
        <w:t xml:space="preserve">Delta is a high-stakes, safety-regulated airline whose Twitter mentions skew toward disruption — cancellations, missed connections, lost bags, refund disputes — under public scrutiny. For this brand, a “good” agent is not the one that answers the most tweets; it is the one that </w:t>
      </w:r>
      <w:r>
        <w:rPr>
          <w:b/>
          <w:bCs/>
          <w:color w:val="1a2230"/>
        </w:rPr>
        <w:t xml:space="preserve">knows the boundary of what it should answer at all</w:t>
      </w:r>
      <w:r>
        <w:rPr>
          <w:color w:val="1a2230"/>
        </w:rPr>
        <w:t xml:space="preserve">. Concretely, good means: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Safety over coverage. </w:t>
      </w:r>
      <w:r>
        <w:rPr>
          <w:color w:val="1a2230"/>
        </w:rPr>
        <w:t xml:space="preserve">A wrong-but-confident reply about a refund, a booking change, or anything safety-adjacent is far more costly than an honest hand-off. High escalation precision and recall matter more than raw auto-handle rate.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Grounded, not inventive. </w:t>
      </w:r>
      <w:r>
        <w:rPr>
          <w:color w:val="1a2230"/>
        </w:rPr>
        <w:t xml:space="preserve">Replies must be anchored in what Delta has actually said before — never invented policy, numbers, or promises.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Auditable. </w:t>
      </w:r>
      <w:r>
        <w:rPr>
          <w:color w:val="1a2230"/>
        </w:rPr>
        <w:t xml:space="preserve">Every decision must expose why it was made (intent, confidence, grounding, reason), because a support org needs to trust and tune the gate.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Cheap and deterministic at the core. </w:t>
      </w:r>
      <w:r>
        <w:rPr>
          <w:color w:val="1a2230"/>
        </w:rPr>
        <w:t xml:space="preserve">Routing and classification should run without a paid LLM in the loop, so the system is reproducible and the graders can run it.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What I chose not to build</w:t>
      </w:r>
    </w:p>
    <w:p>
      <w:pPr>
        <w:spacing w:after="120" w:line="276"/>
      </w:pPr>
      <w:r>
        <w:rPr>
          <w:color w:val="1a2230"/>
        </w:rPr>
        <w:t xml:space="preserve">Deliberate scope cuts, each in service of the principle above: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No multi-turn dialogue / memory. </w:t>
      </w:r>
      <w:r>
        <w:rPr>
          <w:color w:val="1a2230"/>
        </w:rPr>
        <w:t xml:space="preserve">Single message in, single decision out. Conversation state is real work but orthogonal to the core question of routing quality on a fixed budget.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No live account / booking lookup. </w:t>
      </w:r>
      <w:r>
        <w:rPr>
          <w:color w:val="1a2230"/>
        </w:rPr>
        <w:t xml:space="preserve">Anything needing real customer state is escalated by design rather than faked. This is a feature, not a gap: those are exactly the messages a human should own.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No fine-tuned or LLM-based classifier in production. </w:t>
      </w:r>
      <w:r>
        <w:rPr>
          <w:color w:val="1a2230"/>
        </w:rPr>
        <w:t xml:space="preserve">A free-endpoint LLM few-shot classifier was built as a baseline; it did not beat TF-IDF on the golden set and was unreliable to run, so the LLM was reserved for reply phrasing only.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No large hand-labeled set. </w:t>
      </w:r>
      <w:r>
        <w:rPr>
          <w:color w:val="1a2230"/>
        </w:rPr>
        <w:t xml:space="preserve">Only 220 gold labels; the effort went into weak supervision and the evaluation harness instead of label volume.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2.  How I approached it — thought process &amp; research grounding</w:t>
      </w:r>
    </w:p>
    <w:p>
      <w:pPr>
        <w:spacing w:after="120" w:line="276"/>
      </w:pPr>
      <w:r>
        <w:rPr>
          <w:color w:val="1a2230"/>
        </w:rPr>
        <w:t xml:space="preserve">I started from the literature rather than the code. I read six recent papers on production customer-support agents and pulled out the design decisions they </w:t>
      </w:r>
      <w:r>
        <w:rPr>
          <w:b/>
          <w:bCs/>
          <w:color w:val="1a2230"/>
        </w:rPr>
        <w:t xml:space="preserve">agreed</w:t>
      </w:r>
      <w:r>
        <w:rPr>
          <w:color w:val="1a2230"/>
        </w:rPr>
        <w:t xml:space="preserve"> on, then built the smallest system that honors those decisions on this dataset and budget. The recurring lesson across all six is the same as the brief's: </w:t>
      </w:r>
      <w:r>
        <w:rPr>
          <w:b/>
          <w:bCs/>
          <w:color w:val="1a2230"/>
        </w:rPr>
        <w:t xml:space="preserve">the evaluation is the product</w:t>
      </w:r>
      <w:r>
        <w:rPr>
          <w:color w:val="1a2230"/>
        </w:rPr>
        <w:t xml:space="preserve"> — a modest model with an honest, adversarial eval beats an impressive demo with no proof.</w:t>
      </w:r>
    </w:p>
    <w:tbl>
      <w:tblPr>
        <w:tblW w:type="dxa" w:w="9360"/>
        <w:tblBorders>
          <w:top w:val="single" w:color="c8d1de" w:sz="2"/>
          <w:left w:val="single" w:color="c8d1de" w:sz="2"/>
          <w:bottom w:val="single" w:color="c8d1de" w:sz="2"/>
          <w:right w:val="single" w:color="c8d1de" w:sz="2"/>
          <w:insideH w:val="single" w:color="dde3ec" w:sz="1"/>
          <w:insideV w:val="single" w:color="dde3ec" w:sz="1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Paper</w:t>
            </w:r>
          </w:p>
        </w:tc>
        <w:tc>
          <w:tcPr>
            <w:tcW w:type="dxa" w:w="476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What I took from it into this agent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Building Customer Support AI Agents at 100M-User Scale: An Evaluation-Driven Framework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The spine of the whole project: define a golden set, compare against baselines, and treat the eval harness as a first-class deliverable. My “proof &gt; system” framing is this paper.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Beyond IVR: Benchmarking Customer Support LLM Agents for Business-Adherence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Adherence over cleverness — the agent must follow policy and refuse to overstep. Motivated the rule-based escalation gate and the “never invent policy” constraint on drafting.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τ-bench: A Benchmark for Tool-Agent-User Interaction in Real-World Domains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Escalation is a controlled action with a measurable pass/fail, not a vibe. Motivated measuring escalation as its own task with precision/recall against human labels.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Agent-in-the-Loop: A Data Flywheel for Continuous Improvement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Bootstrap from cheap signal and log everything. Directly inspired the weak-supervision labeler (keyword rules → 7k labels) and the “why” trace attached to every response as future training data.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LLM-Friendly Knowledge Representation for Customer Support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Represent brand knowledge as retrievable (customer → resolution) pairs. This is exactly my 42k grounding-pair index that replies are grounded in.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Benchmarking and Learning Real-World Customer Service Dialogue</w:t>
            </w:r>
          </w:p>
        </w:tc>
        <w:tc>
          <w:tcPr>
            <w:tcW w:type="dxa" w:w="4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unction bold() { [native code] }"/>
                <w:bCs w:val="function bold() { [native code] }"/>
                <w:color w:val="1a2230"/>
                <w:sz w:val="19"/>
                <w:szCs w:val="19"/>
              </w:rPr>
              <w:t xml:space="preserve">Real support text is messy, negation-heavy, and long-tailed. Motivated the negation-aware sentiment check and the per-intent (not just aggregate) reporting.</w:t>
            </w:r>
          </w:p>
        </w:tc>
      </w:tr>
    </w:tbl>
    <w:p>
      <w:pPr>
        <w:spacing w:after="120" w:line="276"/>
      </w:pPr>
      <w:r>
        <w:rPr>
          <w:i/>
          <w:iCs/>
          <w:color w:val="586479"/>
        </w:rPr>
        <w:t xml:space="preserve">A seventh consensus point — “judge with a measured judge” — is why reply quality is scored by an LLM-as-judge whose agreement with human labels is itself measured (Cohen’s κ) before its scores are trusted.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The thought process, in one line each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Pick the brand for signal, not fame. </w:t>
      </w:r>
      <w:r>
        <w:rPr>
          <w:color w:val="1a2230"/>
        </w:rPr>
        <w:t xml:space="preserve">Delta was chosen because its threads reconstruct cleanly and it has low DM-deflection, so grounding pairs are real replies rather than “DM us” dead-ends.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Let the data define intents. </w:t>
      </w:r>
      <w:r>
        <w:rPr>
          <w:color w:val="1a2230"/>
        </w:rPr>
        <w:t xml:space="preserve">The 11 intents were read out of Delta's actual messages, not imposed from a call-center taxonomy.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Spend the budget on the gate and the eval. </w:t>
      </w:r>
      <w:r>
        <w:rPr>
          <w:color w:val="1a2230"/>
        </w:rPr>
        <w:t xml:space="preserve">Classification is a cheap TF-IDF model; the care went into the escalation policy and measuring it against baselines and failure modes.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3.  System architecture</w:t>
      </w:r>
    </w:p>
    <w:p>
      <w:pPr>
        <w:spacing w:after="120" w:line="276"/>
      </w:pPr>
      <w:r>
        <w:rPr>
          <w:color w:val="1a2230"/>
        </w:rPr>
        <w:t xml:space="preserve">Four layers. The bottom two are built once, offline; the agent layer runs on every message; the LLM is an optional accelerator wired to reply-drafting only, never to a decision.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86479"/>
          <w:sz w:val="18"/>
          <w:szCs w:val="18"/>
        </w:rPr>
        <w:t xml:space="preserve">Figure 1 — End-to-end architecture. Raw tweets are prepared once into grounding pairs and clean messages; those bootstrap a TF-IDF intent classifier (via weak supervision) and a cosine retriever; SupportAgent.handle() chains classify → retrieve → route → draft on every request. The dashed amber box is the only place a language model touches the pipeline.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4.  What happens when a message arrives</w:t>
      </w:r>
    </w:p>
    <w:p>
      <w:pPr>
        <w:spacing w:after="120" w:line="276"/>
      </w:pPr>
      <w:r>
        <w:rPr>
          <w:color w:val="1a2230"/>
        </w:rPr>
        <w:t xml:space="preserve">A single request travels left to right. Classification and retrieval only gather evidence; the router in the middle is the decision point — five rules, any one of which forces a human hand-off — and it splits the flow into the two branches that produce a reply.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86479"/>
          <w:sz w:val="18"/>
          <w:szCs w:val="18"/>
        </w:rPr>
        <w:t xml:space="preserve">Figure 2 — Message → response workflow. The green branch answers directly from grounded history; the red branch writes a hand-off tailored to the message. Either way the payload carries the full reasoning trace.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The five escalation rules — any one forces a hand-off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R1  Negative sentiment. </w:t>
      </w:r>
      <w:r>
        <w:rPr>
          <w:color w:val="1a2230"/>
        </w:rPr>
        <w:t xml:space="preserve">A dissatisfied customer goes to a human even on an auto-OK topic. Negation-aware, so “not impressed” counts.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R2  Risk / financial language. </w:t>
      </w:r>
      <w:r>
        <w:rPr>
          <w:color w:val="1a2230"/>
        </w:rPr>
        <w:t xml:space="preserve">refund, lawsuit, terrible, discriminated, etc. trigger a hand-off regardless of confidence.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R3  Account / transaction intent. </w:t>
      </w:r>
      <w:r>
        <w:rPr>
          <w:color w:val="1a2230"/>
        </w:rPr>
        <w:t xml:space="preserve">Anything outside the </w:t>
      </w:r>
      <w:r>
        <w:rPr>
          <w:rFonts w:ascii="Consolas" w:cs="Consolas" w:eastAsia="Consolas" w:hAnsi="Consolas"/>
          <w:color w:val="2b53c6"/>
          <w:sz w:val="19"/>
          <w:szCs w:val="19"/>
        </w:rPr>
        <w:t xml:space="preserve">AUTO_OK</w:t>
      </w:r>
      <w:r>
        <w:rPr>
          <w:color w:val="1a2230"/>
        </w:rPr>
        <w:t xml:space="preserve"> set (baggage, refunds, bookings…) needs a human with account access.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R4  Low confidence. </w:t>
      </w:r>
      <w:r>
        <w:rPr>
          <w:color w:val="1a2230"/>
        </w:rPr>
        <w:t xml:space="preserve">If the classifier is below </w:t>
      </w:r>
      <w:r>
        <w:rPr>
          <w:rFonts w:ascii="Consolas" w:cs="Consolas" w:eastAsia="Consolas" w:hAnsi="Consolas"/>
          <w:color w:val="2b53c6"/>
          <w:sz w:val="19"/>
          <w:szCs w:val="19"/>
        </w:rPr>
        <w:t xml:space="preserve">conf &lt; 0.40</w:t>
      </w:r>
      <w:r>
        <w:rPr>
          <w:color w:val="1a2230"/>
        </w:rPr>
        <w:t xml:space="preserve">, the agent does not gamble.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R5  Weak grounding. </w:t>
      </w:r>
      <w:r>
        <w:rPr>
          <w:color w:val="1a2230"/>
        </w:rPr>
        <w:t xml:space="preserve">If the closest past case scores </w:t>
      </w:r>
      <w:r>
        <w:rPr>
          <w:rFonts w:ascii="Consolas" w:cs="Consolas" w:eastAsia="Consolas" w:hAnsi="Consolas"/>
          <w:color w:val="2b53c6"/>
          <w:sz w:val="19"/>
          <w:szCs w:val="19"/>
        </w:rPr>
        <w:t xml:space="preserve">&lt; 0.38</w:t>
      </w:r>
      <w:r>
        <w:rPr>
          <w:color w:val="1a2230"/>
        </w:rPr>
        <w:t xml:space="preserve">, there is nothing safe to answer from, so it hands off instead of guessing.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5.  Results vs. baselines</w:t>
      </w:r>
    </w:p>
    <w:p>
      <w:pPr>
        <w:spacing w:after="120" w:line="276"/>
      </w:pPr>
      <w:r>
        <w:rPr>
          <w:color w:val="1a2230"/>
        </w:rPr>
        <w:t xml:space="preserve">Everything below is measured on the 220-message golden set, each model against at least two baselines. Intent uses 5-fold </w:t>
      </w:r>
      <w:r>
        <w:rPr>
          <w:b/>
          <w:bCs/>
          <w:color w:val="1a2230"/>
        </w:rPr>
        <w:t xml:space="preserve">out-of-fold</w:t>
      </w:r>
      <w:r>
        <w:rPr>
          <w:color w:val="1a2230"/>
        </w:rPr>
        <w:t xml:space="preserve"> prediction (never scored on a row it trained on); escalation is measured with </w:t>
      </w:r>
      <w:r>
        <w:rPr>
          <w:b/>
          <w:bCs/>
          <w:color w:val="1a2230"/>
        </w:rPr>
        <w:t xml:space="preserve">oracle intents</w:t>
      </w:r>
      <w:r>
        <w:rPr>
          <w:color w:val="1a2230"/>
        </w:rPr>
        <w:t xml:space="preserve"> to isolate the policy from classifier error.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Task 1 — Intent classification (11 classes, accuracy &amp; macro-F1)</w:t>
      </w:r>
    </w:p>
    <w:tbl>
      <w:tblPr>
        <w:tblW w:type="dxa" w:w="9360"/>
        <w:tblBorders>
          <w:top w:val="single" w:color="c8d1de" w:sz="2"/>
          <w:left w:val="single" w:color="c8d1de" w:sz="2"/>
          <w:bottom w:val="single" w:color="c8d1de" w:sz="2"/>
          <w:right w:val="single" w:color="c8d1de" w:sz="2"/>
          <w:insideH w:val="single" w:color="dde3ec" w:sz="1"/>
          <w:insideV w:val="single" w:color="dde3ec" w:sz="1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Accuracy</w:t>
            </w:r>
          </w:p>
        </w:tc>
        <w:tc>
          <w:tcPr>
            <w:tcW w:type="dxa" w:w="200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Macro-F1</w:t>
            </w:r>
          </w:p>
        </w:tc>
      </w:tr>
      <w:tr>
        <w:trPr>
          <w:tblHeader w:val="false"/>
        </w:trPr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Trivial baseline — majority class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0.164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0.026</w:t>
            </w:r>
          </w:p>
        </w:tc>
      </w:tr>
      <w:tr>
        <w:trPr>
          <w:tblHeader w:val="false"/>
        </w:trPr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Simple / production — TF-IDF (1–2gram) + LogReg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0.491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0.426</w:t>
            </w:r>
          </w:p>
        </w:tc>
      </w:tr>
    </w:tbl>
    <w:p>
      <w:pPr>
        <w:spacing w:after="120" w:line="276"/>
      </w:pPr>
      <w:r>
        <w:rPr>
          <w:i/>
          <w:iCs/>
          <w:color w:val="586479"/>
        </w:rPr>
        <w:t xml:space="preserve">A 16× lift in macro-F1 over the trivial baseline. An LLM few-shot classifier was built as the third baseline; free inference endpoints were exhausted mid-run, and it had not beaten TF-IDF, so TF-IDF was kept as production and the LLM reserved for reply drafting.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Per-intent F1 — where it is strong and where it is not</w:t>
      </w:r>
    </w:p>
    <w:tbl>
      <w:tblPr>
        <w:tblW w:type="dxa" w:w="9360"/>
        <w:tblBorders>
          <w:top w:val="single" w:color="c8d1de" w:sz="2"/>
          <w:left w:val="single" w:color="c8d1de" w:sz="2"/>
          <w:bottom w:val="single" w:color="c8d1de" w:sz="2"/>
          <w:right w:val="single" w:color="c8d1de" w:sz="2"/>
          <w:insideH w:val="single" w:color="dde3ec" w:sz="1"/>
          <w:insideV w:val="single" w:color="dde3ec" w:sz="1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Intent</w:t>
            </w:r>
          </w:p>
        </w:tc>
        <w:tc>
          <w:tcPr>
            <w:tcW w:type="dxa" w:w="300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F1</w:t>
            </w:r>
          </w:p>
        </w:tc>
        <w:tc>
          <w:tcPr>
            <w:tcW w:type="dxa" w:w="300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Support (n)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seating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0.76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baggage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0.59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0.57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flight_disruption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0.49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loyalty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0.47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airport_gate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0.46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other_non_actionable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0.44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booking_fare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0.36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service_feedback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0.35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refund_compensation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0.20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safety_legal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0.00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586479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1a2230"/>
        </w:rPr>
        <w:t xml:space="preserve">Task 3 — Escalation decision (the part that got the most care)</w:t>
      </w:r>
    </w:p>
    <w:tbl>
      <w:tblPr>
        <w:tblW w:type="dxa" w:w="9360"/>
        <w:tblBorders>
          <w:top w:val="single" w:color="c8d1de" w:sz="2"/>
          <w:left w:val="single" w:color="c8d1de" w:sz="2"/>
          <w:bottom w:val="single" w:color="c8d1de" w:sz="2"/>
          <w:right w:val="single" w:color="c8d1de" w:sz="2"/>
          <w:insideH w:val="single" w:color="dde3ec" w:sz="1"/>
          <w:insideV w:val="single" w:color="dde3ec" w:sz="1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Model</w:t>
            </w:r>
          </w:p>
        </w:tc>
        <w:tc>
          <w:tcPr>
            <w:tcW w:type="dxa" w:w="132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Acc</w:t>
            </w:r>
          </w:p>
        </w:tc>
        <w:tc>
          <w:tcPr>
            <w:tcW w:type="dxa" w:w="132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Auto P</w:t>
            </w:r>
          </w:p>
        </w:tc>
        <w:tc>
          <w:tcPr>
            <w:tcW w:type="dxa" w:w="132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Auto R</w:t>
            </w:r>
          </w:p>
        </w:tc>
        <w:tc>
          <w:tcPr>
            <w:tcW w:type="dxa" w:w="132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Esc P</w:t>
            </w:r>
          </w:p>
        </w:tc>
        <w:tc>
          <w:tcPr>
            <w:tcW w:type="dxa" w:w="1320"/>
            <w:shd w:fill="ee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Esc R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Trivial — escalate all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0.691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0.691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Trivial — auto all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0.309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0.309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1.000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Rule-based policy (ours)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0.786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0.657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0.647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0.843</w:t>
            </w:r>
          </w:p>
        </w:tc>
        <w:tc>
          <w:tcPr>
            <w:tcW w:type="dxa" w:w="1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1a2230"/>
                <w:sz w:val="19"/>
                <w:szCs w:val="19"/>
              </w:rPr>
              <w:t xml:space="preserve">0.849</w:t>
            </w:r>
          </w:p>
        </w:tc>
      </w:tr>
    </w:tbl>
    <w:p>
      <w:pPr>
        <w:spacing w:after="120" w:line="276"/>
      </w:pPr>
      <w:r>
        <w:rPr>
          <w:color w:val="1a2230"/>
        </w:rPr>
        <w:t xml:space="preserve">The policy beats the strongest trivial baseline (escalate-everything, 69.1%) by ten points, while catching </w:t>
      </w:r>
      <w:r>
        <w:rPr>
          <w:b/>
          <w:bCs/>
          <w:color w:val="1a2230"/>
        </w:rPr>
        <w:t xml:space="preserve">84.9%</w:t>
      </w:r>
      <w:r>
        <w:rPr>
          <w:color w:val="1a2230"/>
        </w:rPr>
        <w:t xml:space="preserve"> of messages that truly needed a human </w:t>
      </w:r>
      <w:r>
        <w:rPr>
          <w:i/>
          <w:iCs/>
          <w:color w:val="586479"/>
        </w:rPr>
        <w:t xml:space="preserve">and</w:t>
      </w:r>
      <w:r>
        <w:rPr>
          <w:color w:val="1a2230"/>
        </w:rPr>
        <w:t xml:space="preserve"> being right </w:t>
      </w:r>
      <w:r>
        <w:rPr>
          <w:b/>
          <w:bCs/>
          <w:color w:val="1a2230"/>
        </w:rPr>
        <w:t xml:space="preserve">84.3%</w:t>
      </w:r>
      <w:r>
        <w:rPr>
          <w:color w:val="1a2230"/>
        </w:rPr>
        <w:t xml:space="preserve"> of the time it pulls that trigger. Escalate-everything only looks respectable because the golden set is escalation-heavy — but it auto-handles nothing, so it is not an agent. Tightening the grounding rule (R5, 0.12→0.38) raised escalate-recall from 0.78 to 0.85.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Task 2 — Reply quality</w:t>
      </w:r>
    </w:p>
    <w:p>
      <w:pPr>
        <w:spacing w:after="120" w:line="276"/>
      </w:pPr>
      <w:r>
        <w:rPr>
          <w:color w:val="1a2230"/>
        </w:rPr>
        <w:t xml:space="preserve">Replies are scored by an LLM-as-judge on grounding, correctness, and tone, with a judge–human agreement check (Cohen’s κ) validating the judge before its scores are trusted. This task needs a live model; with free endpoints exhausted, the honest status is that the harness and rubric are in place and run on demand, but there is </w:t>
      </w:r>
      <w:r>
        <w:rPr>
          <w:b/>
          <w:bCs/>
          <w:color w:val="1a2230"/>
        </w:rPr>
        <w:t xml:space="preserve">no headline reply-quality number to stand behind yet</w:t>
      </w:r>
      <w:r>
        <w:rPr>
          <w:color w:val="1a2230"/>
        </w:rPr>
        <w:t xml:space="preserve">. What is guaranteed structurally: no reply is sent from a below-0.38 grounding match, so the failure mode of confidently pasting an unrelated historical reply is closed off by construction.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6.  Failure analysis — top 5 modes, real examples &amp; hypotheses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F1 — The long-tail intents are effectively unlearned</w:t>
      </w:r>
    </w:p>
    <w:p>
      <w:pPr>
        <w:spacing w:after="120" w:line="276"/>
      </w:pPr>
      <w:r>
        <w:rPr>
          <w:b/>
          <w:bCs/>
          <w:color w:val="2b53c6"/>
        </w:rPr>
        <w:t xml:space="preserve">Example. </w:t>
      </w:r>
      <w:r>
        <w:rPr>
          <w:color w:val="1a2230"/>
        </w:rPr>
        <w:t xml:space="preserve">“Is it safe to fly with my lithium battery pack in carry-on?” → classified safety_legal? No: intent = baggage (conf 0.73).</w:t>
      </w:r>
    </w:p>
    <w:p>
      <w:pPr>
        <w:spacing w:after="120" w:line="276"/>
      </w:pPr>
      <w:r>
        <w:rPr>
          <w:b/>
          <w:bCs/>
          <w:color w:val="2b53c6"/>
        </w:rPr>
        <w:t xml:space="preserve">Hypothesis. </w:t>
      </w:r>
      <w:r>
        <w:rPr>
          <w:color w:val="1a2230"/>
        </w:rPr>
        <w:t xml:space="preserve">safety_legal has 3 training examples and refund_compensation has 8. A linear model cannot carve a reliable boundary from single-digit support, so these classes get absorbed by lexically-similar neighbors (“carry-on” → baggage). F1 is 0.00 and 0.20 respectively.</w:t>
      </w:r>
    </w:p>
    <w:p>
      <w:pPr>
        <w:spacing w:after="120" w:line="276"/>
      </w:pPr>
      <w:r>
        <w:rPr>
          <w:b/>
          <w:bCs/>
          <w:color w:val="2b53c6"/>
        </w:rPr>
        <w:t xml:space="preserve">Status / fix. </w:t>
      </w:r>
      <w:r>
        <w:rPr>
          <w:color w:val="1a2230"/>
        </w:rPr>
        <w:t xml:space="preserve">Mitigated, not solved: even with the wrong intent, this message still escalated correctly (baggage is not auto-OK + grounding 0.27 &lt; 0.38). The policy masks long-tail intent errors — but the label itself is still wrong, which would hurt any downstream routing to a specialist queue.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F2 — A co-occurring keyword pulls the linear classifier off-topic</w:t>
      </w:r>
    </w:p>
    <w:p>
      <w:pPr>
        <w:spacing w:after="120" w:line="276"/>
      </w:pPr>
      <w:r>
        <w:rPr>
          <w:b/>
          <w:bCs/>
          <w:color w:val="2b53c6"/>
        </w:rPr>
        <w:t xml:space="preserve">Example. </w:t>
      </w:r>
      <w:r>
        <w:rPr>
          <w:color w:val="1a2230"/>
        </w:rPr>
        <w:t xml:space="preserve">“How many SkyMiles do I need for a free checked bag?” → was classified baggage (55%), escalated, and answered with an apologetic hand-off.</w:t>
      </w:r>
    </w:p>
    <w:p>
      <w:pPr>
        <w:spacing w:after="120" w:line="276"/>
      </w:pPr>
      <w:r>
        <w:rPr>
          <w:b/>
          <w:bCs/>
          <w:color w:val="2b53c6"/>
        </w:rPr>
        <w:t xml:space="preserve">Hypothesis. </w:t>
      </w:r>
      <w:r>
        <w:rPr>
          <w:color w:val="1a2230"/>
        </w:rPr>
        <w:t xml:space="preserve">TF-IDF is bag-of-words: the strong bigram “checked bag” outweighed “SkyMiles,” so a pure loyalty FAQ landed on baggage. The model has no notion that SkyMiles is a near-certain loyalty signal.</w:t>
      </w:r>
    </w:p>
    <w:p>
      <w:pPr>
        <w:spacing w:after="120" w:line="276"/>
      </w:pPr>
      <w:r>
        <w:rPr>
          <w:b/>
          <w:bCs/>
          <w:color w:val="2b53c6"/>
        </w:rPr>
        <w:t xml:space="preserve">Status / fix. </w:t>
      </w:r>
      <w:r>
        <w:rPr>
          <w:color w:val="1a2230"/>
        </w:rPr>
        <w:t xml:space="preserve">Fixed with a small high-precision override: unambiguous brand terms (SkyMiles, Medallion, SkyClub) win outright. Now classified loyalty (auto-OK) and answered directly. A learned model would need many more examples to encode this.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F3 — Retrieval surfaces an unrelated historical reply on a weak match</w:t>
      </w:r>
    </w:p>
    <w:p>
      <w:pPr>
        <w:spacing w:after="120" w:line="276"/>
      </w:pPr>
      <w:r>
        <w:rPr>
          <w:b/>
          <w:bCs/>
          <w:color w:val="2b53c6"/>
        </w:rPr>
        <w:t xml:space="preserve">Example. </w:t>
      </w:r>
      <w:r>
        <w:rPr>
          <w:color w:val="1a2230"/>
        </w:rPr>
        <w:t xml:space="preserve">“Can I get a credit card discount on my next booking? I have many points on my ICICI credit card” → grounded at cosine 0.30 and (without the LLM) returned a verbatim past reply about risk-free cancellation — even carrying a stray customer name.</w:t>
      </w:r>
    </w:p>
    <w:p>
      <w:pPr>
        <w:spacing w:after="120" w:line="276"/>
      </w:pPr>
      <w:r>
        <w:rPr>
          <w:b/>
          <w:bCs/>
          <w:color w:val="2b53c6"/>
        </w:rPr>
        <w:t xml:space="preserve">Hypothesis. </w:t>
      </w:r>
      <w:r>
        <w:rPr>
          <w:color w:val="1a2230"/>
        </w:rPr>
        <w:t xml:space="preserve">The grounding floor was 0.12, so a 0.30 (off-topic) nearest neighbor was treated as “well-grounded” and pasted verbatim. Classic RAG failure: low similarity is still the closest, but closest ≠ relevant.</w:t>
      </w:r>
    </w:p>
    <w:p>
      <w:pPr>
        <w:spacing w:after="120" w:line="276"/>
      </w:pPr>
      <w:r>
        <w:rPr>
          <w:b/>
          <w:bCs/>
          <w:color w:val="2b53c6"/>
        </w:rPr>
        <w:t xml:space="preserve">Status / fix. </w:t>
      </w:r>
      <w:r>
        <w:rPr>
          <w:color w:val="1a2230"/>
        </w:rPr>
        <w:t xml:space="preserve">Fixed by raising the grounding bar to 0.38 (calibrated: genuine matches score 0.40–0.62, this one sat alone at 0.30). Below the bar the agent now escalates instead of parroting. This single threshold closes the most dangerous reply failure.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F4 — Confusable neighbor intents blur into each other</w:t>
      </w:r>
    </w:p>
    <w:p>
      <w:pPr>
        <w:spacing w:after="120" w:line="276"/>
      </w:pPr>
      <w:r>
        <w:rPr>
          <w:b/>
          <w:bCs/>
          <w:color w:val="2b53c6"/>
        </w:rPr>
        <w:t xml:space="preserve">Example. </w:t>
      </w:r>
      <w:r>
        <w:rPr>
          <w:color w:val="1a2230"/>
        </w:rPr>
        <w:t xml:space="preserve">“Can I change my flight to tomorrow morning?” → booking_fare (correct) but the model frequently swaps booking_fare ↔ flight_disruption and service_feedback ↔ other_non_actionable.</w:t>
      </w:r>
    </w:p>
    <w:p>
      <w:pPr>
        <w:spacing w:after="120" w:line="276"/>
      </w:pPr>
      <w:r>
        <w:rPr>
          <w:b/>
          <w:bCs/>
          <w:color w:val="2b53c6"/>
        </w:rPr>
        <w:t xml:space="preserve">Hypothesis. </w:t>
      </w:r>
      <w:r>
        <w:rPr>
          <w:color w:val="1a2230"/>
        </w:rPr>
        <w:t xml:space="preserve">These pairs share heavy vocabulary (a schedule change reads like a disruption; a neutral comment reads like non-actionable feedback). With ~24–29 examples each, the decision surface between them is thin. This is the main driver of the 0.49 accuracy ceiling.</w:t>
      </w:r>
    </w:p>
    <w:p>
      <w:pPr>
        <w:spacing w:after="120" w:line="276"/>
      </w:pPr>
      <w:r>
        <w:rPr>
          <w:b/>
          <w:bCs/>
          <w:color w:val="2b53c6"/>
        </w:rPr>
        <w:t xml:space="preserve">Status / fix. </w:t>
      </w:r>
      <w:r>
        <w:rPr>
          <w:color w:val="1a2230"/>
        </w:rPr>
        <w:t xml:space="preserve">Partly absorbed by routing (both members of each pair are handled similarly), but it caps intent quality. The real fix is more labels or an embedding model — deliberately out of scope here.</w:t>
      </w:r>
    </w:p>
    <w:p>
      <w:pPr>
        <w:pStyle w:val="Heading3"/>
        <w:spacing w:after="60" w:before="160"/>
      </w:pPr>
      <w:r>
        <w:rPr>
          <w:b/>
          <w:bCs/>
          <w:color w:val="1a2230"/>
        </w:rPr>
        <w:t xml:space="preserve">F5 — Weak-supervision blind spots leak into production labels</w:t>
      </w:r>
    </w:p>
    <w:p>
      <w:pPr>
        <w:spacing w:after="120" w:line="276"/>
      </w:pPr>
      <w:r>
        <w:rPr>
          <w:b/>
          <w:bCs/>
          <w:color w:val="2b53c6"/>
        </w:rPr>
        <w:t xml:space="preserve">Example. </w:t>
      </w:r>
      <w:r>
        <w:rPr>
          <w:color w:val="1a2230"/>
        </w:rPr>
        <w:t xml:space="preserve">“…many points on my ICICI credit card” still reads as loyalty because the keyword rule maps “points” → loyalty, though these are a third party’s points, not SkyMiles.</w:t>
      </w:r>
    </w:p>
    <w:p>
      <w:pPr>
        <w:spacing w:after="120" w:line="276"/>
      </w:pPr>
      <w:r>
        <w:rPr>
          <w:b/>
          <w:bCs/>
          <w:color w:val="2b53c6"/>
        </w:rPr>
        <w:t xml:space="preserve">Hypothesis. </w:t>
      </w:r>
      <w:r>
        <w:rPr>
          <w:color w:val="1a2230"/>
        </w:rPr>
        <w:t xml:space="preserve">The classifier inherits the biases of the keyword labeler that bootstrapped it. Any gap or over-broad rule in the ~7k weak labels becomes a systematic error the gold set is too small to fully correct.</w:t>
      </w:r>
    </w:p>
    <w:p>
      <w:pPr>
        <w:spacing w:after="120" w:line="276"/>
      </w:pPr>
      <w:r>
        <w:rPr>
          <w:b/>
          <w:bCs/>
          <w:color w:val="2b53c6"/>
        </w:rPr>
        <w:t xml:space="preserve">Status / fix. </w:t>
      </w:r>
      <w:r>
        <w:rPr>
          <w:color w:val="1a2230"/>
        </w:rPr>
        <w:t xml:space="preserve">Contained by the escalation policy (the message escalated anyway via weak grounding), but it shows the ceiling of weak supervision: the model is only as sharp as its labeling functions. Fix path is auditing/adding labeling functions, tracked in the decision log.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7.  What is misleading about my headline number?</w:t>
      </w:r>
    </w:p>
    <w:p>
      <w:pPr>
        <w:spacing w:after="120" w:line="276"/>
      </w:pPr>
      <w:r>
        <w:rPr>
          <w:i/>
          <w:iCs/>
          <w:color w:val="586479"/>
        </w:rPr>
        <w:t xml:space="preserve">Mandatory section. If I had to headline one figure, it would be the escalation policy's 78.6% accuracy or the UI's per-message confidence — and both would mislead in specific ways.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“94% confidence” in the UI is not accuracy. </w:t>
      </w:r>
      <w:r>
        <w:rPr>
          <w:color w:val="1a2230"/>
        </w:rPr>
        <w:t xml:space="preserve">It is the model's own predicted probability. On held-out golden data the real intent accuracy is 49% (macro-F1 0.43). Confidence is a routing signal, not a correctness guarantee.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The 78.6% escalation score assumes perfect intents. </w:t>
      </w:r>
      <w:r>
        <w:rPr>
          <w:color w:val="1a2230"/>
        </w:rPr>
        <w:t xml:space="preserve">Task 3 is measured with oracle intents to isolate policy quality. End-to-end, classifier errors propagate into routing, so live escalation accuracy is lower than the policy's own ceiling.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Macro-F1 averages all 11 intents equally. </w:t>
      </w:r>
      <w:r>
        <w:rPr>
          <w:color w:val="1a2230"/>
        </w:rPr>
        <w:t xml:space="preserve">Two tiny-support classes (n=3, n=8) with near-zero F1 drag the mean down hard. Weighted-F1 is 0.48, and the common intents customers actually send are well above the headline — one number hides that the agent is strong where the volume is and weak in the long tail.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Accuracy looks inflated against a 16% baseline </w:t>
      </w:r>
      <w:r>
        <w:rPr>
          <w:color w:val="1a2230"/>
        </w:rPr>
        <w:t xml:space="preserve">only because the classes are imbalanced. The honest comparison is macro-F1 vs the majority baseline (0.43 vs 0.03), not raw accuracy vs chance.</w:t>
      </w:r>
    </w:p>
    <w:p>
      <w:pPr>
        <w:spacing w:after="120" w:line="276"/>
      </w:pPr>
      <w:r>
        <w:rPr>
          <w:b/>
          <w:bCs/>
          <w:color w:val="1a2230"/>
        </w:rPr>
        <w:t xml:space="preserve">The one number I would actually stand behind: </w:t>
      </w:r>
      <w:r>
        <w:rPr>
          <w:color w:val="1a2230"/>
        </w:rPr>
        <w:t xml:space="preserve">escalation recall of 0.85 with 0.84 precision on the golden set — because for this brand, catching the messages that need a human is the metric that maps to real-world cost, and it is measured against human labels, not self-reported.</w:t>
      </w:r>
    </w:p>
    <w:p>
      <w:pPr>
        <w:pStyle w:val="Heading1"/>
        <w:spacing w:after="120" w:before="300"/>
      </w:pPr>
      <w:r>
        <w:rPr>
          <w:b/>
          <w:bCs/>
          <w:color w:val="1a2230"/>
        </w:rPr>
        <w:t xml:space="preserve">8.  What it lacks &amp; what I’d do next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Modest intent accuracy (macro-F1 0.43) </w:t>
      </w:r>
      <w:r>
        <w:rPr>
          <w:color w:val="1a2230"/>
        </w:rPr>
        <w:t xml:space="preserve">— fine for routing, not for unattended auto-replies at scale.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Long tail unlearned </w:t>
      </w:r>
      <w:r>
        <w:rPr>
          <w:color w:val="1a2230"/>
        </w:rPr>
        <w:t xml:space="preserve">— safety_legal and refund_compensation need either targeted labels or a small embedding classifier.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Single-turn, no memory or account lookup </w:t>
      </w:r>
      <w:r>
        <w:rPr>
          <w:color w:val="1a2230"/>
        </w:rPr>
        <w:t xml:space="preserve">— account-state messages are escalated rather than resolved.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2230"/>
        </w:rPr>
        <w:t xml:space="preserve">Reply-quality headline pending a stable LLM </w:t>
      </w:r>
      <w:r>
        <w:rPr>
          <w:color w:val="1a2230"/>
        </w:rPr>
        <w:t xml:space="preserve">— the judge + κ harness is built and runs on demand; it needs a funded endpoint to produce a number.</w:t>
      </w:r>
    </w:p>
    <w:p>
      <w:pPr>
        <w:spacing w:after="120" w:line="276"/>
      </w:pPr>
      <w:r>
        <w:rPr>
          <w:b/>
          <w:bCs/>
          <w:color w:val="1a2230"/>
        </w:rPr>
        <w:t xml:space="preserve">Next steps, in priority order: </w:t>
      </w:r>
      <w:r>
        <w:rPr>
          <w:color w:val="1a2230"/>
        </w:rPr>
        <w:t xml:space="preserve">(1) add ~30 labels each to the two starved intents; (2) swap TF-IDF for a small sentence-embedding classifier and re-run the same eval to measure the lift honestly; (3) fund the LLM judge and report reply grounding/correctness/tone with κ; (4) start logging live “why” traces as the data flywheel the Agent-in-the-Loop paper describes.</w:t>
      </w:r>
    </w:p>
    <w:p>
      <w:pPr>
        <w:pBdr>
          <w:bottom w:val="single" w:color="dde3ec" w:sz="6"/>
        </w:pBdr>
        <w:spacing w:after="120" w:before="60"/>
      </w:pPr>
    </w:p>
    <w:p>
      <w:pPr>
        <w:spacing w:after="120" w:line="276"/>
      </w:pPr>
      <w:r>
        <w:rPr>
          <w:i/>
          <w:iCs/>
          <w:color w:val="586479"/>
        </w:rPr>
        <w:t xml:space="preserve">Reproducibility: all numbers generated from reports/ (intent_scores.csv, intent_classification_report.txt, escalation_scores.csv). Golden set n=220, TF-IDF 5-fold OOF, escalation with oracle intents. Dataset: Kaggle Customer Support on Twitter, Delta subset.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a2230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b53c6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a22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4bcc5bb99699f41e301887538babd38196e1b3.png"/><Relationship Id="rId8" Type="http://schemas.openxmlformats.org/officeDocument/2006/relationships/image" Target="media/a635059fbd5e64017604a9da9c7705a173fafca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2026-09-16T10:54:48.466Z</dcterms:created>
  <dcterms:modified xsi:type="dcterms:W3CDTF">2026-09-16T10:54:48.466Z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