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5AE45C" w14:textId="77777777" w:rsidR="00235774" w:rsidRPr="00B930D9" w:rsidRDefault="004F770F">
      <w:pPr>
        <w:spacing w:after="80"/>
        <w:rPr>
          <w:color w:val="124F1A" w:themeColor="accent3" w:themeShade="BF"/>
        </w:rPr>
      </w:pPr>
      <w:r>
        <w:rPr>
          <w:b/>
          <w:bCs/>
          <w:color w:val="124F1A" w:themeColor="accent3" w:themeShade="BF"/>
          <w:sz w:val="40"/>
          <w:szCs w:val="40"/>
        </w:rPr>
        <w:t>Smarter Compliance in Aquaculture</w:t>
      </w:r>
    </w:p>
    <w:p w14:paraId="11F76C1A" w14:textId="77777777" w:rsidR="00235774" w:rsidRPr="00B930D9" w:rsidRDefault="004F770F">
      <w:pPr>
        <w:spacing w:after="80"/>
        <w:rPr>
          <w:color w:val="124F1A" w:themeColor="accent3" w:themeShade="BF"/>
        </w:rPr>
      </w:pPr>
      <w:r>
        <w:rPr>
          <w:color w:val="124F1A" w:themeColor="accent3" w:themeShade="BF"/>
          <w:sz w:val="28"/>
          <w:szCs w:val="28"/>
        </w:rPr>
        <w:t>Turning Norwegian aquaculture law into checkable requirements</w:t>
      </w:r>
    </w:p>
    <w:p w14:paraId="5BFACA48" w14:textId="77777777" w:rsidR="00235774" w:rsidRDefault="004F770F">
      <w:pPr>
        <w:spacing w:after="240"/>
      </w:pPr>
      <w:r>
        <w:rPr>
          <w:i/>
          <w:iCs/>
          <w:color w:val="4A6670"/>
          <w:sz w:val="22"/>
          <w:szCs w:val="22"/>
          <w:lang w:val="en-US"/>
        </w:rPr>
        <w:t>Learnings, tools and decisions from the requirement extraction work</w:t>
      </w:r>
    </w:p>
    <w:p w14:paraId="3F2F05C5" w14:textId="77777777" w:rsidR="00235774" w:rsidRDefault="004F770F">
      <w:pPr>
        <w:spacing w:after="140" w:line="276" w:lineRule="auto"/>
      </w:pPr>
      <w:r>
        <w:t>Report date: 5 October 2026</w:t>
      </w:r>
    </w:p>
    <w:p w14:paraId="09FD39B3" w14:textId="77777777" w:rsidR="00235774" w:rsidRDefault="004F770F">
      <w:pPr>
        <w:spacing w:after="140" w:line="276" w:lineRule="auto"/>
      </w:pPr>
      <w:r>
        <w:t>Interns: Ana Jokic, Daniel Restad, Weijie Tang. Internship period: 17 August to 9 October 2026.</w:t>
      </w:r>
    </w:p>
    <w:p w14:paraId="529B476A" w14:textId="77777777" w:rsidR="00235774" w:rsidRDefault="004F770F">
      <w:pPr>
        <w:spacing w:after="140" w:line="276" w:lineRule="auto"/>
      </w:pPr>
      <w:r>
        <w:t>Intended readers: the Smarter Compliance project lead, the team that owns the requirement schema, and the team that continues this work.</w:t>
      </w:r>
    </w:p>
    <w:p w14:paraId="2A0FA0F9" w14:textId="77777777" w:rsidR="00235774" w:rsidRPr="00B930D9" w:rsidRDefault="004F770F">
      <w:pPr>
        <w:pStyle w:val="Heading1"/>
        <w:rPr>
          <w:color w:val="124F1A" w:themeColor="accent3" w:themeShade="BF"/>
        </w:rPr>
      </w:pPr>
      <w:r>
        <w:rPr>
          <w:color w:val="124F1A" w:themeColor="accent3" w:themeShade="BF"/>
        </w:rPr>
        <w:t>Executive summary</w:t>
      </w:r>
    </w:p>
    <w:p w14:paraId="349F46C7" w14:textId="77777777" w:rsidR="00235774" w:rsidRDefault="004F770F">
      <w:pPr>
        <w:spacing w:after="140" w:line="276" w:lineRule="auto"/>
      </w:pPr>
      <w:r>
        <w:rPr>
          <w:lang w:val="en-US"/>
        </w:rPr>
        <w:t>We tested whether Norwegian aquaculture law can be entered into the existing requirement schema, using Akvakulturdriftsforskriften as the test case. The result</w:t>
      </w:r>
      <w:bookmarkStart w:id="0" w:name="_Int_8hzijqGA"/>
      <w:r>
        <w:rPr>
          <w:lang w:val="en-US"/>
        </w:rPr>
        <w:t xml:space="preserve"> was th</w:t>
      </w:r>
      <w:bookmarkEnd w:id="0"/>
      <w:r>
        <w:rPr>
          <w:lang w:val="en-US"/>
        </w:rPr>
        <w:t>at it cannot be used without losing information. Of the 484 requirement rows we produced, 341 (70.5%) contained something the schema had no field for, and only 7 had a physical component for the field the schema is built around.</w:t>
      </w:r>
    </w:p>
    <w:p w14:paraId="5D6AFD5C" w14:textId="77777777" w:rsidR="00235774" w:rsidRDefault="004F770F" w:rsidP="46809CE5">
      <w:pPr>
        <w:spacing w:after="140" w:line="276" w:lineRule="auto"/>
      </w:pPr>
      <w:r>
        <w:rPr>
          <w:lang w:val="en-US"/>
        </w:rPr>
        <w:t xml:space="preserve">§ 12 is a typical example. It requires a daily </w:t>
      </w:r>
      <w:bookmarkStart w:id="1" w:name="_Int_GQta2LkK"/>
      <w:r>
        <w:rPr>
          <w:lang w:val="en-US"/>
        </w:rPr>
        <w:t>inspection</w:t>
      </w:r>
      <w:bookmarkEnd w:id="1"/>
      <w:r>
        <w:rPr>
          <w:lang w:val="en-US"/>
        </w:rPr>
        <w:t xml:space="preserve"> "</w:t>
      </w:r>
      <w:r>
        <w:rPr>
          <w:i/>
          <w:iCs/>
          <w:lang w:val="en-US"/>
        </w:rPr>
        <w:t>såfremt værforholdene tillater det"</w:t>
      </w:r>
      <w:r>
        <w:rPr>
          <w:lang w:val="en-US"/>
        </w:rPr>
        <w:t xml:space="preserve">, </w:t>
      </w:r>
      <w:bookmarkStart w:id="2" w:name="_Int_laflMEop"/>
      <w:r>
        <w:rPr>
          <w:lang w:val="en-US"/>
        </w:rPr>
        <w:t>as long as</w:t>
      </w:r>
      <w:bookmarkEnd w:id="2"/>
      <w:r>
        <w:rPr>
          <w:lang w:val="en-US"/>
        </w:rPr>
        <w:t xml:space="preserve"> the weather allows. The inspection fits the schema, but the weather exception ends up as free text, and the person responsible, named in the preceding sentence, has no field. The schema was designed for equipment manuals, while law is organized around who is responsible, when a duty applies, what is exempted, and what counts as proof.</w:t>
      </w:r>
    </w:p>
    <w:p w14:paraId="6C868DAF" w14:textId="77777777" w:rsidR="00235774" w:rsidRDefault="004F770F">
      <w:pPr>
        <w:spacing w:after="140" w:line="276" w:lineRule="auto"/>
      </w:pPr>
      <w:r>
        <w:rPr>
          <w:lang w:val="en-US"/>
        </w:rPr>
        <w:t xml:space="preserve">The gap becomes risky when AI drafts the requirements. In the outputs we reviewed, the Requirements Authoring Assistant wrote requirements that read well and said something the law does not: a five-year maximum became “when needed”, a trigger was reversed, and </w:t>
      </w:r>
      <w:r>
        <w:rPr>
          <w:lang w:val="en-US"/>
        </w:rPr>
        <w:t>a suggested rewrite of a training duty added an 80% pass mark</w:t>
      </w:r>
      <w:r>
        <w:rPr>
          <w:lang w:val="en-US"/>
        </w:rPr>
        <w:t xml:space="preserve"> that appears nowhere in the regulation.</w:t>
      </w:r>
    </w:p>
    <w:p w14:paraId="00F6558F" w14:textId="77777777" w:rsidR="00235774" w:rsidRDefault="004F770F">
      <w:pPr>
        <w:spacing w:after="140" w:line="276" w:lineRule="auto"/>
      </w:pPr>
      <w:r>
        <w:rPr>
          <w:lang w:val="en-US"/>
        </w:rPr>
        <w:t xml:space="preserve">Our recommendation is to keep the schema for what it does well, describing concrete actions, and adding a legal layer above it. Each legal requirement records its duty holder, applicability, exceptions and demand, and </w:t>
      </w:r>
      <w:bookmarkStart w:id="3" w:name="_Int_TxqxNj1e"/>
      <w:r>
        <w:rPr>
          <w:lang w:val="en-US"/>
        </w:rPr>
        <w:t>links down</w:t>
      </w:r>
      <w:bookmarkEnd w:id="3"/>
      <w:r>
        <w:rPr>
          <w:lang w:val="en-US"/>
        </w:rPr>
        <w:t xml:space="preserve"> to the actions it produces. </w:t>
      </w:r>
      <w:r>
        <w:rPr>
          <w:lang w:val="en-US"/>
        </w:rPr>
        <w:t xml:space="preserve">The Workbench demonstrates nesting and the preparation of structured Scope, Demand and Condition on real provisions. These entries form the handoff to the downstream team, which will derive and link operational actions.</w:t>
      </w:r>
    </w:p>
    <w:p w14:paraId="053D007B" w14:textId="77777777" w:rsidR="00235774" w:rsidRDefault="004F770F">
      <w:pPr>
        <w:spacing w:after="140" w:line="276" w:lineRule="auto"/>
      </w:pPr>
      <w:r>
        <w:rPr>
          <w:lang w:val="en-US"/>
        </w:rPr>
        <w:t>For the next team, the first step is to agree that layer’s minimum fields and test them on five representative cases. Appendix A then explains how to take the next regulation through the same process, including the mistakes we would not make a second time.</w:t>
      </w:r>
    </w:p>
    <w:p w14:paraId="104824A3" w14:textId="77777777" w:rsidR="00235774" w:rsidRPr="00B930D9" w:rsidRDefault="004F770F">
      <w:pPr>
        <w:pStyle w:val="Heading1"/>
        <w:rPr>
          <w:color w:val="124F1A" w:themeColor="accent3" w:themeShade="BF"/>
        </w:rPr>
      </w:pPr>
      <w:r>
        <w:rPr>
          <w:color w:val="124F1A" w:themeColor="accent3" w:themeShade="BF"/>
        </w:rPr>
        <w:t>1. We set out to extract operational aquaculture law, and the task became a test of the requirement schema</w:t>
      </w:r>
    </w:p>
    <w:p w14:paraId="3AB237CD" w14:textId="77777777" w:rsidR="00235774" w:rsidRDefault="004F770F">
      <w:pPr>
        <w:spacing w:after="140" w:line="276" w:lineRule="auto"/>
      </w:pPr>
      <w:r>
        <w:rPr>
          <w:lang w:val="en-US"/>
        </w:rPr>
        <w:t xml:space="preserve">We started with a short brief: find the law that governs the day-to-day running of a fish farm in Norway and turn it into requirements. Nobody could tell </w:t>
      </w:r>
      <w:bookmarkStart w:id="4" w:name="_Int_aWtcPVTP"/>
      <w:proofErr w:type="gramStart"/>
      <w:r>
        <w:rPr>
          <w:lang w:val="en-US"/>
        </w:rPr>
        <w:t>us</w:t>
      </w:r>
      <w:bookmarkEnd w:id="4"/>
      <w:proofErr w:type="gramEnd"/>
      <w:r>
        <w:rPr>
          <w:lang w:val="en-US"/>
        </w:rPr>
        <w:t xml:space="preserve"> yet what a finished requirement should look like, so we worked it out as we went.</w:t>
      </w:r>
    </w:p>
    <w:p w14:paraId="6213869B" w14:textId="77777777" w:rsidR="00235774" w:rsidRDefault="004F770F">
      <w:pPr>
        <w:spacing w:after="140" w:line="276" w:lineRule="auto"/>
      </w:pPr>
      <w:r>
        <w:rPr>
          <w:lang w:val="en-US"/>
        </w:rPr>
        <w:t>The first weeks were about breadth. From the end of August, we copied 2,866 rows of original legal text from 19 laws and regulations into a shared register, one row per sentence or list item, each with its Lovdata link. To decide where to go deep, we used DNV’s Aqua insight report (2020), which identifies the regulations linked to the most frequent deviations made by fish farmers. That pointed us to Akvakulturdriftsforskriften, the regulation that governs operations most directly.</w:t>
      </w:r>
    </w:p>
    <w:p w14:paraId="221FC359" w14:textId="77777777" w:rsidR="00235774" w:rsidRDefault="004F770F">
      <w:pPr>
        <w:spacing w:after="140" w:line="276" w:lineRule="auto"/>
      </w:pPr>
      <w:r>
        <w:rPr>
          <w:lang w:val="en-US"/>
        </w:rPr>
        <w:lastRenderedPageBreak/>
        <w:t xml:space="preserve">Then the task changed. Partway through, we were given the existing requirement schema, built for technical user manuals, and asked to enter the law into it to show where it falls short. From mid-September we took Akvakulturdriftsforskriften all the way </w:t>
      </w:r>
      <w:bookmarkStart w:id="5" w:name="_Int_kiYIAiWy"/>
      <w:proofErr w:type="gramStart"/>
      <w:r>
        <w:rPr>
          <w:lang w:val="en-US"/>
        </w:rPr>
        <w:t>through:</w:t>
      </w:r>
      <w:bookmarkEnd w:id="5"/>
      <w:proofErr w:type="gramEnd"/>
      <w:r>
        <w:rPr>
          <w:lang w:val="en-US"/>
        </w:rPr>
        <w:t xml:space="preserve"> 76 paragraphs and 484 rows, each with Scope, Condition, Demand, verification, normative type and action verb, plus two columns recording what the schema could and could not hold. Those two columns are where this report comes from. Unless we say otherwise, every number in it comes from that sheet.</w:t>
      </w:r>
    </w:p>
    <w:p w14:paraId="3795FB68" w14:textId="77777777" w:rsidR="00235774" w:rsidRDefault="004F770F">
      <w:pPr>
        <w:spacing w:after="140" w:line="276" w:lineRule="auto"/>
      </w:pPr>
      <w:r>
        <w:rPr>
          <w:lang w:val="en-US"/>
        </w:rPr>
        <w:t xml:space="preserve">We </w:t>
      </w:r>
      <w:bookmarkStart w:id="6" w:name="_Int_1ciHSTfn"/>
      <w:r>
        <w:rPr>
          <w:lang w:val="en-US"/>
        </w:rPr>
        <w:t>left out</w:t>
      </w:r>
      <w:bookmarkEnd w:id="6"/>
      <w:r>
        <w:rPr>
          <w:lang w:val="en-US"/>
        </w:rPr>
        <w:t xml:space="preserve"> Chapter 1 (§§ 1 to 4) and §§ 23, 24, 35, 55 and 63. Appendix C gives the reason for each.</w:t>
      </w:r>
    </w:p>
    <w:p w14:paraId="0FDAA8F7" w14:textId="6C4AC32E" w:rsidR="00235774" w:rsidRDefault="004F770F">
      <w:pPr>
        <w:spacing w:after="140" w:line="276" w:lineRule="auto"/>
      </w:pPr>
      <w:r>
        <w:rPr>
          <w:lang w:val="en-US"/>
        </w:rPr>
        <w:t xml:space="preserve">While the register grew by hand, the automation </w:t>
      </w:r>
      <w:bookmarkStart w:id="7" w:name="_Int_ABgaBBUW"/>
      <w:proofErr w:type="gramStart"/>
      <w:r>
        <w:rPr>
          <w:lang w:val="en-US"/>
        </w:rPr>
        <w:t>track</w:t>
      </w:r>
      <w:bookmarkEnd w:id="7"/>
      <w:proofErr w:type="gramEnd"/>
      <w:r>
        <w:rPr>
          <w:lang w:val="en-US"/>
        </w:rPr>
        <w:t xml:space="preserve"> built software for the same steps: finding and versioning sources, extracting text without altering it, checking extractions against the original, and structuring requirements. The two tracks compared notes throughout. At one point the software was ahead of requirement authoring assistant: it handled nested requirements before we tested the authoring assistant and saw why they mattered.</w:t>
      </w:r>
    </w:p>
    <w:p w14:paraId="5290B996" w14:textId="77777777" w:rsidR="00235774" w:rsidRPr="00B930D9" w:rsidRDefault="004F770F" w:rsidP="46809CE5">
      <w:pPr>
        <w:pStyle w:val="Heading1"/>
        <w:rPr>
          <w:color w:val="124F1A" w:themeColor="accent3" w:themeShade="BF"/>
          <w:lang w:val="en-US"/>
        </w:rPr>
      </w:pPr>
      <w:r>
        <w:rPr>
          <w:color w:val="124F1A" w:themeColor="accent3" w:themeShade="BF"/>
          <w:lang w:val="en-US"/>
        </w:rPr>
        <w:t>2. The existing schema cannot hold law: 341 of 484 rows (70.5%) lost information, and only 7 had a component</w:t>
      </w:r>
    </w:p>
    <w:p w14:paraId="152C8FA1" w14:textId="77777777" w:rsidR="00235774" w:rsidRDefault="004F770F">
      <w:pPr>
        <w:spacing w:after="140" w:line="276" w:lineRule="auto"/>
      </w:pPr>
      <w:r>
        <w:rPr>
          <w:lang w:val="en-US"/>
        </w:rPr>
        <w:t xml:space="preserve">The schema is built around a component and something </w:t>
      </w:r>
      <w:bookmarkStart w:id="8" w:name="_Int_9qzfueyl"/>
      <w:r>
        <w:rPr>
          <w:lang w:val="en-US"/>
        </w:rPr>
        <w:t>done</w:t>
      </w:r>
      <w:bookmarkEnd w:id="8"/>
      <w:r>
        <w:rPr>
          <w:lang w:val="en-US"/>
        </w:rPr>
        <w:t xml:space="preserve"> to it. In an equipment manual that works well: “inspect the winch” has an obvious component. Very little in Akvakulturdriftsforskriften works that way. Almost every row could be given an action, but only 7 of the 484 had a real component to put in the </w:t>
      </w:r>
      <w:bookmarkStart w:id="9" w:name="_Int_u8xTdqrV"/>
      <w:r>
        <w:rPr>
          <w:lang w:val="en-US"/>
        </w:rPr>
        <w:t>schema’s</w:t>
      </w:r>
      <w:bookmarkEnd w:id="9"/>
      <w:r>
        <w:rPr>
          <w:lang w:val="en-US"/>
        </w:rPr>
        <w:t xml:space="preserve"> central field.</w:t>
      </w:r>
    </w:p>
    <w:p w14:paraId="698EC8AF" w14:textId="77777777" w:rsidR="00235774" w:rsidRDefault="004F770F">
      <w:pPr>
        <w:spacing w:after="140" w:line="276" w:lineRule="auto"/>
      </w:pPr>
      <w:r>
        <w:rPr>
          <w:lang w:val="en-US"/>
        </w:rPr>
        <w:t>For every row we wrote down, in plain words, what the schema could not hold. By the end, 341 rows (70.5%) had such a note. Two of them give the flavor: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35774" w14:paraId="4ED84B16" w14:textId="77777777" w:rsidTr="46809CE5">
        <w:tc>
          <w:tcPr>
            <w:tcW w:w="9026" w:type="dxa"/>
            <w:tcBorders>
              <w:top w:val="single" w:sz="4" w:space="0" w:color="B7C4C8"/>
              <w:left w:val="single" w:sz="4" w:space="0" w:color="B7C4C8"/>
              <w:bottom w:val="single" w:sz="4" w:space="0" w:color="B7C4C8"/>
              <w:right w:val="single" w:sz="4" w:space="0" w:color="B7C4C8"/>
            </w:tcBorders>
            <w:shd w:val="clear" w:color="auto" w:fill="F2F6F7"/>
            <w:tcMar>
              <w:top w:w="120" w:type="dxa"/>
              <w:left w:w="200" w:type="dxa"/>
              <w:bottom w:w="120" w:type="dxa"/>
              <w:right w:w="200" w:type="dxa"/>
            </w:tcMar>
          </w:tcPr>
          <w:p w14:paraId="25B5E06E" w14:textId="77777777" w:rsidR="00235774" w:rsidRDefault="004F770F">
            <w:pPr>
              <w:spacing w:after="100"/>
            </w:pPr>
            <w:r>
              <w:rPr>
                <w:i/>
                <w:iCs/>
                <w:sz w:val="19"/>
                <w:szCs w:val="19"/>
                <w:lang w:val="en-US"/>
              </w:rPr>
              <w:t>§ 42, production-unit journal:</w:t>
            </w:r>
            <w:r>
              <w:rPr>
                <w:sz w:val="19"/>
                <w:szCs w:val="19"/>
                <w:lang w:val="en-US"/>
              </w:rPr>
              <w:t xml:space="preserve"> “The operational journal is a document, not a component, so there is nowhere to put it in the old schema. The required information (biomass and how it was calculated, growth and density, every day) can only go in as free text, so each item can’t be checked on its own.”</w:t>
            </w:r>
          </w:p>
          <w:p w14:paraId="4D6FA34B" w14:textId="77777777" w:rsidR="00235774" w:rsidRDefault="004F770F">
            <w:pPr>
              <w:spacing w:after="100"/>
            </w:pPr>
            <w:r>
              <w:rPr>
                <w:i/>
                <w:iCs/>
                <w:sz w:val="19"/>
                <w:szCs w:val="19"/>
              </w:rPr>
              <w:t>§ 40h, unacceptable environmental condition:</w:t>
            </w:r>
            <w:r>
              <w:rPr>
                <w:sz w:val="19"/>
                <w:szCs w:val="19"/>
              </w:rPr>
              <w:t xml:space="preserve"> “The trigger is that the shoreline is visibly affected by pollution from the facility. Linking the pollution to the facility is a judgement, not an event.”</w:t>
            </w:r>
          </w:p>
        </w:tc>
      </w:tr>
    </w:tbl>
    <w:p w14:paraId="5AC578D6" w14:textId="77777777" w:rsidR="00235774" w:rsidRDefault="004F770F">
      <w:pPr>
        <w:spacing w:before="160" w:after="140"/>
      </w:pPr>
      <w:r>
        <w:t>Sorting the notes into categories gives the overall picture: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26"/>
        <w:gridCol w:w="3200"/>
      </w:tblGrid>
      <w:tr w:rsidR="00235774" w14:paraId="5AF541E6" w14:textId="77777777" w:rsidTr="46809CE5">
        <w:trPr>
          <w:cantSplit/>
          <w:tblHeader/>
        </w:trPr>
        <w:tc>
          <w:tcPr>
            <w:tcW w:w="5826" w:type="dxa"/>
            <w:tcBorders>
              <w:top w:val="single" w:sz="4" w:space="0" w:color="B7C4C8"/>
              <w:left w:val="single" w:sz="4" w:space="0" w:color="B7C4C8"/>
              <w:bottom w:val="single" w:sz="4" w:space="0" w:color="B7C4C8"/>
              <w:right w:val="single" w:sz="4" w:space="0" w:color="B7C4C8"/>
            </w:tcBorders>
            <w:shd w:val="clear" w:color="auto" w:fill="DCE8EA"/>
            <w:tcMar>
              <w:top w:w="80" w:type="dxa"/>
              <w:left w:w="120" w:type="dxa"/>
              <w:bottom w:w="80" w:type="dxa"/>
              <w:right w:w="120" w:type="dxa"/>
            </w:tcMar>
          </w:tcPr>
          <w:p w14:paraId="64B98E85" w14:textId="77777777" w:rsidR="00235774" w:rsidRDefault="004F770F">
            <w:r>
              <w:rPr>
                <w:b/>
                <w:bCs/>
                <w:sz w:val="19"/>
                <w:szCs w:val="19"/>
              </w:rPr>
              <w:t>Information with no proper field</w:t>
            </w:r>
          </w:p>
        </w:tc>
        <w:tc>
          <w:tcPr>
            <w:tcW w:w="3200" w:type="dxa"/>
            <w:tcBorders>
              <w:top w:val="single" w:sz="4" w:space="0" w:color="B7C4C8"/>
              <w:left w:val="single" w:sz="4" w:space="0" w:color="B7C4C8"/>
              <w:bottom w:val="single" w:sz="4" w:space="0" w:color="B7C4C8"/>
              <w:right w:val="single" w:sz="4" w:space="0" w:color="B7C4C8"/>
            </w:tcBorders>
            <w:shd w:val="clear" w:color="auto" w:fill="DCE8EA"/>
            <w:tcMar>
              <w:top w:w="80" w:type="dxa"/>
              <w:left w:w="120" w:type="dxa"/>
              <w:bottom w:w="80" w:type="dxa"/>
              <w:right w:w="120" w:type="dxa"/>
            </w:tcMar>
          </w:tcPr>
          <w:p w14:paraId="3D9D69EB" w14:textId="77777777" w:rsidR="00235774" w:rsidRDefault="004F770F">
            <w:r>
              <w:rPr>
                <w:b/>
                <w:bCs/>
                <w:sz w:val="19"/>
                <w:szCs w:val="19"/>
              </w:rPr>
              <w:t>Rows noted</w:t>
            </w:r>
          </w:p>
        </w:tc>
      </w:tr>
      <w:tr w:rsidR="00235774" w14:paraId="68545A49" w14:textId="77777777" w:rsidTr="46809CE5">
        <w:trPr>
          <w:cantSplit/>
        </w:trPr>
        <w:tc>
          <w:tcPr>
            <w:tcW w:w="58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0DEDF31E" w14:textId="77777777" w:rsidR="00235774" w:rsidRDefault="004F770F">
            <w:r>
              <w:rPr>
                <w:sz w:val="19"/>
                <w:szCs w:val="19"/>
              </w:rPr>
              <w:t>Essential detail pushed into free text</w:t>
            </w:r>
          </w:p>
        </w:tc>
        <w:tc>
          <w:tcPr>
            <w:tcW w:w="32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7C948236" w14:textId="77777777" w:rsidR="00235774" w:rsidRDefault="004F770F">
            <w:r>
              <w:rPr>
                <w:sz w:val="19"/>
                <w:szCs w:val="19"/>
              </w:rPr>
              <w:t>83</w:t>
            </w:r>
          </w:p>
        </w:tc>
      </w:tr>
      <w:tr w:rsidR="00235774" w14:paraId="7C844B9C" w14:textId="77777777" w:rsidTr="46809CE5">
        <w:trPr>
          <w:cantSplit/>
        </w:trPr>
        <w:tc>
          <w:tcPr>
            <w:tcW w:w="58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0718885A" w14:textId="77777777" w:rsidR="00235774" w:rsidRDefault="004F770F">
            <w:r>
              <w:rPr>
                <w:sz w:val="19"/>
                <w:szCs w:val="19"/>
              </w:rPr>
              <w:t>Regulated objects that are not components</w:t>
            </w:r>
          </w:p>
        </w:tc>
        <w:tc>
          <w:tcPr>
            <w:tcW w:w="32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53339267" w14:textId="77777777" w:rsidR="00235774" w:rsidRDefault="004F770F">
            <w:r>
              <w:rPr>
                <w:sz w:val="19"/>
                <w:szCs w:val="19"/>
              </w:rPr>
              <w:t>75</w:t>
            </w:r>
          </w:p>
        </w:tc>
      </w:tr>
      <w:tr w:rsidR="00235774" w14:paraId="0CCC7749" w14:textId="77777777" w:rsidTr="46809CE5">
        <w:trPr>
          <w:cantSplit/>
        </w:trPr>
        <w:tc>
          <w:tcPr>
            <w:tcW w:w="58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7A55A9D6" w14:textId="77777777" w:rsidR="00235774" w:rsidRDefault="004F770F">
            <w:r>
              <w:rPr>
                <w:sz w:val="19"/>
                <w:szCs w:val="19"/>
              </w:rPr>
              <w:t>Documents</w:t>
            </w:r>
          </w:p>
        </w:tc>
        <w:tc>
          <w:tcPr>
            <w:tcW w:w="32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436174D9" w14:textId="77777777" w:rsidR="00235774" w:rsidRDefault="004F770F">
            <w:r>
              <w:rPr>
                <w:sz w:val="19"/>
                <w:szCs w:val="19"/>
              </w:rPr>
              <w:t>72</w:t>
            </w:r>
          </w:p>
        </w:tc>
      </w:tr>
      <w:tr w:rsidR="00235774" w14:paraId="2AB68A24" w14:textId="77777777" w:rsidTr="46809CE5">
        <w:trPr>
          <w:cantSplit/>
        </w:trPr>
        <w:tc>
          <w:tcPr>
            <w:tcW w:w="58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1B08E5D1" w14:textId="77777777" w:rsidR="00235774" w:rsidRDefault="004F770F">
            <w:r>
              <w:rPr>
                <w:sz w:val="19"/>
                <w:szCs w:val="19"/>
              </w:rPr>
              <w:t>Authority involvement</w:t>
            </w:r>
          </w:p>
        </w:tc>
        <w:tc>
          <w:tcPr>
            <w:tcW w:w="32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3F65428A" w14:textId="77777777" w:rsidR="00235774" w:rsidRDefault="004F770F">
            <w:r>
              <w:rPr>
                <w:sz w:val="19"/>
                <w:szCs w:val="19"/>
              </w:rPr>
              <w:t>50</w:t>
            </w:r>
          </w:p>
        </w:tc>
      </w:tr>
      <w:tr w:rsidR="00235774" w14:paraId="75017390" w14:textId="77777777" w:rsidTr="46809CE5">
        <w:trPr>
          <w:cantSplit/>
        </w:trPr>
        <w:tc>
          <w:tcPr>
            <w:tcW w:w="58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37DE5108" w14:textId="77777777" w:rsidR="00235774" w:rsidRDefault="004F770F">
            <w:r>
              <w:rPr>
                <w:sz w:val="19"/>
                <w:szCs w:val="19"/>
              </w:rPr>
              <w:t>Judgement-based wording</w:t>
            </w:r>
          </w:p>
        </w:tc>
        <w:tc>
          <w:tcPr>
            <w:tcW w:w="32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66D78475" w14:textId="77777777" w:rsidR="00235774" w:rsidRDefault="004F770F">
            <w:r>
              <w:rPr>
                <w:sz w:val="19"/>
                <w:szCs w:val="19"/>
              </w:rPr>
              <w:t>49</w:t>
            </w:r>
          </w:p>
        </w:tc>
      </w:tr>
      <w:tr w:rsidR="00235774" w14:paraId="7B72DA65" w14:textId="77777777" w:rsidTr="46809CE5">
        <w:trPr>
          <w:cantSplit/>
        </w:trPr>
        <w:tc>
          <w:tcPr>
            <w:tcW w:w="58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53BB4D34" w14:textId="77777777" w:rsidR="00235774" w:rsidRDefault="004F770F">
            <w:r>
              <w:rPr>
                <w:sz w:val="19"/>
                <w:szCs w:val="19"/>
              </w:rPr>
              <w:t>Cross-references</w:t>
            </w:r>
          </w:p>
        </w:tc>
        <w:tc>
          <w:tcPr>
            <w:tcW w:w="32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538DA153" w14:textId="77777777" w:rsidR="00235774" w:rsidRDefault="004F770F">
            <w:r>
              <w:rPr>
                <w:sz w:val="19"/>
                <w:szCs w:val="19"/>
              </w:rPr>
              <w:t>35</w:t>
            </w:r>
          </w:p>
        </w:tc>
      </w:tr>
      <w:tr w:rsidR="00235774" w14:paraId="2C7392F4" w14:textId="77777777" w:rsidTr="46809CE5">
        <w:trPr>
          <w:cantSplit/>
        </w:trPr>
        <w:tc>
          <w:tcPr>
            <w:tcW w:w="58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00314E74" w14:textId="77777777" w:rsidR="00235774" w:rsidRDefault="004F770F">
            <w:r>
              <w:rPr>
                <w:sz w:val="19"/>
                <w:szCs w:val="19"/>
              </w:rPr>
              <w:t>Frequencies that change with conditions</w:t>
            </w:r>
          </w:p>
        </w:tc>
        <w:tc>
          <w:tcPr>
            <w:tcW w:w="32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7E9B720F" w14:textId="77777777" w:rsidR="00235774" w:rsidRDefault="004F770F">
            <w:r>
              <w:rPr>
                <w:sz w:val="19"/>
                <w:szCs w:val="19"/>
              </w:rPr>
              <w:t>27</w:t>
            </w:r>
          </w:p>
        </w:tc>
      </w:tr>
      <w:tr w:rsidR="00235774" w14:paraId="071B816F" w14:textId="77777777" w:rsidTr="46809CE5">
        <w:trPr>
          <w:cantSplit/>
        </w:trPr>
        <w:tc>
          <w:tcPr>
            <w:tcW w:w="58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68D952E9" w14:textId="77777777" w:rsidR="00235774" w:rsidRDefault="004F770F">
            <w:r>
              <w:rPr>
                <w:sz w:val="19"/>
                <w:szCs w:val="19"/>
              </w:rPr>
              <w:t>Fixed dates</w:t>
            </w:r>
          </w:p>
        </w:tc>
        <w:tc>
          <w:tcPr>
            <w:tcW w:w="32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744E9E4A" w14:textId="77777777" w:rsidR="00235774" w:rsidRDefault="004F770F">
            <w:r>
              <w:rPr>
                <w:sz w:val="19"/>
                <w:szCs w:val="19"/>
              </w:rPr>
              <w:t>26</w:t>
            </w:r>
          </w:p>
        </w:tc>
      </w:tr>
      <w:tr w:rsidR="00235774" w14:paraId="422272AE" w14:textId="77777777" w:rsidTr="46809CE5">
        <w:trPr>
          <w:cantSplit/>
        </w:trPr>
        <w:tc>
          <w:tcPr>
            <w:tcW w:w="58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45413F3D" w14:textId="77777777" w:rsidR="00235774" w:rsidRDefault="004F770F">
            <w:r>
              <w:rPr>
                <w:sz w:val="19"/>
                <w:szCs w:val="19"/>
              </w:rPr>
              <w:t>Thresholds</w:t>
            </w:r>
          </w:p>
        </w:tc>
        <w:tc>
          <w:tcPr>
            <w:tcW w:w="32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7323DEAC" w14:textId="77777777" w:rsidR="00235774" w:rsidRDefault="004F770F">
            <w:r>
              <w:rPr>
                <w:sz w:val="19"/>
                <w:szCs w:val="19"/>
              </w:rPr>
              <w:t>21</w:t>
            </w:r>
          </w:p>
        </w:tc>
      </w:tr>
      <w:tr w:rsidR="00235774" w14:paraId="50F25526" w14:textId="77777777" w:rsidTr="46809CE5">
        <w:trPr>
          <w:cantSplit/>
        </w:trPr>
        <w:tc>
          <w:tcPr>
            <w:tcW w:w="58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3E966357" w14:textId="77777777" w:rsidR="00235774" w:rsidRDefault="004F770F">
            <w:r>
              <w:rPr>
                <w:sz w:val="19"/>
                <w:szCs w:val="19"/>
              </w:rPr>
              <w:t>Geography</w:t>
            </w:r>
          </w:p>
        </w:tc>
        <w:tc>
          <w:tcPr>
            <w:tcW w:w="32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2A6DCA30" w14:textId="77777777" w:rsidR="00235774" w:rsidRDefault="004F770F">
            <w:r>
              <w:rPr>
                <w:sz w:val="19"/>
                <w:szCs w:val="19"/>
              </w:rPr>
              <w:t>21</w:t>
            </w:r>
          </w:p>
        </w:tc>
      </w:tr>
      <w:tr w:rsidR="00235774" w14:paraId="0FD0F4C6" w14:textId="77777777" w:rsidTr="46809CE5">
        <w:trPr>
          <w:cantSplit/>
        </w:trPr>
        <w:tc>
          <w:tcPr>
            <w:tcW w:w="58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7BB9781B" w14:textId="77777777" w:rsidR="00235774" w:rsidRDefault="004F770F">
            <w:r>
              <w:rPr>
                <w:sz w:val="19"/>
                <w:szCs w:val="19"/>
                <w:lang w:val="en-US"/>
              </w:rPr>
              <w:t>Alternatives where one option is enough</w:t>
            </w:r>
          </w:p>
        </w:tc>
        <w:tc>
          <w:tcPr>
            <w:tcW w:w="32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154193D4" w14:textId="77777777" w:rsidR="00235774" w:rsidRDefault="004F770F">
            <w:r>
              <w:rPr>
                <w:sz w:val="19"/>
                <w:szCs w:val="19"/>
              </w:rPr>
              <w:t>16</w:t>
            </w:r>
          </w:p>
        </w:tc>
      </w:tr>
      <w:tr w:rsidR="00235774" w14:paraId="195F02A6" w14:textId="77777777" w:rsidTr="46809CE5">
        <w:trPr>
          <w:cantSplit/>
        </w:trPr>
        <w:tc>
          <w:tcPr>
            <w:tcW w:w="58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5E4B11B7" w14:textId="77777777" w:rsidR="00235774" w:rsidRDefault="004F770F">
            <w:r>
              <w:rPr>
                <w:sz w:val="19"/>
                <w:szCs w:val="19"/>
              </w:rPr>
              <w:lastRenderedPageBreak/>
              <w:t>Definitions</w:t>
            </w:r>
          </w:p>
        </w:tc>
        <w:tc>
          <w:tcPr>
            <w:tcW w:w="32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00F385C2" w14:textId="77777777" w:rsidR="00235774" w:rsidRDefault="004F770F">
            <w:r>
              <w:rPr>
                <w:sz w:val="19"/>
                <w:szCs w:val="19"/>
              </w:rPr>
              <w:t>9</w:t>
            </w:r>
          </w:p>
        </w:tc>
      </w:tr>
      <w:tr w:rsidR="00235774" w14:paraId="7E03A399" w14:textId="77777777" w:rsidTr="46809CE5">
        <w:trPr>
          <w:cantSplit/>
        </w:trPr>
        <w:tc>
          <w:tcPr>
            <w:tcW w:w="58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6CF5635C" w14:textId="77777777" w:rsidR="00235774" w:rsidRDefault="004F770F">
            <w:r>
              <w:rPr>
                <w:sz w:val="19"/>
                <w:szCs w:val="19"/>
              </w:rPr>
              <w:t>Exceptions</w:t>
            </w:r>
          </w:p>
        </w:tc>
        <w:tc>
          <w:tcPr>
            <w:tcW w:w="32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1CF1A996" w14:textId="77777777" w:rsidR="00235774" w:rsidRDefault="004F770F">
            <w:r>
              <w:rPr>
                <w:sz w:val="19"/>
                <w:szCs w:val="19"/>
              </w:rPr>
              <w:t>9</w:t>
            </w:r>
          </w:p>
        </w:tc>
      </w:tr>
    </w:tbl>
    <w:p w14:paraId="6CA8290E" w14:textId="77777777" w:rsidR="00235774" w:rsidRDefault="004F770F">
      <w:pPr>
        <w:spacing w:before="100" w:after="140"/>
      </w:pPr>
      <w:r>
        <w:rPr>
          <w:i/>
          <w:iCs/>
          <w:sz w:val="18"/>
          <w:szCs w:val="18"/>
        </w:rPr>
        <w:t>A row can have several gaps, so these figures overlap and do not add up to 341.</w:t>
      </w:r>
    </w:p>
    <w:p w14:paraId="0A3BDD53" w14:textId="77777777" w:rsidR="00235774" w:rsidRDefault="004F770F">
      <w:pPr>
        <w:spacing w:after="140" w:line="276" w:lineRule="auto"/>
      </w:pPr>
      <w:r>
        <w:rPr>
          <w:lang w:val="en-US"/>
        </w:rPr>
        <w:t>We first tried adapting the schema. We built a law-oriented version of the action list that replaced the component field with scope types (process, document, animal, permit and location) and added document type, required content, approving authority, reference source and a reason for each split. It helped with the most frequent gaps. It did not help with the deeper ones: who holds the duty, when a duty applies as opposed to how often, fixed deadlines, groups of alternatives, and rows that depend on each other. That told us the problem is structural: the schema lacks a level for the law itself, not just a few fields.</w:t>
      </w:r>
    </w:p>
    <w:p w14:paraId="35A66789" w14:textId="77777777" w:rsidR="00235774" w:rsidRPr="00B930D9" w:rsidRDefault="004F770F">
      <w:pPr>
        <w:pStyle w:val="Heading1"/>
        <w:rPr>
          <w:color w:val="124F1A" w:themeColor="accent3" w:themeShade="BF"/>
        </w:rPr>
      </w:pPr>
      <w:r>
        <w:rPr>
          <w:color w:val="124F1A" w:themeColor="accent3" w:themeShade="BF"/>
        </w:rPr>
        <w:t>3. Law differs from equipment manuals in five ways the schema cannot express</w:t>
      </w:r>
    </w:p>
    <w:p w14:paraId="4BDEB6F4" w14:textId="77777777" w:rsidR="00235774" w:rsidRDefault="004F770F">
      <w:pPr>
        <w:spacing w:after="140" w:line="276" w:lineRule="auto"/>
      </w:pPr>
      <w:r>
        <w:rPr>
          <w:lang w:val="en-US"/>
        </w:rPr>
        <w:t>Across the notes, five problems are recurring.</w:t>
      </w:r>
    </w:p>
    <w:p w14:paraId="3A1D93B8" w14:textId="77777777" w:rsidR="00235774" w:rsidRDefault="004F770F">
      <w:pPr>
        <w:pStyle w:val="Heading2"/>
      </w:pPr>
      <w:r>
        <w:t>3.1 Law has legal effects, not only actions</w:t>
      </w:r>
    </w:p>
    <w:p w14:paraId="1BB8D4F6" w14:textId="77777777" w:rsidR="00235774" w:rsidRDefault="004F770F">
      <w:pPr>
        <w:spacing w:after="140" w:line="276" w:lineRule="auto"/>
      </w:pPr>
      <w:r>
        <w:rPr>
          <w:lang w:val="en-US"/>
        </w:rPr>
        <w:t>A manual instruction tells someone to do something. A provision can require, prohibit, permit, create an exception, define a term or give an authority a power. In the register, 404 rows (83.5%) are duties, 34 (7.0%) prohibitions, 33 (6.8%) permissions, 10 (2.1%) definitions and 3 (0.6%) exemptions.</w:t>
      </w:r>
    </w:p>
    <w:p w14:paraId="1CCE900D" w14:textId="77777777" w:rsidR="00235774" w:rsidRDefault="004F770F">
      <w:pPr>
        <w:spacing w:after="140" w:line="276" w:lineRule="auto"/>
      </w:pPr>
      <w:r>
        <w:rPr>
          <w:lang w:val="en-US"/>
        </w:rPr>
        <w:t>Turning every row into an action changes what the law states. A prohibition on towing production units that contain fish, rewritten as a positive task, no longer forbids anything. An exemption from oxygen measurement means nothing once it is separated from the duty it modifies. Some provisions give the farmer no task at all and still matter: the authority’s power to widen, narrow or waive recapture duties (§ 39) and joint biomass liability (§§ 47 and 48) change how other duties apply.</w:t>
      </w:r>
    </w:p>
    <w:p w14:paraId="3B78FC6B" w14:textId="77777777" w:rsidR="00235774" w:rsidRDefault="004F770F">
      <w:pPr>
        <w:pStyle w:val="Heading2"/>
      </w:pPr>
      <w:r>
        <w:t>3.2 Law separates who is responsible from what is regulated, and from when a duty applies</w:t>
      </w:r>
    </w:p>
    <w:p w14:paraId="2B786977" w14:textId="77777777" w:rsidR="00235774" w:rsidRDefault="004F770F">
      <w:pPr>
        <w:spacing w:after="140" w:line="276" w:lineRule="auto"/>
      </w:pPr>
      <w:r>
        <w:rPr>
          <w:lang w:val="en-US"/>
        </w:rPr>
        <w:t>§ 12 illustrates this. The sentence that sets the daily inspection, "</w:t>
      </w:r>
      <w:r>
        <w:rPr>
          <w:i/>
          <w:iCs/>
          <w:lang w:val="en-US"/>
        </w:rPr>
        <w:t>Tilsynet i akvakulturanlegg med fisk skal utføres minst en gang om dagen"</w:t>
      </w:r>
      <w:r>
        <w:rPr>
          <w:lang w:val="en-US"/>
        </w:rPr>
        <w:t>, has no person in it. The duty holder, "</w:t>
      </w:r>
      <w:r>
        <w:rPr>
          <w:i/>
          <w:iCs/>
          <w:lang w:val="en-US"/>
        </w:rPr>
        <w:t>den ansvarlige for den daglige drift"</w:t>
      </w:r>
      <w:r>
        <w:rPr>
          <w:lang w:val="en-US"/>
        </w:rPr>
        <w:t xml:space="preserve"> (the person responsible for daily operations), appears in the sentence before. If the paragraph is split into rows by sentence, the inspection has no owner.</w:t>
      </w:r>
    </w:p>
    <w:p w14:paraId="4572D6D8" w14:textId="77777777" w:rsidR="00235774" w:rsidRDefault="004F770F">
      <w:pPr>
        <w:spacing w:after="140" w:line="276" w:lineRule="auto"/>
      </w:pPr>
      <w:r>
        <w:rPr>
          <w:lang w:val="en-US"/>
        </w:rPr>
        <w:t>In a manual, the component is both what you act on and, implicitly, the point of the instruction. In law, three roles must be kept apart:</w:t>
      </w:r>
    </w:p>
    <w:p w14:paraId="61A8E36D" w14:textId="77777777" w:rsidR="00235774" w:rsidRDefault="004F770F">
      <w:pPr>
        <w:pStyle w:val="ListParagraph"/>
        <w:numPr>
          <w:ilvl w:val="0"/>
          <w:numId w:val="2"/>
        </w:numPr>
        <w:spacing w:after="80" w:line="276" w:lineRule="auto"/>
      </w:pPr>
      <w:r>
        <w:rPr>
          <w:b/>
          <w:bCs/>
          <w:lang w:val="en-US"/>
        </w:rPr>
        <w:t>Duty holder:</w:t>
      </w:r>
      <w:r>
        <w:rPr>
          <w:lang w:val="en-US"/>
        </w:rPr>
        <w:t xml:space="preserve"> the person or organization responsible for compliance.</w:t>
      </w:r>
    </w:p>
    <w:p w14:paraId="2729A6F7" w14:textId="77777777" w:rsidR="00235774" w:rsidRDefault="004F770F">
      <w:pPr>
        <w:pStyle w:val="ListParagraph"/>
        <w:numPr>
          <w:ilvl w:val="0"/>
          <w:numId w:val="2"/>
        </w:numPr>
        <w:spacing w:after="80" w:line="276" w:lineRule="auto"/>
      </w:pPr>
      <w:r>
        <w:rPr>
          <w:b/>
          <w:bCs/>
          <w:lang w:val="en-US"/>
        </w:rPr>
        <w:t>Regulated object or activity:</w:t>
      </w:r>
      <w:r>
        <w:rPr>
          <w:lang w:val="en-US"/>
        </w:rPr>
        <w:t xml:space="preserve"> the document, installation, process or activity concerned.</w:t>
      </w:r>
    </w:p>
    <w:p w14:paraId="03F70775" w14:textId="77777777" w:rsidR="00235774" w:rsidRDefault="004F770F">
      <w:pPr>
        <w:pStyle w:val="ListParagraph"/>
        <w:numPr>
          <w:ilvl w:val="0"/>
          <w:numId w:val="2"/>
        </w:numPr>
        <w:spacing w:after="80" w:line="276" w:lineRule="auto"/>
      </w:pPr>
      <w:r>
        <w:rPr>
          <w:b/>
          <w:bCs/>
          <w:lang w:val="en-US"/>
        </w:rPr>
        <w:t>Protected interest:</w:t>
      </w:r>
      <w:r>
        <w:rPr>
          <w:lang w:val="en-US"/>
        </w:rPr>
        <w:t xml:space="preserve"> the fish, environment or other interest the provision protects.</w:t>
      </w:r>
    </w:p>
    <w:p w14:paraId="36E5D00C" w14:textId="77777777" w:rsidR="00235774" w:rsidRDefault="004F770F">
      <w:pPr>
        <w:spacing w:before="100" w:after="140"/>
      </w:pPr>
      <w:r>
        <w:rPr>
          <w:lang w:val="en-US"/>
        </w:rPr>
        <w:t>Fish welfare is the protected interest in most of the regulations, but it is never the one who has to act.</w:t>
      </w:r>
    </w:p>
    <w:p w14:paraId="296B2D35" w14:textId="77777777" w:rsidR="00235774" w:rsidRDefault="004F770F">
      <w:pPr>
        <w:spacing w:after="140" w:line="276" w:lineRule="auto"/>
      </w:pPr>
      <w:r>
        <w:rPr>
          <w:lang w:val="en-US"/>
        </w:rPr>
        <w:t xml:space="preserve">Applicability is just as layered. A condition can switch a duty on, change how often it applies, narrow it to a subgroup, create an exception or remove it altogether. § 10 on journals, for example, applies only to facilities that are not covered by the separate journal rules in Chapters </w:t>
      </w:r>
      <w:r>
        <w:rPr>
          <w:lang w:val="en-US"/>
        </w:rPr>
        <w:lastRenderedPageBreak/>
        <w:t>4, 5 and 6. A single “trigger” field cannot hold that, or show whether several conditions apply together or as alternatives.</w:t>
      </w:r>
    </w:p>
    <w:p w14:paraId="0FB223B9" w14:textId="77777777" w:rsidR="00235774" w:rsidRDefault="004F770F">
      <w:pPr>
        <w:spacing w:after="140" w:line="276" w:lineRule="auto"/>
      </w:pPr>
      <w:r>
        <w:rPr>
          <w:lang w:val="en-US"/>
        </w:rPr>
        <w:t xml:space="preserve">Timing adds another layer. 29 rows contain deadline wording, such as submitting the operating plan to Mattilsynet by 1 October (§ 40). 20 rows contain urgency wording such as </w:t>
      </w:r>
      <w:r>
        <w:rPr>
          <w:i/>
          <w:iCs/>
          <w:lang w:val="en-US"/>
        </w:rPr>
        <w:t>straks</w:t>
      </w:r>
      <w:r>
        <w:rPr>
          <w:lang w:val="en-US"/>
        </w:rPr>
        <w:t xml:space="preserve"> and </w:t>
      </w:r>
      <w:r>
        <w:rPr>
          <w:i/>
          <w:iCs/>
          <w:lang w:val="en-US"/>
        </w:rPr>
        <w:t>så snart som mulig</w:t>
      </w:r>
      <w:r>
        <w:rPr>
          <w:lang w:val="en-US"/>
        </w:rPr>
        <w:t>. Turning “immediately” into a number of days is an interpretation and should not be made silently during extraction.</w:t>
      </w:r>
    </w:p>
    <w:p w14:paraId="40111F0A" w14:textId="77777777" w:rsidR="00235774" w:rsidRDefault="004F770F">
      <w:pPr>
        <w:pStyle w:val="Heading2"/>
      </w:pPr>
      <w:r>
        <w:t>3.3 Documents are regulated objects, not only evidence</w:t>
      </w:r>
    </w:p>
    <w:p w14:paraId="6BE08A43" w14:textId="77777777" w:rsidR="00235774" w:rsidRDefault="004F770F">
      <w:pPr>
        <w:spacing w:after="140" w:line="276" w:lineRule="auto"/>
      </w:pPr>
      <w:r>
        <w:rPr>
          <w:lang w:val="en-US"/>
        </w:rPr>
        <w:t>146 rows (30.2%) are about documents: whether a journal, plan, report or notification exists, was submitted, or contains what it should. The schema can record that a document exists. It cannot record what has to be in it. Our note on the harvest report in § 44 puts it plainly: what has to be reported (species, number of fish, slaughter weight and slaughter condition) ends up as free text, and there is no place to say who receives it. Each required item, retention period, recipient and deadline needs its own check under the parent duty.</w:t>
      </w:r>
    </w:p>
    <w:p w14:paraId="20251F0F" w14:textId="77777777" w:rsidR="00235774" w:rsidRDefault="004F770F">
      <w:pPr>
        <w:pStyle w:val="Heading2"/>
      </w:pPr>
      <w:r>
        <w:t>3.4 Many duties set a standard rather than a number</w:t>
      </w:r>
    </w:p>
    <w:p w14:paraId="4B253985" w14:textId="77777777" w:rsidR="00235774" w:rsidRDefault="004F770F">
      <w:pPr>
        <w:spacing w:after="140" w:line="276" w:lineRule="auto"/>
      </w:pPr>
      <w:r>
        <w:rPr>
          <w:lang w:val="en-US"/>
        </w:rPr>
        <w:t>§ 5 requires operations to be technically, biologically and environmentally sound (</w:t>
      </w:r>
      <w:r>
        <w:rPr>
          <w:i/>
          <w:iCs/>
          <w:lang w:val="en-US"/>
        </w:rPr>
        <w:t>forsvarlig</w:t>
      </w:r>
      <w:r>
        <w:rPr>
          <w:lang w:val="en-US"/>
        </w:rPr>
        <w:t>) without defining a threshold. § 29 asks for conditions to be “acceptable” or “low” without saying what that means for a given species. § 20 asks for the minimum number of fish necessary, which is a question of optimization, not a limit. 77 rows (15.9%) contain wording like this. Inventing a threshold would change the obligation. These duties need a documented basis for judgement instead: indicators, supporting standards, site conditions, and professional assessment. Distances, intervals, and density limits, by contrast, can be measured directly, so the two kinds need different verification fields.</w:t>
      </w:r>
    </w:p>
    <w:p w14:paraId="6E1C908F" w14:textId="77777777" w:rsidR="00235774" w:rsidRDefault="004F770F">
      <w:pPr>
        <w:pStyle w:val="Heading2"/>
      </w:pPr>
      <w:r>
        <w:t>3.5 Provisions depend on each other</w:t>
      </w:r>
    </w:p>
    <w:p w14:paraId="58E2B7B5" w14:textId="77777777" w:rsidR="00235774" w:rsidRDefault="004F770F">
      <w:pPr>
        <w:spacing w:after="140" w:line="276" w:lineRule="auto"/>
      </w:pPr>
      <w:r>
        <w:rPr>
          <w:lang w:val="en-US"/>
        </w:rPr>
        <w:t>19 rows refer to another paragraph and 14 to another law or regulation. Definitions change how distances are measured. § 66 gives a new holder of a blue mussel permit three ways to provide financial security: a deposit of NOK 2,500 per dekar, an insurance policy, or other equivalent security. Any one of them is sufficient, but in a flat list they become three rows that each look mandatory.</w:t>
      </w:r>
    </w:p>
    <w:p w14:paraId="0CAE7B0A" w14:textId="77777777" w:rsidR="00235774" w:rsidRPr="00B930D9" w:rsidRDefault="004F770F">
      <w:pPr>
        <w:pStyle w:val="Heading1"/>
        <w:rPr>
          <w:color w:val="124F1A" w:themeColor="accent3" w:themeShade="BF"/>
        </w:rPr>
      </w:pPr>
      <w:r>
        <w:rPr>
          <w:color w:val="124F1A" w:themeColor="accent3" w:themeShade="BF"/>
        </w:rPr>
        <w:t>4. Without those structures, AI-assisted authoring changes the meaning of the law</w:t>
      </w:r>
    </w:p>
    <w:p w14:paraId="1CB2F1C5" w14:textId="77777777" w:rsidR="00235774" w:rsidRDefault="004F770F">
      <w:pPr>
        <w:spacing w:after="140" w:line="276" w:lineRule="auto"/>
      </w:pPr>
      <w:r>
        <w:t>The Requirements Authoring Assistant’s rules were written for technical instructions, so we expected some difficulty with legal provisions. The notable finding is that its errors are hard to spot: every output below reads like a well-formed requirement.</w:t>
      </w:r>
    </w:p>
    <w:p w14:paraId="17F1E2D1" w14:textId="77777777" w:rsidR="002E31A9" w:rsidRDefault="00000000">
      <w:pPr>
        <w:spacing w:after="140" w:line="276" w:lineRule="auto"/>
      </w:pPr>
      <w:r>
        <w:rPr>
          <w:lang w:val="en-US"/>
        </w:rPr>
        <w:t>The assistant was designed for requirements written in-house, where authors can rephrase a sentence until it meets the authoring rules. A regulation’s wording is fixed, and its legal meaning has to survive the transformation.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542"/>
        <w:gridCol w:w="2542"/>
        <w:gridCol w:w="2542"/>
      </w:tblGrid>
      <w:tr w:rsidR="00235774" w14:paraId="157EBD44" w14:textId="77777777" w:rsidTr="46809CE5">
        <w:trPr>
          <w:cantSplit/>
          <w:tblHeader/>
        </w:trPr>
        <w:tc>
          <w:tcPr>
            <w:tcW w:w="1400" w:type="dxa"/>
            <w:tcBorders>
              <w:top w:val="single" w:sz="4" w:space="0" w:color="B7C4C8"/>
              <w:left w:val="single" w:sz="4" w:space="0" w:color="B7C4C8"/>
              <w:bottom w:val="single" w:sz="4" w:space="0" w:color="B7C4C8"/>
              <w:right w:val="single" w:sz="4" w:space="0" w:color="B7C4C8"/>
            </w:tcBorders>
            <w:shd w:val="clear" w:color="auto" w:fill="DCE8EA"/>
            <w:tcMar>
              <w:top w:w="80" w:type="dxa"/>
              <w:left w:w="120" w:type="dxa"/>
              <w:bottom w:w="80" w:type="dxa"/>
              <w:right w:w="120" w:type="dxa"/>
            </w:tcMar>
          </w:tcPr>
          <w:p w14:paraId="35973402" w14:textId="77777777" w:rsidR="00235774" w:rsidRDefault="004F770F">
            <w:r>
              <w:rPr>
                <w:b/>
                <w:bCs/>
                <w:sz w:val="19"/>
                <w:szCs w:val="19"/>
              </w:rPr>
              <w:t>Case</w:t>
            </w:r>
          </w:p>
        </w:tc>
        <w:tc>
          <w:tcPr>
            <w:tcW w:w="2542" w:type="dxa"/>
            <w:tcBorders>
              <w:top w:val="single" w:sz="4" w:space="0" w:color="B7C4C8"/>
              <w:left w:val="single" w:sz="4" w:space="0" w:color="B7C4C8"/>
              <w:bottom w:val="single" w:sz="4" w:space="0" w:color="B7C4C8"/>
              <w:right w:val="single" w:sz="4" w:space="0" w:color="B7C4C8"/>
            </w:tcBorders>
            <w:shd w:val="clear" w:color="auto" w:fill="DCE8EA"/>
            <w:tcMar>
              <w:top w:w="80" w:type="dxa"/>
              <w:left w:w="120" w:type="dxa"/>
              <w:bottom w:w="80" w:type="dxa"/>
              <w:right w:w="120" w:type="dxa"/>
            </w:tcMar>
          </w:tcPr>
          <w:p w14:paraId="04B30087" w14:textId="77777777" w:rsidR="00235774" w:rsidRDefault="004F770F">
            <w:r>
              <w:rPr>
                <w:b/>
                <w:bCs/>
                <w:sz w:val="19"/>
                <w:szCs w:val="19"/>
              </w:rPr>
              <w:t>The source</w:t>
            </w:r>
          </w:p>
        </w:tc>
        <w:tc>
          <w:tcPr>
            <w:tcW w:w="2542" w:type="dxa"/>
            <w:tcBorders>
              <w:top w:val="single" w:sz="4" w:space="0" w:color="B7C4C8"/>
              <w:left w:val="single" w:sz="4" w:space="0" w:color="B7C4C8"/>
              <w:bottom w:val="single" w:sz="4" w:space="0" w:color="B7C4C8"/>
              <w:right w:val="single" w:sz="4" w:space="0" w:color="B7C4C8"/>
            </w:tcBorders>
            <w:shd w:val="clear" w:color="auto" w:fill="DCE8EA"/>
            <w:tcMar>
              <w:top w:w="80" w:type="dxa"/>
              <w:left w:w="120" w:type="dxa"/>
              <w:bottom w:w="80" w:type="dxa"/>
              <w:right w:w="120" w:type="dxa"/>
            </w:tcMar>
          </w:tcPr>
          <w:p w14:paraId="6227FFAD" w14:textId="77777777" w:rsidR="00235774" w:rsidRDefault="004F770F">
            <w:r>
              <w:rPr>
                <w:b/>
                <w:bCs/>
                <w:sz w:val="19"/>
                <w:szCs w:val="19"/>
              </w:rPr>
              <w:t>The assistant’s output</w:t>
            </w:r>
          </w:p>
        </w:tc>
        <w:tc>
          <w:tcPr>
            <w:tcW w:w="2542" w:type="dxa"/>
            <w:tcBorders>
              <w:top w:val="single" w:sz="4" w:space="0" w:color="B7C4C8"/>
              <w:left w:val="single" w:sz="4" w:space="0" w:color="B7C4C8"/>
              <w:bottom w:val="single" w:sz="4" w:space="0" w:color="B7C4C8"/>
              <w:right w:val="single" w:sz="4" w:space="0" w:color="B7C4C8"/>
            </w:tcBorders>
            <w:shd w:val="clear" w:color="auto" w:fill="DCE8EA"/>
            <w:tcMar>
              <w:top w:w="80" w:type="dxa"/>
              <w:left w:w="120" w:type="dxa"/>
              <w:bottom w:w="80" w:type="dxa"/>
              <w:right w:w="120" w:type="dxa"/>
            </w:tcMar>
          </w:tcPr>
          <w:p w14:paraId="33887860" w14:textId="77777777" w:rsidR="00235774" w:rsidRDefault="004F770F">
            <w:r>
              <w:rPr>
                <w:b/>
                <w:bCs/>
                <w:sz w:val="19"/>
                <w:szCs w:val="19"/>
              </w:rPr>
              <w:t>What changed</w:t>
            </w:r>
          </w:p>
        </w:tc>
      </w:tr>
      <w:tr w:rsidR="00235774" w14:paraId="6E5778B4" w14:textId="77777777" w:rsidTr="46809CE5">
        <w:trPr>
          <w:cantSplit/>
        </w:trPr>
        <w:tc>
          <w:tcPr>
            <w:tcW w:w="14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3A2F8AA2" w14:textId="77777777" w:rsidR="00235774" w:rsidRDefault="004F770F">
            <w:r>
              <w:rPr>
                <w:sz w:val="19"/>
                <w:szCs w:val="19"/>
              </w:rPr>
              <w:t>R08</w:t>
            </w:r>
          </w:p>
        </w:tc>
        <w:tc>
          <w:tcPr>
            <w:tcW w:w="2542"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4CE633C8" w14:textId="77777777" w:rsidR="00235774" w:rsidRDefault="004F770F">
            <w:r>
              <w:rPr>
                <w:sz w:val="19"/>
                <w:szCs w:val="19"/>
              </w:rPr>
              <w:t>Sets a maximum interval of five years.</w:t>
            </w:r>
          </w:p>
        </w:tc>
        <w:tc>
          <w:tcPr>
            <w:tcW w:w="2542"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365D4BB6" w14:textId="77777777" w:rsidR="00235774" w:rsidRDefault="004F770F">
            <w:r>
              <w:rPr>
                <w:sz w:val="19"/>
                <w:szCs w:val="19"/>
                <w:lang w:val="en-US"/>
              </w:rPr>
              <w:t>Made the activity conditional on need.</w:t>
            </w:r>
          </w:p>
        </w:tc>
        <w:tc>
          <w:tcPr>
            <w:tcW w:w="2542"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342E469B" w14:textId="77777777" w:rsidR="00235774" w:rsidRDefault="004F770F">
            <w:r>
              <w:rPr>
                <w:sz w:val="19"/>
                <w:szCs w:val="19"/>
              </w:rPr>
              <w:t>A fixed legal limit became optional.</w:t>
            </w:r>
          </w:p>
        </w:tc>
      </w:tr>
      <w:tr w:rsidR="00235774" w14:paraId="41726BF9" w14:textId="77777777" w:rsidTr="46809CE5">
        <w:trPr>
          <w:cantSplit/>
        </w:trPr>
        <w:tc>
          <w:tcPr>
            <w:tcW w:w="14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2CBE8DC6" w14:textId="77777777" w:rsidR="00235774" w:rsidRDefault="004F770F">
            <w:r>
              <w:rPr>
                <w:sz w:val="19"/>
                <w:szCs w:val="19"/>
              </w:rPr>
              <w:lastRenderedPageBreak/>
              <w:t>R09</w:t>
            </w:r>
          </w:p>
        </w:tc>
        <w:tc>
          <w:tcPr>
            <w:tcW w:w="2542"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2551AC7D" w14:textId="77777777" w:rsidR="00235774" w:rsidRDefault="004F770F">
            <w:r>
              <w:rPr>
                <w:sz w:val="19"/>
                <w:szCs w:val="19"/>
                <w:lang w:val="en-US"/>
              </w:rPr>
              <w:t>A storm that may have caused damage triggers both inspection and recording.</w:t>
            </w:r>
          </w:p>
        </w:tc>
        <w:tc>
          <w:tcPr>
            <w:tcW w:w="2542"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4952FCCB" w14:textId="77777777" w:rsidR="00235774" w:rsidRDefault="004F770F">
            <w:r>
              <w:rPr>
                <w:sz w:val="19"/>
                <w:szCs w:val="19"/>
              </w:rPr>
              <w:t>Split inspection and recording into two rows without the trigger.</w:t>
            </w:r>
          </w:p>
        </w:tc>
        <w:tc>
          <w:tcPr>
            <w:tcW w:w="2542"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0FB8D93B" w14:textId="77777777" w:rsidR="00235774" w:rsidRDefault="004F770F">
            <w:r>
              <w:rPr>
                <w:sz w:val="19"/>
                <w:szCs w:val="19"/>
                <w:lang w:val="en-US"/>
              </w:rPr>
              <w:t>Both actions survived; the reason for doing them did not.</w:t>
            </w:r>
          </w:p>
        </w:tc>
      </w:tr>
      <w:tr w:rsidR="00235774" w14:paraId="545BEFA6" w14:textId="77777777" w:rsidTr="46809CE5">
        <w:trPr>
          <w:cantSplit/>
        </w:trPr>
        <w:tc>
          <w:tcPr>
            <w:tcW w:w="14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5DA50A7E" w14:textId="77777777" w:rsidR="00235774" w:rsidRDefault="004F770F">
            <w:r>
              <w:rPr>
                <w:sz w:val="19"/>
                <w:szCs w:val="19"/>
              </w:rPr>
              <w:t>R16</w:t>
            </w:r>
          </w:p>
        </w:tc>
        <w:tc>
          <w:tcPr>
            <w:tcW w:w="2542"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1F907837" w14:textId="77777777" w:rsidR="00235774" w:rsidRDefault="004F770F">
            <w:r>
              <w:rPr>
                <w:sz w:val="19"/>
                <w:szCs w:val="19"/>
                <w:lang w:val="en-US"/>
              </w:rPr>
              <w:t>Applies when medicines are added (A) and discharge goes away from the facility (B). The Condition field kept A AND B.</w:t>
            </w:r>
          </w:p>
        </w:tc>
        <w:tc>
          <w:tcPr>
            <w:tcW w:w="2542"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046093CD" w14:textId="77777777" w:rsidR="00235774" w:rsidRDefault="004F770F">
            <w:r>
              <w:rPr>
                <w:sz w:val="19"/>
                <w:szCs w:val="19"/>
                <w:lang w:val="en-US"/>
              </w:rPr>
              <w:t>Wrote the requirement sentence as NOT A OR NOT B.</w:t>
            </w:r>
          </w:p>
        </w:tc>
        <w:tc>
          <w:tcPr>
            <w:tcW w:w="2542"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0812CD55" w14:textId="77777777" w:rsidR="00235774" w:rsidRDefault="004F770F">
            <w:r>
              <w:rPr>
                <w:sz w:val="19"/>
                <w:szCs w:val="19"/>
                <w:lang w:val="en-US"/>
              </w:rPr>
              <w:t>The requirement text contradicts its own Condition field.</w:t>
            </w:r>
          </w:p>
        </w:tc>
      </w:tr>
      <w:tr w:rsidR="002E31A9" w14:paraId="6E39C677" w14:textId="77777777">
        <w:trPr>
          <w:cantSplit/>
        </w:trPr>
        <w:tc>
          <w:tcPr>
            <w:tcW w:w="14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66058EDD" w14:textId="77777777" w:rsidR="002E31A9" w:rsidRDefault="00000000">
            <w:r>
              <w:rPr>
                <w:sz w:val="19"/>
                <w:szCs w:val="19"/>
                <w:lang w:val="en-US"/>
              </w:rPr>
              <w:t>R01, R13</w:t>
            </w:r>
          </w:p>
        </w:tc>
        <w:tc>
          <w:tcPr>
            <w:tcW w:w="2542"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7E46B323" w14:textId="77777777" w:rsidR="002E31A9" w:rsidRDefault="00000000">
            <w:r>
              <w:rPr>
                <w:sz w:val="19"/>
                <w:szCs w:val="19"/>
                <w:lang w:val="en-US"/>
              </w:rPr>
              <w:t>Contains a definition of Operator (R01) and a duty to provide training records on request (R13).</w:t>
            </w:r>
          </w:p>
        </w:tc>
        <w:tc>
          <w:tcPr>
            <w:tcW w:w="2542"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79533368" w14:textId="77777777" w:rsidR="002E31A9" w:rsidRDefault="00000000">
            <w:r>
              <w:rPr>
                <w:sz w:val="19"/>
                <w:szCs w:val="19"/>
                <w:lang w:val="en-US"/>
              </w:rPr>
              <w:t>Lost the definition; the complete-text R13 output dropped the records duty.</w:t>
            </w:r>
          </w:p>
        </w:tc>
        <w:tc>
          <w:tcPr>
            <w:tcW w:w="2542"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07E819FD" w14:textId="77777777" w:rsidR="002E31A9" w:rsidRDefault="00000000">
            <w:r>
              <w:rPr>
                <w:sz w:val="19"/>
                <w:szCs w:val="19"/>
                <w:lang w:val="en-US"/>
              </w:rPr>
              <w:t>Content disappeared with no sign in the output.</w:t>
            </w:r>
          </w:p>
        </w:tc>
      </w:tr>
      <w:tr w:rsidR="00235774" w14:paraId="751ED995" w14:textId="77777777" w:rsidTr="46809CE5">
        <w:trPr>
          <w:cantSplit/>
        </w:trPr>
        <w:tc>
          <w:tcPr>
            <w:tcW w:w="14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397FAEFA" w14:textId="77777777" w:rsidR="00235774" w:rsidRDefault="004F770F">
            <w:r>
              <w:rPr>
                <w:sz w:val="19"/>
                <w:szCs w:val="19"/>
                <w:lang w:val="en-US"/>
              </w:rPr>
              <w:t>R05, R18</w:t>
            </w:r>
          </w:p>
        </w:tc>
        <w:tc>
          <w:tcPr>
            <w:tcW w:w="2542"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72688E4D" w14:textId="77777777" w:rsidR="00235774" w:rsidRDefault="004F770F">
            <w:r>
              <w:rPr>
                <w:sz w:val="19"/>
                <w:szCs w:val="19"/>
              </w:rPr>
              <w:t>Places responsibility on the duty holder.</w:t>
            </w:r>
          </w:p>
        </w:tc>
        <w:tc>
          <w:tcPr>
            <w:tcW w:w="2542"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302805E0" w14:textId="77777777" w:rsidR="00235774" w:rsidRDefault="004F770F">
            <w:r>
              <w:rPr>
                <w:sz w:val="19"/>
                <w:szCs w:val="19"/>
                <w:lang w:val="en-US"/>
              </w:rPr>
              <w:t>Made “Competence” perform documentation and “Notification” submit a notification.</w:t>
            </w:r>
          </w:p>
        </w:tc>
        <w:tc>
          <w:tcPr>
            <w:tcW w:w="2542"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0A763D6B" w14:textId="77777777" w:rsidR="00235774" w:rsidRDefault="004F770F">
            <w:r>
              <w:rPr>
                <w:sz w:val="19"/>
                <w:szCs w:val="19"/>
                <w:lang w:val="en-US"/>
              </w:rPr>
              <w:t>The grammatical subject was treated as the responsible party.</w:t>
            </w:r>
          </w:p>
        </w:tc>
      </w:tr>
      <w:tr w:rsidR="00235774" w14:paraId="1376EC5E" w14:textId="77777777" w:rsidTr="46809CE5">
        <w:trPr>
          <w:cantSplit/>
        </w:trPr>
        <w:tc>
          <w:tcPr>
            <w:tcW w:w="14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3B8E0D4F" w14:textId="77777777" w:rsidR="00235774" w:rsidRDefault="004F770F">
            <w:r>
              <w:rPr>
                <w:sz w:val="19"/>
                <w:szCs w:val="19"/>
                <w:lang w:val="en-US"/>
              </w:rPr>
              <w:t>Pilot</w:t>
            </w:r>
          </w:p>
        </w:tc>
        <w:tc>
          <w:tcPr>
            <w:tcW w:w="2542"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53A163FE" w14:textId="77777777" w:rsidR="00235774" w:rsidRDefault="004F770F">
            <w:r>
              <w:rPr>
                <w:sz w:val="19"/>
                <w:szCs w:val="19"/>
              </w:rPr>
              <w:t>Sets a qualitative training obligation.</w:t>
            </w:r>
          </w:p>
        </w:tc>
        <w:tc>
          <w:tcPr>
            <w:tcW w:w="2542"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7185EE5F" w14:textId="77777777" w:rsidR="00235774" w:rsidRDefault="004F770F">
            <w:r>
              <w:rPr>
                <w:sz w:val="19"/>
                <w:szCs w:val="19"/>
              </w:rPr>
              <w:t>Suggested a rewrite adding eight hours of training and an 80% assessment score.</w:t>
            </w:r>
          </w:p>
        </w:tc>
        <w:tc>
          <w:tcPr>
            <w:tcW w:w="2542"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3A16B051" w14:textId="1A9B5561" w:rsidR="00235774" w:rsidRDefault="004F770F">
            <w:r>
              <w:rPr>
                <w:sz w:val="19"/>
                <w:szCs w:val="19"/>
              </w:rPr>
              <w:t>Criteria that do not exist in the law.</w:t>
            </w:r>
          </w:p>
        </w:tc>
      </w:tr>
    </w:tbl>
    <w:p w14:paraId="54569CED" w14:textId="77777777" w:rsidR="00235774" w:rsidRDefault="004F770F">
      <w:pPr>
        <w:spacing w:before="140" w:after="140"/>
      </w:pPr>
      <w:r>
        <w:rPr>
          <w:lang w:val="en-US"/>
        </w:rPr>
        <w:t>Each failure comes from a habit that is sensible for manuals. Splitting a sentence into separate actions keeps instructions simple. Treating the grammatical subject as the actor works when the subject is a technician. Filling an empty field with a plausible value makes a requirement look complete. Applied to law, the first habit loses shared conditions, the second loses the duty holder and the third invents obligations.</w:t>
      </w:r>
    </w:p>
    <w:p w14:paraId="19CF1494" w14:textId="77777777" w:rsidR="00235774" w:rsidRDefault="004F770F">
      <w:pPr>
        <w:spacing w:after="140" w:line="276" w:lineRule="auto"/>
      </w:pPr>
      <w:r>
        <w:rPr>
          <w:lang w:val="en-US"/>
        </w:rPr>
        <w:t>R16 is the most concerning case. Its Condition field was correct; only the sentence built from it was wrong. A reviewer who checks fields one by one would pass it. The complete requirement has to be read against the source.</w:t>
      </w:r>
    </w:p>
    <w:p w14:paraId="38553B7F" w14:textId="77777777" w:rsidR="00235774" w:rsidRDefault="004F770F">
      <w:pPr>
        <w:spacing w:after="140" w:line="276" w:lineRule="auto"/>
      </w:pPr>
      <w:r>
        <w:rPr>
          <w:lang w:val="en-US"/>
        </w:rPr>
        <w:t xml:space="preserve">These cases come from one review and were chosen because they show failures; the same set also contained </w:t>
      </w:r>
      <w:r>
        <w:rPr>
          <w:lang w:val="en-US"/>
        </w:rPr>
        <w:t>outputs that kept the duty intact, such as R06’s provider alternatives and R12’s three-year record-retention duty.</w:t>
      </w:r>
      <w:r>
        <w:rPr>
          <w:lang w:val="en-US"/>
        </w:rPr>
        <w:t xml:space="preserve"> They show what can go wrong, not how often.</w:t>
      </w:r>
    </w:p>
    <w:p w14:paraId="38D846C9" w14:textId="77777777" w:rsidR="002E31A9" w:rsidRDefault="00000000">
      <w:pPr>
        <w:spacing w:after="140" w:line="276" w:lineRule="auto"/>
      </w:pPr>
      <w:r>
        <w:rPr>
          <w:lang w:val="en-US"/>
        </w:rPr>
        <w:t xml:space="preserve">Appendix D.6 classifies the cases into three mismatch patterns and six outcome types. </w:t>
      </w:r>
      <w:r>
        <w:rPr>
          <w:lang w:val="en-US"/>
        </w:rPr>
        <w:t xml:space="preserve">O2, O3, O4 and O6 have observed failures. O1 (no matching field) and O5 (detached subrequirements or exceptions) were not established as semantic failures in the reviewed captures.</w:t>
      </w:r>
    </w:p>
    <w:p w14:paraId="5C206A14" w14:textId="77777777" w:rsidR="00235774" w:rsidRDefault="004F770F">
      <w:pPr>
        <w:spacing w:after="140" w:line="276" w:lineRule="auto"/>
      </w:pPr>
      <w:r>
        <w:rPr>
          <w:lang w:val="en-US"/>
        </w:rPr>
        <w:t xml:space="preserve">R09 is exactly the failure nesting prevents</w:t>
      </w:r>
      <w:r>
        <w:rPr>
          <w:lang w:val="en-US"/>
        </w:rPr>
        <w:t xml:space="preserve">, and the automation track had already built nesting into the Workbench before we ran this review. Section 5 explains how it works.</w:t>
      </w:r>
    </w:p>
    <w:p w14:paraId="62927208" w14:textId="77777777" w:rsidR="00235774" w:rsidRPr="00B930D9" w:rsidRDefault="004F770F">
      <w:pPr>
        <w:pStyle w:val="Heading1"/>
        <w:rPr>
          <w:color w:val="124F1A" w:themeColor="accent3" w:themeShade="BF"/>
        </w:rPr>
      </w:pPr>
      <w:r>
        <w:rPr>
          <w:color w:val="124F1A" w:themeColor="accent3" w:themeShade="BF"/>
        </w:rPr>
        <w:t>5. We recommend a legal requirement layer above the operational schema</w:t>
      </w:r>
    </w:p>
    <w:p w14:paraId="272D84E9" w14:textId="77777777" w:rsidR="00235774" w:rsidRDefault="004F770F">
      <w:pPr>
        <w:pStyle w:val="Heading2"/>
      </w:pPr>
      <w:r>
        <w:t>5.1 Two connected layers instead of one schema</w:t>
      </w:r>
    </w:p>
    <w:p w14:paraId="1850969E" w14:textId="77777777" w:rsidR="00235774" w:rsidRDefault="004F770F">
      <w:pPr>
        <w:spacing w:after="140" w:line="276" w:lineRule="auto"/>
      </w:pPr>
      <w:r>
        <w:rPr>
          <w:lang w:val="en-US"/>
        </w:rPr>
        <w:t>The schema still does something the product needs: it describes concrete actions that someone on a fish farm performs. The trouble starts when it is also asked to represent the law those actions come from. We recommend separating the two:</w:t>
      </w:r>
    </w:p>
    <w:p w14:paraId="66AEF92C" w14:textId="77777777" w:rsidR="00235774" w:rsidRDefault="004F770F">
      <w:pPr>
        <w:pStyle w:val="ListParagraph"/>
        <w:numPr>
          <w:ilvl w:val="0"/>
          <w:numId w:val="2"/>
        </w:numPr>
        <w:spacing w:after="80" w:line="276" w:lineRule="auto"/>
      </w:pPr>
      <w:r>
        <w:rPr>
          <w:b/>
          <w:bCs/>
          <w:lang w:val="en-US"/>
        </w:rPr>
        <w:lastRenderedPageBreak/>
        <w:t>Legal layer (new):</w:t>
      </w:r>
      <w:r>
        <w:rPr>
          <w:lang w:val="en-US"/>
        </w:rPr>
        <w:t xml:space="preserve"> one record per legal requirement, in the law’s own terms. It holds the source paragraph, legal effect, duty holder, regulated object, applicability, exceptions and demand.</w:t>
      </w:r>
    </w:p>
    <w:p w14:paraId="6199FBA7" w14:textId="77777777" w:rsidR="00235774" w:rsidRDefault="004F770F">
      <w:pPr>
        <w:pStyle w:val="ListParagraph"/>
        <w:numPr>
          <w:ilvl w:val="0"/>
          <w:numId w:val="2"/>
        </w:numPr>
        <w:spacing w:after="80" w:line="276" w:lineRule="auto"/>
      </w:pPr>
      <w:r>
        <w:rPr>
          <w:b/>
          <w:bCs/>
        </w:rPr>
        <w:t>Operational layer (existing schema):</w:t>
      </w:r>
      <w:r>
        <w:t xml:space="preserve"> the concrete actions derived from those requirements.</w:t>
      </w:r>
    </w:p>
    <w:p w14:paraId="6B581A5F" w14:textId="77777777" w:rsidR="00235774" w:rsidRDefault="004F770F">
      <w:pPr>
        <w:spacing w:before="100" w:after="140"/>
      </w:pPr>
      <w:r>
        <w:t>Each action links to the legal requirement it serves. One legal requirement can produce several actions, and one action can serve several requirements. Here is § 12 again, this time in two layers: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235774" w14:paraId="79656668" w14:textId="77777777" w:rsidTr="46809CE5">
        <w:trPr>
          <w:cantSplit/>
          <w:tblHeader/>
        </w:trPr>
        <w:tc>
          <w:tcPr>
            <w:tcW w:w="2600" w:type="dxa"/>
            <w:tcBorders>
              <w:top w:val="single" w:sz="4" w:space="0" w:color="B7C4C8"/>
              <w:left w:val="single" w:sz="4" w:space="0" w:color="B7C4C8"/>
              <w:bottom w:val="single" w:sz="4" w:space="0" w:color="B7C4C8"/>
              <w:right w:val="single" w:sz="4" w:space="0" w:color="B7C4C8"/>
            </w:tcBorders>
            <w:shd w:val="clear" w:color="auto" w:fill="DCE8EA"/>
            <w:tcMar>
              <w:top w:w="80" w:type="dxa"/>
              <w:left w:w="120" w:type="dxa"/>
              <w:bottom w:w="80" w:type="dxa"/>
              <w:right w:w="120" w:type="dxa"/>
            </w:tcMar>
          </w:tcPr>
          <w:p w14:paraId="2DF88D26" w14:textId="77777777" w:rsidR="00235774" w:rsidRDefault="004F770F">
            <w:r>
              <w:rPr>
                <w:b/>
                <w:bCs/>
                <w:sz w:val="19"/>
                <w:szCs w:val="19"/>
              </w:rPr>
              <w:t>Layer</w:t>
            </w:r>
          </w:p>
        </w:tc>
        <w:tc>
          <w:tcPr>
            <w:tcW w:w="6426" w:type="dxa"/>
            <w:tcBorders>
              <w:top w:val="single" w:sz="4" w:space="0" w:color="B7C4C8"/>
              <w:left w:val="single" w:sz="4" w:space="0" w:color="B7C4C8"/>
              <w:bottom w:val="single" w:sz="4" w:space="0" w:color="B7C4C8"/>
              <w:right w:val="single" w:sz="4" w:space="0" w:color="B7C4C8"/>
            </w:tcBorders>
            <w:shd w:val="clear" w:color="auto" w:fill="DCE8EA"/>
            <w:tcMar>
              <w:top w:w="80" w:type="dxa"/>
              <w:left w:w="120" w:type="dxa"/>
              <w:bottom w:w="80" w:type="dxa"/>
              <w:right w:w="120" w:type="dxa"/>
            </w:tcMar>
          </w:tcPr>
          <w:p w14:paraId="334BAE2B" w14:textId="77777777" w:rsidR="00235774" w:rsidRDefault="004F770F">
            <w:r>
              <w:rPr>
                <w:b/>
                <w:bCs/>
                <w:sz w:val="19"/>
                <w:szCs w:val="19"/>
              </w:rPr>
              <w:t>Content (illustration)</w:t>
            </w:r>
          </w:p>
        </w:tc>
      </w:tr>
      <w:tr w:rsidR="00235774" w14:paraId="17F4B994" w14:textId="77777777" w:rsidTr="46809CE5">
        <w:trPr>
          <w:cantSplit/>
        </w:trPr>
        <w:tc>
          <w:tcPr>
            <w:tcW w:w="26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4216AC3A" w14:textId="77777777" w:rsidR="00235774" w:rsidRDefault="004F770F">
            <w:r>
              <w:rPr>
                <w:sz w:val="19"/>
                <w:szCs w:val="19"/>
              </w:rPr>
              <w:t>Legal requirement</w:t>
            </w:r>
          </w:p>
        </w:tc>
        <w:tc>
          <w:tcPr>
            <w:tcW w:w="64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7AD9FE11" w14:textId="77777777" w:rsidR="00235774" w:rsidRDefault="004F770F">
            <w:r>
              <w:rPr>
                <w:sz w:val="19"/>
                <w:szCs w:val="19"/>
                <w:lang w:val="en-US"/>
              </w:rPr>
              <w:t>The person responsible for daily operations shall ensure that facilities with fish are inspected at least once a day, provided the weather allows it. Source: § 12.</w:t>
            </w:r>
          </w:p>
        </w:tc>
      </w:tr>
      <w:tr w:rsidR="00235774" w14:paraId="40986C61" w14:textId="77777777" w:rsidTr="46809CE5">
        <w:trPr>
          <w:cantSplit/>
        </w:trPr>
        <w:tc>
          <w:tcPr>
            <w:tcW w:w="26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22802FB8" w14:textId="77777777" w:rsidR="00235774" w:rsidRDefault="004F770F">
            <w:r>
              <w:rPr>
                <w:sz w:val="19"/>
                <w:szCs w:val="19"/>
              </w:rPr>
              <w:t>Operational action 1</w:t>
            </w:r>
          </w:p>
        </w:tc>
        <w:tc>
          <w:tcPr>
            <w:tcW w:w="64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2AB36E3A" w14:textId="77777777" w:rsidR="00235774" w:rsidRDefault="004F770F">
            <w:r>
              <w:rPr>
                <w:sz w:val="19"/>
                <w:szCs w:val="19"/>
              </w:rPr>
              <w:t>Inspect fish in each production unit daily. Linked to § 12; carries the weather exception with it.</w:t>
            </w:r>
          </w:p>
        </w:tc>
      </w:tr>
      <w:tr w:rsidR="00235774" w14:paraId="623AF097" w14:textId="77777777" w:rsidTr="46809CE5">
        <w:trPr>
          <w:cantSplit/>
        </w:trPr>
        <w:tc>
          <w:tcPr>
            <w:tcW w:w="26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32829FC1" w14:textId="77777777" w:rsidR="00235774" w:rsidRDefault="004F770F">
            <w:r>
              <w:rPr>
                <w:sz w:val="19"/>
                <w:szCs w:val="19"/>
              </w:rPr>
              <w:t>Operational action 2</w:t>
            </w:r>
          </w:p>
        </w:tc>
        <w:tc>
          <w:tcPr>
            <w:tcW w:w="64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583772C6" w14:textId="77777777" w:rsidR="00235774" w:rsidRDefault="004F770F">
            <w:r>
              <w:rPr>
                <w:sz w:val="19"/>
                <w:szCs w:val="19"/>
              </w:rPr>
              <w:t>Record the inspection in the operations journal. Linked to § 12 and to the journal requirements.</w:t>
            </w:r>
          </w:p>
        </w:tc>
      </w:tr>
    </w:tbl>
    <w:p w14:paraId="0A2CC8D2" w14:textId="77777777" w:rsidR="00235774" w:rsidRDefault="004F770F">
      <w:pPr>
        <w:spacing w:before="140" w:after="140"/>
      </w:pPr>
      <w:r>
        <w:rPr>
          <w:lang w:val="en-US"/>
        </w:rPr>
        <w:t>This also settles the question of whether to adapt the schema or replace it. Section 2 shows that adapting it closes the frequent gaps but not the structural ones. Replacing it would throw away the operational layer the product uses to generate tasks. Adding a layer keeps both.</w:t>
      </w:r>
    </w:p>
    <w:p w14:paraId="7320CC58" w14:textId="77777777" w:rsidR="00235774" w:rsidRDefault="004F770F">
      <w:pPr>
        <w:pStyle w:val="Heading2"/>
      </w:pPr>
      <w:r>
        <w:t>5.2 Nesting keeps legal relationships intact</w:t>
      </w:r>
    </w:p>
    <w:p w14:paraId="4C4C44AE" w14:textId="77777777" w:rsidR="00235774" w:rsidRDefault="004F770F">
      <w:pPr>
        <w:spacing w:after="140" w:line="276" w:lineRule="auto"/>
      </w:pPr>
      <w:r>
        <w:t>Within the legal layer, requirements need to be grouped, because sentence boundaries do not follow legal structure. § 12 combines a duty with an exception. § 66 offers three alternatives where one is enough. § 44 on reporting became 20 rows in our register, all sharing the same context.</w:t>
      </w:r>
    </w:p>
    <w:p w14:paraId="24F392AA" w14:textId="77777777" w:rsidR="00235774" w:rsidRDefault="004F770F">
      <w:pPr>
        <w:spacing w:after="140" w:line="276" w:lineRule="auto"/>
      </w:pPr>
      <w:r>
        <w:rPr>
          <w:lang w:val="en-US"/>
        </w:rPr>
        <w:t>Nesting puts the shared context on a parent and the individual demands on its children. The parent holds the trigger or condition, AND and OR relationships between children stay explicit, and exceptions stay attached to the duty they modify. Figure 1 shows how this would have kept the storm trigger in R09.</w:t>
      </w:r>
    </w:p>
    <w:p w14:paraId="2F4E5A3A" w14:textId="77777777" w:rsidR="00235774" w:rsidRDefault="004F770F">
      <w:pPr>
        <w:spacing w:before="120" w:after="80"/>
        <w:jc w:val="center"/>
      </w:pPr>
      <w:r>
        <w:rPr>
          <w:noProof/>
        </w:rPr>
        <w:drawing>
          <wp:inline distT="0" distB="0" distL="0" distR="0" wp14:anchorId="6ABEFEB5" wp14:editId="3C3E65E2">
            <wp:extent cx="5619750" cy="2619375"/>
            <wp:effectExtent l="0" t="0" r="0" b="0"/>
            <wp:docPr id="1" name="fig1" descr="Flat output versus proposed nesting for R09" title="R09 n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2619375"/>
                    </a:xfrm>
                    <a:prstGeom prst="rect">
                      <a:avLst/>
                    </a:prstGeom>
                  </pic:spPr>
                </pic:pic>
              </a:graphicData>
            </a:graphic>
          </wp:inline>
        </w:drawing>
      </w:r>
    </w:p>
    <w:p w14:paraId="6BE82E12" w14:textId="77777777" w:rsidR="00235774" w:rsidRDefault="004F770F">
      <w:pPr>
        <w:spacing w:after="200"/>
        <w:jc w:val="center"/>
      </w:pPr>
      <w:r>
        <w:rPr>
          <w:i/>
          <w:iCs/>
          <w:sz w:val="18"/>
          <w:szCs w:val="18"/>
        </w:rPr>
        <w:t>Figure 1. R09 as a flat output and as a nested group. The proposed structure awaits legal review.</w:t>
      </w:r>
    </w:p>
    <w:p w14:paraId="453C61EC" w14:textId="77777777" w:rsidR="00235774" w:rsidRDefault="004F770F">
      <w:pPr>
        <w:spacing w:after="140" w:line="276" w:lineRule="auto"/>
      </w:pPr>
      <w:r>
        <w:rPr>
          <w:lang w:val="en-US"/>
        </w:rPr>
        <w:lastRenderedPageBreak/>
        <w:t>The rules for when to split a row still need agreement. Appendix A, step 4, lists the conventions we propose.</w:t>
      </w:r>
    </w:p>
    <w:p w14:paraId="38857E77" w14:textId="77777777" w:rsidR="00235774" w:rsidRDefault="004F770F">
      <w:pPr>
        <w:pStyle w:val="Heading2"/>
      </w:pPr>
      <w:r>
        <w:t>5.3 Scope, Condition and Demand define what a check would test</w:t>
      </w:r>
    </w:p>
    <w:p w14:paraId="74516C00" w14:textId="77777777" w:rsidR="00235774" w:rsidRDefault="004F770F">
      <w:pPr>
        <w:spacing w:after="140" w:line="276" w:lineRule="auto"/>
      </w:pPr>
      <w:r>
        <w:rPr>
          <w:lang w:val="en-US"/>
        </w:rPr>
        <w:t>Once the legal structure is preserved, each requirement can be written as something testable. Scope defines the population, such as every facility with fish. Condition narrows it to where the requirement applies, such as days when the weather allows for inspection. Demand defines what counts as meeting it. A site complies when everything inside the scope and condition meets the demand, over an agreed period, with evidence to show it. Appendix B gives the formal definition.</w:t>
      </w:r>
    </w:p>
    <w:p w14:paraId="72A934DB" w14:textId="77777777" w:rsidR="002E31A9" w:rsidRDefault="00000000">
      <w:pPr>
        <w:spacing w:after="140" w:line="276" w:lineRule="auto"/>
      </w:pPr>
      <w:r>
        <w:rPr>
          <w:lang w:val="en-US"/>
        </w:rPr>
        <w:t>In the Workbench, each entry is stored as JSON with nested AND, OR and NOT logic, and supported fields are mapped to QueryBuilder-compatible filters for the downstream Site Model. Appendix D.4 describes how the program and the LLM build these entries.</w:t>
      </w:r>
    </w:p>
    <w:p w14:paraId="605DB54F" w14:textId="77777777" w:rsidR="00235774" w:rsidRDefault="004F770F">
      <w:pPr>
        <w:spacing w:after="140" w:line="276" w:lineRule="auto"/>
      </w:pPr>
      <w:r>
        <w:rPr>
          <w:lang w:val="en-US"/>
        </w:rPr>
        <w:t>Verification then needs three separate fields: the evidence examined, the procedure used to assess it, and the acceptance criterion. “Review the operations journal” gives the first two and leaves out the third. Prescriptive duties take a parameter, operator, value, and unit. Performance-based duties take a required outcome, indicators, supporting standards and a documented justification.</w:t>
      </w:r>
    </w:p>
    <w:p w14:paraId="06018C5E" w14:textId="77777777" w:rsidR="00235774" w:rsidRPr="00B930D9" w:rsidRDefault="004F770F">
      <w:pPr>
        <w:pStyle w:val="Heading1"/>
        <w:rPr>
          <w:color w:val="124F1A" w:themeColor="accent3" w:themeShade="BF"/>
        </w:rPr>
      </w:pPr>
      <w:r>
        <w:rPr>
          <w:color w:val="124F1A" w:themeColor="accent3" w:themeShade="BF"/>
        </w:rPr>
        <w:t>6. Our proof of concept shows software can protect source fidelity, while interpretation still needs human review</w:t>
      </w:r>
    </w:p>
    <w:p w14:paraId="04729E83" w14:textId="77777777" w:rsidR="00235774" w:rsidRDefault="004F770F">
      <w:pPr>
        <w:spacing w:after="140" w:line="276" w:lineRule="auto"/>
      </w:pPr>
      <w:r>
        <w:rPr>
          <w:lang w:val="en-US"/>
        </w:rPr>
        <w:t xml:space="preserve">While the register was built by hand, the automation track tested which of these steps software can perform without losing information. </w:t>
      </w:r>
      <w:r>
        <w:rPr>
          <w:lang w:val="en-US"/>
        </w:rPr>
        <w:t>It produced a locally hosted workspace in two parts, Source Management and the Workbench, together with a method for cross-validating PDF extractions.</w:t>
      </w:r>
      <w:r>
        <w:rPr>
          <w:lang w:val="en-US"/>
        </w:rPr>
        <w:t xml:space="preserve"> Both are proofs of concept. They work on real material, but neither has been accepted into the company's pipeline.</w:t>
      </w:r>
    </w:p>
    <w:p w14:paraId="3C37A915" w14:textId="77777777" w:rsidR="00235774" w:rsidRDefault="004F770F">
      <w:pPr>
        <w:pStyle w:val="Heading2"/>
      </w:pPr>
      <w:r>
        <w:t>6.1 The Workbench</w:t>
      </w:r>
    </w:p>
    <w:p w14:paraId="3E5E6BE3" w14:textId="77777777" w:rsidR="00235774" w:rsidRDefault="004F770F">
      <w:pPr>
        <w:spacing w:after="140" w:line="276" w:lineRule="auto"/>
      </w:pPr>
      <w:r>
        <w:t>The Workbench shows four panels side by side: the original document, the extracted content, the structured requirements, and interpretation and check design. From any requirement, a reviewer can go straight back to the sentence it came from.</w:t>
      </w:r>
    </w:p>
    <w:p w14:paraId="475DB476" w14:textId="77777777" w:rsidR="00235774" w:rsidRDefault="004F770F">
      <w:pPr>
        <w:pStyle w:val="ListParagraph"/>
        <w:numPr>
          <w:ilvl w:val="0"/>
          <w:numId w:val="2"/>
        </w:numPr>
        <w:spacing w:after="80" w:line="276" w:lineRule="auto"/>
      </w:pPr>
      <w:r>
        <w:rPr>
          <w:b/>
          <w:bCs/>
          <w:lang w:val="en-US"/>
        </w:rPr>
        <w:t>Source management</w:t>
      </w:r>
      <w:r>
        <w:rPr>
          <w:lang w:val="en-US"/>
        </w:rPr>
        <w:t xml:space="preserve"> finds sources through manual addition or LLM-assisted search, prepares a record for each one and scans existing sources for updates. A reviewer decides what to include, and that decision is stored separately from the machine assessment. A failed download does not erase the last good copy, and a new version flags dependent work for review.</w:t>
      </w:r>
    </w:p>
    <w:p w14:paraId="70E0FA44" w14:textId="77777777" w:rsidR="00235774" w:rsidRDefault="004F770F">
      <w:pPr>
        <w:pStyle w:val="ListParagraph"/>
        <w:numPr>
          <w:ilvl w:val="0"/>
          <w:numId w:val="2"/>
        </w:numPr>
        <w:spacing w:after="80" w:line="276" w:lineRule="auto"/>
      </w:pPr>
      <w:r>
        <w:rPr>
          <w:b/>
          <w:bCs/>
          <w:lang w:val="en-US"/>
        </w:rPr>
        <w:t>Content extraction</w:t>
      </w:r>
      <w:r>
        <w:rPr>
          <w:lang w:val="en-US"/>
        </w:rPr>
        <w:t xml:space="preserve"> converts the main regulatory text of supported webpages to Markdown, keeping headings, paragraphs, lists and tables and dropping navigation. Reviewers compare the result side by side with the original and correct capture errors; corrections are stored separately. </w:t>
      </w:r>
      <w:r>
        <w:rPr>
          <w:lang w:val="en-US"/>
        </w:rPr>
        <w:t xml:space="preserve">Excel files are also supported. We reserve a separate LLM-assisted processing route for rare formats to reduce the cost of maintaining a dedicated parser for each one.</w:t>
      </w:r>
    </w:p>
    <w:p w14:paraId="01EDF606" w14:textId="77777777" w:rsidR="00235774" w:rsidRDefault="004F770F">
      <w:pPr>
        <w:pStyle w:val="ListParagraph"/>
        <w:numPr>
          <w:ilvl w:val="0"/>
          <w:numId w:val="2"/>
        </w:numPr>
        <w:spacing w:after="80" w:line="276" w:lineRule="auto"/>
      </w:pPr>
      <w:r>
        <w:rPr>
          <w:b/>
          <w:bCs/>
          <w:lang w:val="en-US"/>
        </w:rPr>
        <w:t>Requirement structuring</w:t>
      </w:r>
      <w:r>
        <w:rPr>
          <w:lang w:val="en-US"/>
        </w:rPr>
        <w:t xml:space="preserve"> works in two stages. First, nesting with constraints stores the source as a tree of clauses, groups and references, so shared conditions and exceptions stay attached. Second, an LLM proposes Scope, Demand and Condition for each entry from that structure; the program checks the returned JSON and source quotations, and a reviewer accepts or corrects the result. Saving a draft, accepting a model candidate, approving the interpretation and completing the entry are separate recorded steps.</w:t>
      </w:r>
    </w:p>
    <w:p w14:paraId="2103E646" w14:textId="77777777" w:rsidR="002E31A9" w:rsidRDefault="00000000">
      <w:pPr>
        <w:pStyle w:val="ListParagraph"/>
        <w:numPr>
          <w:ilvl w:val="0"/>
          <w:numId w:val="2"/>
        </w:numPr>
        <w:spacing w:after="80" w:line="276" w:lineRule="auto"/>
      </w:pPr>
      <w:r>
        <w:rPr>
          <w:b/>
          <w:bCs/>
          <w:lang w:val="en-US"/>
        </w:rPr>
        <w:lastRenderedPageBreak/>
        <w:t>Collaboration</w:t>
      </w:r>
      <w:r>
        <w:rPr>
          <w:lang w:val="en-US"/>
        </w:rPr>
        <w:t xml:space="preserve"> runs through local installations. Colleagues exchange saved work as ZIP packages that are checked for integrity and previewed before records are merged.</w:t>
      </w:r>
    </w:p>
    <w:p w14:paraId="2DA5D7B6" w14:textId="77777777" w:rsidR="00235774" w:rsidRDefault="004F770F">
      <w:pPr>
        <w:spacing w:before="100" w:after="140"/>
      </w:pPr>
      <w:r>
        <w:rPr>
          <w:lang w:val="en-US"/>
        </w:rPr>
        <w:t xml:space="preserve">The saved sea-lice example (PE002) shows the result on a real provision. It combines the lice-counting duty and the slaughter exemption with both source passages, temperature-dependent counting frequencies and 7 Annex links, across 85 legal-text blocks and 21 active requirements. It is pending legal review.</w:t>
      </w:r>
    </w:p>
    <w:p w14:paraId="4E512826" w14:textId="77777777" w:rsidR="00235774" w:rsidRDefault="004F770F">
      <w:pPr>
        <w:pStyle w:val="Heading2"/>
      </w:pPr>
      <w:r>
        <w:t xml:space="preserve">6.2 </w:t>
      </w:r>
      <w:r>
        <w:rPr/>
        <w:t>PDF cross-validation</w:t>
      </w:r>
    </w:p>
    <w:p w14:paraId="1A7E1B24" w14:textId="77777777" w:rsidR="00235774" w:rsidRDefault="004F770F">
      <w:pPr>
        <w:spacing w:after="140" w:line="276" w:lineRule="auto"/>
      </w:pPr>
      <w:r>
        <w:rPr>
          <w:lang w:val="en-US"/>
        </w:rPr>
        <w:t xml:space="preserve">Many supporting sources, such as standards, certificates and audit manuals, exist only as PDFs, where extraction errors are common and easy to miss. The Evidence team (Abhilash Iyernadig and Zhizhen Li) already extracts PDFs with targeted LLM methods, so we reuse their extraction and focus on checking it. </w:t>
      </w:r>
      <w:r>
        <w:rPr>
          <w:lang w:val="en-US"/>
        </w:rPr>
        <w:t xml:space="preserve">Depth-Controlled Cross-Validation compares the same candidate extraction with different readings of the same original. In the proposed design, Depth 1 uses the least costly suitable method; Depths 2 to 4 retain earlier comparisons and each add a method suited to the content. Depth 5 adds LLM review with the largest budget, using a different model from any LLM used for extraction. Integration and benchmarking of the proposed combinations remain next steps.</w:t>
      </w:r>
      <w:r>
        <w:rPr>
          <w:lang w:val="en-US"/>
        </w:rPr>
        <w:t xml:space="preserve"> Disagreements stay linked to the source for human review, and Appendix D.3 lists the proposed methods by document type. We tested the validator by planting two errors:</w:t>
      </w:r>
    </w:p>
    <w:p w14:paraId="72E3E5AE" w14:textId="77777777" w:rsidR="00235774" w:rsidRDefault="004F770F">
      <w:pPr>
        <w:pStyle w:val="ListParagraph"/>
        <w:numPr>
          <w:ilvl w:val="0"/>
          <w:numId w:val="2"/>
        </w:numPr>
        <w:spacing w:after="80" w:line="276" w:lineRule="auto"/>
      </w:pPr>
      <w:r>
        <w:t>In an audit-manual passage, 1,500 was changed to 15,000. A text-similarity comparison missed it; the validator’s critical-value check caught it.</w:t>
      </w:r>
    </w:p>
    <w:p w14:paraId="2BEF277E" w14:textId="77777777" w:rsidR="00235774" w:rsidRDefault="004F770F">
      <w:pPr>
        <w:pStyle w:val="ListParagraph"/>
        <w:numPr>
          <w:ilvl w:val="0"/>
          <w:numId w:val="2"/>
        </w:numPr>
        <w:spacing w:after="80" w:line="276" w:lineRule="auto"/>
      </w:pPr>
      <w:r>
        <w:t>In a table, 70% was changed to 700%. The validator caught the change and pointed to the affected row.</w:t>
      </w:r>
    </w:p>
    <w:p w14:paraId="10CADA2D" w14:textId="77777777" w:rsidR="00235774" w:rsidRDefault="004F770F">
      <w:pPr>
        <w:spacing w:before="100" w:after="140"/>
      </w:pPr>
      <w:r>
        <w:rPr/>
        <w:t xml:space="preserve">In these two tests, the prototype detected the injected numerical errors. The proposed five-depth combinations still require implementation and evaluation.</w:t>
      </w:r>
      <w:r>
        <w:t xml:space="preserve"> It does not tell us how often errors occur in real documents.</w:t>
      </w:r>
    </w:p>
    <w:p w14:paraId="5120BC2D" w14:textId="77777777" w:rsidR="00235774" w:rsidRDefault="004F770F">
      <w:pPr>
        <w:pStyle w:val="Heading2"/>
      </w:pPr>
      <w:r>
        <w:t>6.3 What the proof of concept does not yet show</w:t>
      </w:r>
    </w:p>
    <w:p w14:paraId="6FDFDD4A" w14:textId="77777777" w:rsidR="00235774" w:rsidRDefault="004F770F">
      <w:pPr>
        <w:spacing w:after="140" w:line="276" w:lineRule="auto"/>
      </w:pPr>
      <w:r>
        <w:rPr>
          <w:lang w:val="en-US"/>
        </w:rPr>
        <w:t xml:space="preserve">The tools have not been tested on native Windows or against the company’s actual upstream extraction format. </w:t>
      </w:r>
      <w:r>
        <w:rPr>
          <w:lang w:val="en-US"/>
        </w:rPr>
        <w:t xml:space="preserve">Integration and benchmarking of the proposed cross-validation combinations remain acceptance tasks. Their results should determine the method order and recommended default depth.</w:t>
      </w:r>
      <w:r>
        <w:rPr>
          <w:lang w:val="en-US"/>
        </w:rPr>
        <w:t xml:space="preserve"> LLM assistance runs only as an explicit, configured action, and the quality of its proposals has not been measured. No requirement is mapped to Site Model data, and no compliance check has been run end to end. </w:t>
      </w:r>
      <w:r>
        <w:rPr>
          <w:lang w:val="en-US"/>
        </w:rPr>
        <w:t xml:space="preserve">The Workbench preserves nesting and delivers structured Scope, Demand and Condition for the downstream team. Deriving and linking operational actions belongs to the downstream workflow.</w:t>
      </w:r>
      <w:r>
        <w:rPr>
          <w:lang w:val="en-US"/>
        </w:rPr>
        <w:t xml:space="preserve"> Appendix D has the technical detail, and Section 7 sets out the steps to acceptance.</w:t>
      </w:r>
    </w:p>
    <w:p w14:paraId="7A396301" w14:textId="77777777" w:rsidR="00235774" w:rsidRPr="00B930D9" w:rsidRDefault="004F770F">
      <w:pPr>
        <w:pStyle w:val="Heading1"/>
        <w:rPr>
          <w:color w:val="124F1A" w:themeColor="accent3" w:themeShade="BF"/>
        </w:rPr>
      </w:pPr>
      <w:r>
        <w:rPr>
          <w:color w:val="124F1A" w:themeColor="accent3" w:themeShade="BF"/>
        </w:rPr>
        <w:t>7. Decisions for the next phase</w:t>
      </w:r>
    </w:p>
    <w:p w14:paraId="069818A0" w14:textId="77777777" w:rsidR="00235774" w:rsidRDefault="004F770F">
      <w:pPr>
        <w:spacing w:after="140" w:line="276" w:lineRule="auto"/>
      </w:pPr>
      <w:r>
        <w:rPr>
          <w:lang w:val="en-US"/>
        </w:rPr>
        <w:t>The work is not finished. The decisions below are listed in the order that they unlock each other.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6"/>
        <w:gridCol w:w="2200"/>
        <w:gridCol w:w="3400"/>
      </w:tblGrid>
      <w:tr w:rsidR="00235774" w14:paraId="16DE92EE" w14:textId="77777777" w:rsidTr="46809CE5">
        <w:trPr>
          <w:cantSplit/>
          <w:tblHeader/>
        </w:trPr>
        <w:tc>
          <w:tcPr>
            <w:tcW w:w="3426" w:type="dxa"/>
            <w:tcBorders>
              <w:top w:val="single" w:sz="4" w:space="0" w:color="B7C4C8"/>
              <w:left w:val="single" w:sz="4" w:space="0" w:color="B7C4C8"/>
              <w:bottom w:val="single" w:sz="4" w:space="0" w:color="B7C4C8"/>
              <w:right w:val="single" w:sz="4" w:space="0" w:color="B7C4C8"/>
            </w:tcBorders>
            <w:shd w:val="clear" w:color="auto" w:fill="DCE8EA"/>
            <w:tcMar>
              <w:top w:w="80" w:type="dxa"/>
              <w:left w:w="120" w:type="dxa"/>
              <w:bottom w:w="80" w:type="dxa"/>
              <w:right w:w="120" w:type="dxa"/>
            </w:tcMar>
          </w:tcPr>
          <w:p w14:paraId="13F55DF6" w14:textId="77777777" w:rsidR="00235774" w:rsidRDefault="004F770F">
            <w:r>
              <w:rPr>
                <w:b/>
                <w:bCs/>
                <w:sz w:val="19"/>
                <w:szCs w:val="19"/>
              </w:rPr>
              <w:t>Decision</w:t>
            </w:r>
          </w:p>
        </w:tc>
        <w:tc>
          <w:tcPr>
            <w:tcW w:w="2200" w:type="dxa"/>
            <w:tcBorders>
              <w:top w:val="single" w:sz="4" w:space="0" w:color="B7C4C8"/>
              <w:left w:val="single" w:sz="4" w:space="0" w:color="B7C4C8"/>
              <w:bottom w:val="single" w:sz="4" w:space="0" w:color="B7C4C8"/>
              <w:right w:val="single" w:sz="4" w:space="0" w:color="B7C4C8"/>
            </w:tcBorders>
            <w:shd w:val="clear" w:color="auto" w:fill="DCE8EA"/>
            <w:tcMar>
              <w:top w:w="80" w:type="dxa"/>
              <w:left w:w="120" w:type="dxa"/>
              <w:bottom w:w="80" w:type="dxa"/>
              <w:right w:w="120" w:type="dxa"/>
            </w:tcMar>
          </w:tcPr>
          <w:p w14:paraId="472263CF" w14:textId="77777777" w:rsidR="00235774" w:rsidRDefault="004F770F">
            <w:r>
              <w:rPr>
                <w:b/>
                <w:bCs/>
                <w:sz w:val="19"/>
                <w:szCs w:val="19"/>
              </w:rPr>
              <w:t>Decided by</w:t>
            </w:r>
          </w:p>
        </w:tc>
        <w:tc>
          <w:tcPr>
            <w:tcW w:w="3400" w:type="dxa"/>
            <w:tcBorders>
              <w:top w:val="single" w:sz="4" w:space="0" w:color="B7C4C8"/>
              <w:left w:val="single" w:sz="4" w:space="0" w:color="B7C4C8"/>
              <w:bottom w:val="single" w:sz="4" w:space="0" w:color="B7C4C8"/>
              <w:right w:val="single" w:sz="4" w:space="0" w:color="B7C4C8"/>
            </w:tcBorders>
            <w:shd w:val="clear" w:color="auto" w:fill="DCE8EA"/>
            <w:tcMar>
              <w:top w:w="80" w:type="dxa"/>
              <w:left w:w="120" w:type="dxa"/>
              <w:bottom w:w="80" w:type="dxa"/>
              <w:right w:w="120" w:type="dxa"/>
            </w:tcMar>
          </w:tcPr>
          <w:p w14:paraId="0D5BD3F2" w14:textId="77777777" w:rsidR="00235774" w:rsidRDefault="004F770F">
            <w:r>
              <w:rPr>
                <w:b/>
                <w:bCs/>
                <w:sz w:val="19"/>
                <w:szCs w:val="19"/>
              </w:rPr>
              <w:t>What it unlocks</w:t>
            </w:r>
          </w:p>
        </w:tc>
      </w:tr>
      <w:tr w:rsidR="00235774" w14:paraId="462D22E2" w14:textId="77777777" w:rsidTr="46809CE5">
        <w:trPr>
          <w:cantSplit/>
        </w:trPr>
        <w:tc>
          <w:tcPr>
            <w:tcW w:w="34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73B767C9" w14:textId="77777777" w:rsidR="00235774" w:rsidRDefault="004F770F">
            <w:r>
              <w:rPr>
                <w:sz w:val="19"/>
                <w:szCs w:val="19"/>
              </w:rPr>
              <w:t>1. Adopt the two-layer model: a legal layer linked to the existing operational schema.</w:t>
            </w:r>
          </w:p>
        </w:tc>
        <w:tc>
          <w:tcPr>
            <w:tcW w:w="22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5E15741E" w14:textId="77777777" w:rsidR="00235774" w:rsidRDefault="004F770F">
            <w:r>
              <w:rPr>
                <w:sz w:val="19"/>
                <w:szCs w:val="19"/>
              </w:rPr>
              <w:t>Project lead and schema team</w:t>
            </w:r>
          </w:p>
        </w:tc>
        <w:tc>
          <w:tcPr>
            <w:tcW w:w="34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78148487" w14:textId="77777777" w:rsidR="00235774" w:rsidRDefault="004F770F">
            <w:r>
              <w:rPr>
                <w:sz w:val="19"/>
                <w:szCs w:val="19"/>
              </w:rPr>
              <w:t>A stable target for all further extraction.</w:t>
            </w:r>
          </w:p>
        </w:tc>
      </w:tr>
      <w:tr w:rsidR="00235774" w14:paraId="42EF6A3F" w14:textId="77777777" w:rsidTr="46809CE5">
        <w:trPr>
          <w:cantSplit/>
        </w:trPr>
        <w:tc>
          <w:tcPr>
            <w:tcW w:w="34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4CA00AE6" w14:textId="77777777" w:rsidR="00235774" w:rsidRDefault="004F770F">
            <w:r>
              <w:rPr>
                <w:sz w:val="19"/>
                <w:szCs w:val="19"/>
                <w:lang w:val="en-US"/>
              </w:rPr>
              <w:t>2. Agree the legal layer’s minimum fields and test them on five cases: a simple duty, a shared condition, an exception, a qualitative duty and a document requirement.</w:t>
            </w:r>
          </w:p>
        </w:tc>
        <w:tc>
          <w:tcPr>
            <w:tcW w:w="22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32CEE861" w14:textId="77777777" w:rsidR="00235774" w:rsidRDefault="004F770F">
            <w:r>
              <w:rPr>
                <w:sz w:val="19"/>
                <w:szCs w:val="19"/>
              </w:rPr>
              <w:t>Schema team and successor team</w:t>
            </w:r>
          </w:p>
        </w:tc>
        <w:tc>
          <w:tcPr>
            <w:tcW w:w="34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46B5AE60" w14:textId="77777777" w:rsidR="00235774" w:rsidRDefault="004F770F">
            <w:r>
              <w:rPr>
                <w:sz w:val="19"/>
                <w:szCs w:val="19"/>
              </w:rPr>
              <w:t>A validated schema before migrating the full register.</w:t>
            </w:r>
          </w:p>
        </w:tc>
      </w:tr>
      <w:tr w:rsidR="00235774" w14:paraId="0A598668" w14:textId="77777777" w:rsidTr="46809CE5">
        <w:trPr>
          <w:cantSplit/>
        </w:trPr>
        <w:tc>
          <w:tcPr>
            <w:tcW w:w="34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75CBD6C3" w14:textId="77777777" w:rsidR="00235774" w:rsidRDefault="004F770F">
            <w:r>
              <w:rPr>
                <w:sz w:val="19"/>
                <w:szCs w:val="19"/>
                <w:lang w:val="en-US"/>
              </w:rPr>
              <w:lastRenderedPageBreak/>
              <w:t xml:space="preserve">3. Decide how guidance and inspection practice enter as sources, and who interprets qualitative terms such as </w:t>
            </w:r>
            <w:r>
              <w:rPr>
                <w:i/>
                <w:iCs/>
                <w:sz w:val="19"/>
                <w:szCs w:val="19"/>
                <w:lang w:val="en-US"/>
              </w:rPr>
              <w:t>forsvarlig</w:t>
            </w:r>
            <w:r>
              <w:rPr>
                <w:sz w:val="19"/>
                <w:szCs w:val="19"/>
                <w:lang w:val="en-US"/>
              </w:rPr>
              <w:t xml:space="preserve"> and urgency terms such as </w:t>
            </w:r>
            <w:r>
              <w:rPr>
                <w:i/>
                <w:iCs/>
                <w:sz w:val="19"/>
                <w:szCs w:val="19"/>
                <w:lang w:val="en-US"/>
              </w:rPr>
              <w:t>straks</w:t>
            </w:r>
            <w:r>
              <w:rPr>
                <w:sz w:val="19"/>
                <w:szCs w:val="19"/>
                <w:lang w:val="en-US"/>
              </w:rPr>
              <w:t>.</w:t>
            </w:r>
          </w:p>
        </w:tc>
        <w:tc>
          <w:tcPr>
            <w:tcW w:w="22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27FAFBEA" w14:textId="77777777" w:rsidR="00235774" w:rsidRDefault="004F770F">
            <w:r>
              <w:rPr>
                <w:sz w:val="19"/>
                <w:szCs w:val="19"/>
                <w:lang w:val="en-US"/>
              </w:rPr>
              <w:t>Project lead with legal expertise</w:t>
            </w:r>
          </w:p>
        </w:tc>
        <w:tc>
          <w:tcPr>
            <w:tcW w:w="34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629F0A43" w14:textId="77777777" w:rsidR="00235774" w:rsidRDefault="004F770F">
            <w:r>
              <w:rPr>
                <w:sz w:val="19"/>
                <w:szCs w:val="19"/>
              </w:rPr>
              <w:t>Interpretations the product can rely on.</w:t>
            </w:r>
          </w:p>
        </w:tc>
      </w:tr>
      <w:tr w:rsidR="00235774" w14:paraId="5909E25C" w14:textId="77777777" w:rsidTr="46809CE5">
        <w:trPr>
          <w:cantSplit/>
        </w:trPr>
        <w:tc>
          <w:tcPr>
            <w:tcW w:w="34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278603FF" w14:textId="77777777" w:rsidR="00235774" w:rsidRDefault="004F770F">
            <w:r>
              <w:rPr>
                <w:sz w:val="19"/>
                <w:szCs w:val="19"/>
                <w:lang w:val="en-US"/>
              </w:rPr>
              <w:t xml:space="preserve">4. Name an owner for the Workbench and the PDF </w:t>
            </w:r>
            <w:proofErr w:type="gramStart"/>
            <w:r>
              <w:rPr>
                <w:sz w:val="19"/>
                <w:szCs w:val="19"/>
                <w:lang w:val="en-US"/>
              </w:rPr>
              <w:t>validator, and</w:t>
            </w:r>
            <w:proofErr w:type="gramEnd"/>
            <w:r>
              <w:rPr>
                <w:sz w:val="19"/>
                <w:szCs w:val="19"/>
                <w:lang w:val="en-US"/>
              </w:rPr>
              <w:t xml:space="preserve"> </w:t>
            </w:r>
            <w:r>
              <w:rPr>
                <w:sz w:val="19"/>
                <w:szCs w:val="19"/>
                <w:lang w:val="en-US"/>
              </w:rPr>
              <w:t>test them against a real company PDF and JSON pair, benchmarking each cross-validation depth on labelled examples.</w:t>
            </w:r>
          </w:p>
        </w:tc>
        <w:tc>
          <w:tcPr>
            <w:tcW w:w="22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5B541AA9" w14:textId="77777777" w:rsidR="00235774" w:rsidRDefault="004F770F">
            <w:r>
              <w:rPr>
                <w:sz w:val="19"/>
                <w:szCs w:val="19"/>
              </w:rPr>
              <w:t>Project lead</w:t>
            </w:r>
          </w:p>
        </w:tc>
        <w:tc>
          <w:tcPr>
            <w:tcW w:w="34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448FBB1B" w14:textId="77777777" w:rsidR="00235774" w:rsidRDefault="004F770F">
            <w:r>
              <w:rPr>
                <w:sz w:val="19"/>
                <w:szCs w:val="19"/>
              </w:rPr>
              <w:t>A path from proof of concept to pipeline.</w:t>
            </w:r>
          </w:p>
        </w:tc>
      </w:tr>
      <w:tr w:rsidR="00235774" w14:paraId="7AA3A8BF" w14:textId="77777777" w:rsidTr="46809CE5">
        <w:trPr>
          <w:cantSplit/>
        </w:trPr>
        <w:tc>
          <w:tcPr>
            <w:tcW w:w="34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6B3DBE4F" w14:textId="77777777" w:rsidR="00235774" w:rsidRDefault="004F770F">
            <w:r>
              <w:rPr>
                <w:sz w:val="19"/>
                <w:szCs w:val="19"/>
              </w:rPr>
              <w:t>5. Run one compliance check end to end, from a reviewed requirement to real operational data.</w:t>
            </w:r>
          </w:p>
        </w:tc>
        <w:tc>
          <w:tcPr>
            <w:tcW w:w="22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3ABAC334" w14:textId="77777777" w:rsidR="00235774" w:rsidRDefault="004F770F">
            <w:r>
              <w:rPr>
                <w:sz w:val="19"/>
                <w:szCs w:val="19"/>
              </w:rPr>
              <w:t>Successor team</w:t>
            </w:r>
          </w:p>
        </w:tc>
        <w:tc>
          <w:tcPr>
            <w:tcW w:w="34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29DF67F3" w14:textId="77777777" w:rsidR="00235774" w:rsidRDefault="004F770F">
            <w:r>
              <w:rPr>
                <w:sz w:val="19"/>
                <w:szCs w:val="19"/>
                <w:lang w:val="en-US"/>
              </w:rPr>
              <w:t>Evidence that a requirement can actually be checked.</w:t>
            </w:r>
          </w:p>
        </w:tc>
      </w:tr>
      <w:tr w:rsidR="00235774" w14:paraId="190D1F97" w14:textId="77777777" w:rsidTr="46809CE5">
        <w:trPr>
          <w:cantSplit/>
        </w:trPr>
        <w:tc>
          <w:tcPr>
            <w:tcW w:w="3426"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738D8E8F" w14:textId="77777777" w:rsidR="00235774" w:rsidRDefault="004F770F">
            <w:r>
              <w:rPr>
                <w:sz w:val="19"/>
                <w:szCs w:val="19"/>
              </w:rPr>
              <w:t>6. Take the next regulation through the playbook in Appendix A, with a review after the first fully structured regulation.</w:t>
            </w:r>
          </w:p>
        </w:tc>
        <w:tc>
          <w:tcPr>
            <w:tcW w:w="22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18A308CD" w14:textId="77777777" w:rsidR="00235774" w:rsidRDefault="004F770F">
            <w:r>
              <w:rPr>
                <w:sz w:val="19"/>
                <w:szCs w:val="19"/>
              </w:rPr>
              <w:t>Successor team</w:t>
            </w:r>
          </w:p>
        </w:tc>
        <w:tc>
          <w:tcPr>
            <w:tcW w:w="3400" w:type="dxa"/>
            <w:tcBorders>
              <w:top w:val="single" w:sz="4" w:space="0" w:color="B7C4C8"/>
              <w:left w:val="single" w:sz="4" w:space="0" w:color="B7C4C8"/>
              <w:bottom w:val="single" w:sz="4" w:space="0" w:color="B7C4C8"/>
              <w:right w:val="single" w:sz="4" w:space="0" w:color="B7C4C8"/>
            </w:tcBorders>
            <w:tcMar>
              <w:top w:w="80" w:type="dxa"/>
              <w:left w:w="120" w:type="dxa"/>
              <w:bottom w:w="80" w:type="dxa"/>
              <w:right w:w="120" w:type="dxa"/>
            </w:tcMar>
          </w:tcPr>
          <w:p w14:paraId="419555E6" w14:textId="77777777" w:rsidR="00235774" w:rsidRDefault="004F770F">
            <w:r>
              <w:rPr>
                <w:sz w:val="19"/>
                <w:szCs w:val="19"/>
              </w:rPr>
              <w:t>Wider coverage with less rework.</w:t>
            </w:r>
          </w:p>
        </w:tc>
      </w:tr>
    </w:tbl>
    <w:p w14:paraId="27819ED3" w14:textId="77777777" w:rsidR="00235774" w:rsidRDefault="004F770F">
      <w:pPr>
        <w:spacing w:before="140" w:after="140"/>
      </w:pPr>
      <w:r>
        <w:rPr>
          <w:lang w:val="en-US"/>
        </w:rPr>
        <w:t>Decision 5 depends on data access. The register shows what each requirement would need: farm records, journals or logs for 148 rows; location or mapping data for 58; biomass or stock data for 45; permit details for 36; laboratory results for 31; and authority decisions for 30. These groups overlap. Without those connections, the output is an informed checklist, not compliance monitoring.</w:t>
      </w:r>
    </w:p>
    <w:p w14:paraId="32B6DC9F" w14:textId="77777777" w:rsidR="00235774" w:rsidRDefault="004F770F">
      <w:pPr>
        <w:pStyle w:val="Heading2"/>
      </w:pPr>
      <w:r>
        <w:t>If we started again</w:t>
      </w:r>
    </w:p>
    <w:p w14:paraId="2C3A7CAE" w14:textId="77777777" w:rsidR="00235774" w:rsidRDefault="00B930D9" w:rsidP="00B930D9">
      <w:pPr>
        <w:spacing w:after="140" w:line="276" w:lineRule="auto"/>
      </w:pPr>
      <w:r>
        <w:rPr>
          <w:lang w:val="en-US"/>
        </w:rPr>
        <w:t xml:space="preserve">Two things would have saved us the most time. First, we would agree every column before the first row. Columns added halfway through meant going back over hundreds of rows. Second, we would lock the vocabulary from day one. Our register ended up with “Shall Not” next to “Shall </w:t>
      </w:r>
      <w:bookmarkStart w:id="10" w:name="_Int_EnT2FPsr"/>
      <w:r>
        <w:rPr>
          <w:lang w:val="en-US"/>
        </w:rPr>
        <w:t>not</w:t>
      </w:r>
      <w:bookmarkEnd w:id="10"/>
      <w:r>
        <w:rPr>
          <w:lang w:val="en-US"/>
        </w:rPr>
        <w:t xml:space="preserve">”, 132 different action verbs of which 63 were used only once, and one definition labelled “Is”. </w:t>
      </w:r>
    </w:p>
    <w:p w14:paraId="2EE45EB1" w14:textId="77777777" w:rsidR="00235774" w:rsidRPr="00B930D9" w:rsidRDefault="004F770F">
      <w:pPr>
        <w:pStyle w:val="Heading1"/>
        <w:rPr>
          <w:color w:val="124F1A" w:themeColor="accent3" w:themeShade="BF"/>
        </w:rPr>
        <w:pageBreakBefore/>
      </w:pPr>
      <w:r>
        <w:rPr>
          <w:color w:val="124F1A" w:themeColor="accent3" w:themeShade="BF"/>
        </w:rPr>
        <w:t>Appendix A. Playbook for the next regulation</w:t>
      </w:r>
    </w:p>
    <w:p>
      <w:pPr>
        <w:spacing w:after="360"/>
      </w:pPr>
    </w:p>
    <w:p w14:paraId="40357529" w14:textId="77777777" w:rsidR="00235774" w:rsidRPr="00B930D9" w:rsidRDefault="004F770F">
      <w:pPr>
        <w:pStyle w:val="Heading1"/>
        <w:rPr>
          <w:color w:val="124F1A" w:themeColor="accent3" w:themeShade="BF"/>
        </w:rPr>
      </w:pPr>
      <w:r>
        <w:rPr>
          <w:color w:val="124F1A" w:themeColor="accent3" w:themeShade="BF"/>
        </w:rPr>
        <w:t>Appendix B. Proposed schema additions</w:t>
      </w:r>
    </w:p>
    <w:p>
      <w:pPr>
        <w:spacing w:after="360"/>
      </w:pPr>
    </w:p>
    <w:p w14:paraId="18D15AD4" w14:textId="77777777" w:rsidR="00235774" w:rsidRPr="00B930D9" w:rsidRDefault="004F770F">
      <w:pPr>
        <w:pStyle w:val="Heading1"/>
        <w:rPr>
          <w:color w:val="124F1A" w:themeColor="accent3" w:themeShade="BF"/>
        </w:rPr>
      </w:pPr>
      <w:r>
        <w:rPr>
          <w:color w:val="124F1A" w:themeColor="accent3" w:themeShade="BF"/>
        </w:rPr>
        <w:lastRenderedPageBreak/>
        <w:t>Appendix C. Register statistics and definitions</w:t>
      </w:r>
    </w:p>
    <w:p>
      <w:pPr>
        <w:spacing w:after="360"/>
      </w:pPr>
    </w:p>
    <w:p w14:paraId="192780AA" w14:textId="77777777" w:rsidR="00235774" w:rsidRDefault="004F770F">
      <w:pPr>
        <w:pStyle w:val="Heading1"/>
      </w:pPr>
      <w:r>
        <w:t>Appendix D. Technical detail on the tools</w:t>
      </w:r>
    </w:p>
    <w:p>
      <w:pPr>
        <w:spacing w:after="360"/>
      </w:pPr>
    </w:p>
    <w:p w14:paraId="131B7B1F" w14:textId="77777777" w:rsidR="00235774" w:rsidRDefault="004F770F">
      <w:pPr>
        <w:pStyle w:val="Heading1"/>
      </w:pPr>
      <w:r>
        <w:t>Appendix E. Links and setup</w:t>
      </w:r>
    </w:p>
    <w:p>
      <w:pPr>
        <w:spacing w:after="360"/>
      </w:pPr>
    </w:p>
    <w:p w14:paraId="131B7B1F" w14:textId="77777777" w:rsidR="00235774" w:rsidRDefault="004F770F">
      <w:pPr>
        <w:pStyle w:val="Heading1"/>
      </w:pPr>
      <w:r>
        <w:t>Appendix F. Smarter Compliance Workbench package</w:t>
      </w:r>
    </w:p>
    <w:p>
      <w:pPr>
        <w:keepNext/>
        <w:spacing w:after="360"/>
      </w:pPr>
      <w:r>
        <w:rPr>
          <w:color w:val="FF0000"/>
          <w:sz w:val="22"/>
        </w:rPr>
        <w:t>Appendix Package F - Smarter Compliance Workbench.zip</w:t>
      </w:r>
    </w:p>
    <w:p/>
    <w:p w14:paraId="131B7B1F" w14:textId="77777777" w:rsidR="00235774" w:rsidRDefault="004F770F">
      <w:pPr>
        <w:pStyle w:val="Heading1"/>
      </w:pPr>
      <w:r>
        <w:t>Appendix G. Depth-Controlled Cross-Validation package</w:t>
      </w:r>
    </w:p>
    <w:p>
      <w:pPr>
        <w:keepNext/>
        <w:spacing w:after="360"/>
      </w:pPr>
      <w:r>
        <w:rPr>
          <w:color w:val="FF0000"/>
          <w:sz w:val="22"/>
        </w:rPr>
        <w:t>Appendix Package G - Depth-Controlled Cross-Validation.zip</w:t>
      </w:r>
    </w:p>
    <w:p/>
    <w:p w14:paraId="131B7B1F" w14:textId="77777777" w:rsidR="00235774" w:rsidRDefault="004F770F">
      <w:pPr>
        <w:pStyle w:val="Heading1"/>
      </w:pPr>
      <w:r>
        <w:t>Appendix H. RRA Test Examples package</w:t>
      </w:r>
    </w:p>
    <w:p>
      <w:pPr>
        <w:keepNext/>
        <w:spacing w:after="360"/>
      </w:pPr>
      <w:r>
        <w:rPr>
          <w:color w:val="FF0000"/>
          <w:sz w:val="22"/>
        </w:rPr>
        <w:t>Appendix Package H - RRA Test Examples.zip</w:t>
      </w:r>
    </w:p>
    <w:p/>
    <w:sectPr w:rsidR="00235774">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81A00D" w14:textId="77777777" w:rsidR="00017808" w:rsidRDefault="00017808">
      <w:r>
        <w:separator/>
      </w:r>
    </w:p>
  </w:endnote>
  <w:endnote w:type="continuationSeparator" w:id="0">
    <w:p w14:paraId="59BCF87C" w14:textId="77777777" w:rsidR="00017808" w:rsidRDefault="000178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F08F70" w14:textId="77777777" w:rsidR="00235774" w:rsidRDefault="004F770F">
    <w:pPr>
      <w:jc w:val="right"/>
    </w:pPr>
    <w:r>
      <w:rPr>
        <w:color w:val="4A6670"/>
        <w:sz w:val="18"/>
        <w:szCs w:val="18"/>
      </w:rPr>
      <w:fldChar w:fldCharType="begin"/>
    </w:r>
    <w:r>
      <w:rPr>
        <w:color w:val="4A6670"/>
        <w:sz w:val="18"/>
        <w:szCs w:val="18"/>
      </w:rPr>
      <w:instrText>PAGE</w:instrText>
    </w:r>
    <w:r>
      <w:rPr>
        <w:color w:val="4A6670"/>
        <w:sz w:val="18"/>
        <w:szCs w:val="18"/>
      </w:rPr>
      <w:fldChar w:fldCharType="separate"/>
    </w:r>
    <w:r w:rsidR="00B930D9">
      <w:rPr>
        <w:noProof/>
        <w:color w:val="4A6670"/>
        <w:sz w:val="18"/>
        <w:szCs w:val="18"/>
      </w:rPr>
      <w:t>1</w:t>
    </w:r>
    <w:r>
      <w:rPr>
        <w:color w:val="4A667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FD9E79" w14:textId="77777777" w:rsidR="00017808" w:rsidRDefault="00017808">
      <w:r>
        <w:separator/>
      </w:r>
    </w:p>
  </w:footnote>
  <w:footnote w:type="continuationSeparator" w:id="0">
    <w:p w14:paraId="48AA0C7E" w14:textId="77777777" w:rsidR="00017808" w:rsidRDefault="00017808">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byn0QfYgdigSn" int2:id="8td2JlE0">
      <int2:state int2:value="Rejected" int2:type="spell"/>
    </int2:textHash>
    <int2:textHash int2:hashCode="HwRzvQhtZtrL6E" int2:id="OTQauhkg">
      <int2:state int2:value="Rejected" int2:type="spell"/>
    </int2:textHash>
    <int2:bookmark int2:bookmarkName="_Int_laflMEop" int2:invalidationBookmarkName="" int2:hashCode="aJEbnAIbafiZ8P" int2:id="IoQXssmS">
      <int2:state int2:value="Rejected" int2:type="style"/>
    </int2:bookmark>
    <int2:bookmark int2:bookmarkName="_Int_8hzijqGA" int2:invalidationBookmarkName="" int2:hashCode="bHm+ZmmVYPkxLX" int2:id="o2reIAtx">
      <int2:state int2:value="Rejected" int2:type="gram"/>
    </int2:bookmark>
    <int2:bookmark int2:bookmarkName="_Int_LQXnGr33" int2:invalidationBookmarkName="" int2:hashCode="HenVX2cHOZdH1r" int2:id="550FLXB3">
      <int2:state int2:value="Rejected" int2:type="gram"/>
    </int2:bookmark>
    <int2:bookmark int2:bookmarkName="_Int_9ovJwkHK" int2:invalidationBookmarkName="" int2:hashCode="+chB3VIwyduNti" int2:id="MFFNwJo3">
      <int2:state int2:value="Rejected" int2:type="gram"/>
    </int2:bookmark>
    <int2:bookmark int2:bookmarkName="_Int_8fmyjpkd" int2:invalidationBookmarkName="" int2:hashCode="9XnFI5YK8a7IJM" int2:id="PjeCzYeU">
      <int2:state int2:value="Rejected" int2:type="spell"/>
    </int2:bookmark>
    <int2:bookmark int2:bookmarkName="_Int_Sk5kwb39" int2:invalidationBookmarkName="" int2:hashCode="A5tHy8nAIXtfIo" int2:id="qfB959x4">
      <int2:state int2:value="Rejected" int2:type="gram"/>
    </int2:bookmark>
    <int2:bookmark int2:bookmarkName="_Int_2QkUscs1" int2:invalidationBookmarkName="" int2:hashCode="Po+PhADj52wpgF" int2:id="JqDaE6Rz">
      <int2:state int2:value="Rejected" int2:type="gram"/>
    </int2:bookmark>
    <int2:bookmark int2:bookmarkName="_Int_GQta2LkK" int2:invalidationBookmarkName="" int2:hashCode="kPm2n8v485CsTV" int2:id="0d0awh92">
      <int2:state int2:value="Rejected" int2:type="gram"/>
    </int2:bookmark>
    <int2:bookmark int2:bookmarkName="_Int_YUo9mbdW" int2:invalidationBookmarkName="" int2:hashCode="ni3e9XhIqZaGR+" int2:id="L0OMYWel">
      <int2:state int2:value="Rejected" int2:type="gram"/>
    </int2:bookmark>
    <int2:bookmark int2:bookmarkName="_Int_CzAx3L8T" int2:invalidationBookmarkName="" int2:hashCode="YeYrIToaVvdpWE" int2:id="IIwYAIYL">
      <int2:state int2:value="Rejected" int2:type="gram"/>
    </int2:bookmark>
    <int2:bookmark int2:bookmarkName="_Int_J6MeVvOn" int2:invalidationBookmarkName="" int2:hashCode="5f5iLBx/gva6Op" int2:id="DI7WUd79">
      <int2:state int2:value="Rejected" int2:type="gram"/>
    </int2:bookmark>
    <int2:bookmark int2:bookmarkName="_Int_6koKl6jv" int2:invalidationBookmarkName="" int2:hashCode="2SaJYtXmf3T2zG" int2:id="Kd18a8D0">
      <int2:state int2:value="Rejected" int2:type="gram"/>
    </int2:bookmark>
    <int2:bookmark int2:bookmarkName="_Int_EnT2FPsr" int2:invalidationBookmarkName="" int2:hashCode="VX8lVRZxnqFvj0" int2:id="tqdmGftR">
      <int2:state int2:value="Rejected" int2:type="gram"/>
    </int2:bookmark>
    <int2:bookmark int2:bookmarkName="_Int_u8xTdqrV" int2:invalidationBookmarkName="" int2:hashCode="PS8dovKZk21Att" int2:id="UibA3j1P">
      <int2:state int2:value="Rejected" int2:type="gram"/>
    </int2:bookmark>
    <int2:bookmark int2:bookmarkName="_Int_9qzfueyl" int2:invalidationBookmarkName="" int2:hashCode="5f2c/g6AOREdVL" int2:id="1JrL8pPV">
      <int2:state int2:value="Rejected" int2:type="gram"/>
    </int2:bookmark>
    <int2:bookmark int2:bookmarkName="_Int_ABgaBBUW" int2:invalidationBookmarkName="" int2:hashCode="Qq7xccHArMru44" int2:id="K70lYKLn">
      <int2:state int2:value="Rejected" int2:type="gram"/>
    </int2:bookmark>
    <int2:bookmark int2:bookmarkName="_Int_1ciHSTfn" int2:invalidationBookmarkName="" int2:hashCode="jWgs/3XOKnVIn1" int2:id="WLBtnPL8">
      <int2:state int2:value="Rejected" int2:type="gram"/>
    </int2:bookmark>
    <int2:bookmark int2:bookmarkName="_Int_kiYIAiWy" int2:invalidationBookmarkName="" int2:hashCode="LoRlWl/JuuweaG" int2:id="F9MQDoY3">
      <int2:state int2:value="Rejected" int2:type="gram"/>
    </int2:bookmark>
    <int2:bookmark int2:bookmarkName="_Int_aWtcPVTP" int2:invalidationBookmarkName="" int2:hashCode="2isSiADU4Sne92" int2:id="yPixVcxM">
      <int2:state int2:value="Rejected" int2:type="gram"/>
    </int2:bookmark>
    <int2:bookmark int2:bookmarkName="_Int_TxqxNj1e" int2:invalidationBookmarkName="" int2:hashCode="gOELLbSmiKwVKE" int2:id="vwqpJtXD">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13135E8"/>
    <w:multiLevelType w:val="hybridMultilevel"/>
    <w:tmpl w:val="74F0A11C"/>
    <w:lvl w:ilvl="0" w:tplc="36688066">
      <w:start w:val="1"/>
      <w:numFmt w:val="bullet"/>
      <w:lvlText w:val="●"/>
      <w:lvlJc w:val="left"/>
      <w:pPr>
        <w:ind w:left="720" w:hanging="360"/>
      </w:pPr>
    </w:lvl>
    <w:lvl w:ilvl="1" w:tplc="60948548">
      <w:start w:val="1"/>
      <w:numFmt w:val="bullet"/>
      <w:lvlText w:val="○"/>
      <w:lvlJc w:val="left"/>
      <w:pPr>
        <w:ind w:left="1440" w:hanging="360"/>
      </w:pPr>
    </w:lvl>
    <w:lvl w:ilvl="2" w:tplc="B92E9DC6">
      <w:start w:val="1"/>
      <w:numFmt w:val="bullet"/>
      <w:lvlText w:val="■"/>
      <w:lvlJc w:val="left"/>
      <w:pPr>
        <w:ind w:left="2160" w:hanging="360"/>
      </w:pPr>
    </w:lvl>
    <w:lvl w:ilvl="3" w:tplc="27F8C764">
      <w:start w:val="1"/>
      <w:numFmt w:val="bullet"/>
      <w:lvlText w:val="●"/>
      <w:lvlJc w:val="left"/>
      <w:pPr>
        <w:ind w:left="2880" w:hanging="360"/>
      </w:pPr>
    </w:lvl>
    <w:lvl w:ilvl="4" w:tplc="E68AE1CE">
      <w:start w:val="1"/>
      <w:numFmt w:val="bullet"/>
      <w:lvlText w:val="○"/>
      <w:lvlJc w:val="left"/>
      <w:pPr>
        <w:ind w:left="3600" w:hanging="360"/>
      </w:pPr>
    </w:lvl>
    <w:lvl w:ilvl="5" w:tplc="2D00ABE8">
      <w:start w:val="1"/>
      <w:numFmt w:val="bullet"/>
      <w:lvlText w:val="■"/>
      <w:lvlJc w:val="left"/>
      <w:pPr>
        <w:ind w:left="4320" w:hanging="360"/>
      </w:pPr>
    </w:lvl>
    <w:lvl w:ilvl="6" w:tplc="6726958C">
      <w:start w:val="1"/>
      <w:numFmt w:val="bullet"/>
      <w:lvlText w:val="●"/>
      <w:lvlJc w:val="left"/>
      <w:pPr>
        <w:ind w:left="5040" w:hanging="360"/>
      </w:pPr>
    </w:lvl>
    <w:lvl w:ilvl="7" w:tplc="99689B9C">
      <w:start w:val="1"/>
      <w:numFmt w:val="bullet"/>
      <w:lvlText w:val="●"/>
      <w:lvlJc w:val="left"/>
      <w:pPr>
        <w:ind w:left="5760" w:hanging="360"/>
      </w:pPr>
    </w:lvl>
    <w:lvl w:ilvl="8" w:tplc="41082C9C">
      <w:start w:val="1"/>
      <w:numFmt w:val="bullet"/>
      <w:lvlText w:val="●"/>
      <w:lvlJc w:val="left"/>
      <w:pPr>
        <w:ind w:left="6480" w:hanging="360"/>
      </w:pPr>
    </w:lvl>
  </w:abstractNum>
  <w:abstractNum w:abstractNumId="1" w15:restartNumberingAfterBreak="0">
    <w:nsid w:val="444417A4"/>
    <w:multiLevelType w:val="hybridMultilevel"/>
    <w:tmpl w:val="4FC844B6"/>
    <w:lvl w:ilvl="0" w:tplc="8E46AC84">
      <w:start w:val="1"/>
      <w:numFmt w:val="bullet"/>
      <w:lvlText w:val="•"/>
      <w:lvlJc w:val="left"/>
      <w:pPr>
        <w:ind w:left="720" w:hanging="360"/>
      </w:pPr>
    </w:lvl>
    <w:lvl w:ilvl="1" w:tplc="C70828A8">
      <w:numFmt w:val="decimal"/>
      <w:lvlText w:val=""/>
      <w:lvlJc w:val="left"/>
    </w:lvl>
    <w:lvl w:ilvl="2" w:tplc="086EDCA0">
      <w:numFmt w:val="decimal"/>
      <w:lvlText w:val=""/>
      <w:lvlJc w:val="left"/>
    </w:lvl>
    <w:lvl w:ilvl="3" w:tplc="698EE734">
      <w:numFmt w:val="decimal"/>
      <w:lvlText w:val=""/>
      <w:lvlJc w:val="left"/>
    </w:lvl>
    <w:lvl w:ilvl="4" w:tplc="4F54B16C">
      <w:numFmt w:val="decimal"/>
      <w:lvlText w:val=""/>
      <w:lvlJc w:val="left"/>
    </w:lvl>
    <w:lvl w:ilvl="5" w:tplc="18E6B8EC">
      <w:numFmt w:val="decimal"/>
      <w:lvlText w:val=""/>
      <w:lvlJc w:val="left"/>
    </w:lvl>
    <w:lvl w:ilvl="6" w:tplc="DEC4912C">
      <w:numFmt w:val="decimal"/>
      <w:lvlText w:val=""/>
      <w:lvlJc w:val="left"/>
    </w:lvl>
    <w:lvl w:ilvl="7" w:tplc="C3202B6E">
      <w:numFmt w:val="decimal"/>
      <w:lvlText w:val=""/>
      <w:lvlJc w:val="left"/>
    </w:lvl>
    <w:lvl w:ilvl="8" w:tplc="6BE0063C">
      <w:numFmt w:val="decimal"/>
      <w:lvlText w:val=""/>
      <w:lvlJc w:val="left"/>
    </w:lvl>
  </w:abstractNum>
  <w:abstractNum w:abstractNumId="2" w15:restartNumberingAfterBreak="0">
    <w:nsid w:val="773F0AF3"/>
    <w:multiLevelType w:val="hybridMultilevel"/>
    <w:tmpl w:val="85383E64"/>
    <w:lvl w:ilvl="0" w:tplc="FD229B2E">
      <w:start w:val="1"/>
      <w:numFmt w:val="decimal"/>
      <w:lvlText w:val="%1."/>
      <w:lvlJc w:val="left"/>
      <w:pPr>
        <w:ind w:left="720" w:hanging="360"/>
      </w:pPr>
    </w:lvl>
    <w:lvl w:ilvl="1" w:tplc="C724375A">
      <w:numFmt w:val="decimal"/>
      <w:lvlText w:val=""/>
      <w:lvlJc w:val="left"/>
    </w:lvl>
    <w:lvl w:ilvl="2" w:tplc="FE187BA0">
      <w:numFmt w:val="decimal"/>
      <w:lvlText w:val=""/>
      <w:lvlJc w:val="left"/>
    </w:lvl>
    <w:lvl w:ilvl="3" w:tplc="40AEA9C6">
      <w:numFmt w:val="decimal"/>
      <w:lvlText w:val=""/>
      <w:lvlJc w:val="left"/>
    </w:lvl>
    <w:lvl w:ilvl="4" w:tplc="AC106124">
      <w:numFmt w:val="decimal"/>
      <w:lvlText w:val=""/>
      <w:lvlJc w:val="left"/>
    </w:lvl>
    <w:lvl w:ilvl="5" w:tplc="0998720C">
      <w:numFmt w:val="decimal"/>
      <w:lvlText w:val=""/>
      <w:lvlJc w:val="left"/>
    </w:lvl>
    <w:lvl w:ilvl="6" w:tplc="9BEE813A">
      <w:numFmt w:val="decimal"/>
      <w:lvlText w:val=""/>
      <w:lvlJc w:val="left"/>
    </w:lvl>
    <w:lvl w:ilvl="7" w:tplc="2DE64286">
      <w:numFmt w:val="decimal"/>
      <w:lvlText w:val=""/>
      <w:lvlJc w:val="left"/>
    </w:lvl>
    <w:lvl w:ilvl="8" w:tplc="87A2CF70">
      <w:numFmt w:val="decimal"/>
      <w:lvlText w:val=""/>
      <w:lvlJc w:val="left"/>
    </w:lvl>
  </w:abstractNum>
  <w:num w:numId="1" w16cid:durableId="1705397222">
    <w:abstractNumId w:val="0"/>
    <w:lvlOverride w:ilvl="0">
      <w:startOverride w:val="1"/>
    </w:lvlOverride>
  </w:num>
  <w:num w:numId="2" w16cid:durableId="1571843721">
    <w:abstractNumId w:val="1"/>
    <w:lvlOverride w:ilvl="0">
      <w:startOverride w:val="1"/>
    </w:lvlOverride>
  </w:num>
  <w:num w:numId="3" w16cid:durableId="2021227454">
    <w:abstractNumId w:val="2"/>
    <w:lvlOverride w:ilvl="0">
      <w:startOverride w:val="1"/>
    </w:lvlOverride>
  </w:num>
  <w:num w:numId="4" w16cid:durableId="2013601969">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774"/>
    <w:rsid w:val="00017808"/>
    <w:rsid w:val="00235774"/>
    <w:rsid w:val="002E31A9"/>
    <w:rsid w:val="0030078A"/>
    <w:rsid w:val="004F770F"/>
    <w:rsid w:val="00866100"/>
    <w:rsid w:val="00B1403D"/>
    <w:rsid w:val="00B930D9"/>
    <w:rsid w:val="00C47A74"/>
    <w:rsid w:val="00FE266B"/>
    <w:rsid w:val="0288A9E5"/>
    <w:rsid w:val="0329BA7E"/>
    <w:rsid w:val="03CC0D3E"/>
    <w:rsid w:val="04D6F56E"/>
    <w:rsid w:val="05C2A7B7"/>
    <w:rsid w:val="086A48E6"/>
    <w:rsid w:val="08E2AD54"/>
    <w:rsid w:val="0B890A76"/>
    <w:rsid w:val="0D85D4B7"/>
    <w:rsid w:val="0F0BB8EE"/>
    <w:rsid w:val="0F24DF06"/>
    <w:rsid w:val="0F7E33EB"/>
    <w:rsid w:val="0FF05E9C"/>
    <w:rsid w:val="124A4D27"/>
    <w:rsid w:val="12F299E9"/>
    <w:rsid w:val="160FEA26"/>
    <w:rsid w:val="18B022DB"/>
    <w:rsid w:val="1A81DE61"/>
    <w:rsid w:val="1ACF1FAB"/>
    <w:rsid w:val="1C61ED01"/>
    <w:rsid w:val="1D2DE378"/>
    <w:rsid w:val="2040ADD8"/>
    <w:rsid w:val="212A63B1"/>
    <w:rsid w:val="2221A85D"/>
    <w:rsid w:val="236CA17B"/>
    <w:rsid w:val="25735991"/>
    <w:rsid w:val="27533656"/>
    <w:rsid w:val="28ABD745"/>
    <w:rsid w:val="294B4724"/>
    <w:rsid w:val="2980DEE9"/>
    <w:rsid w:val="2A1F5A42"/>
    <w:rsid w:val="2A2746BF"/>
    <w:rsid w:val="2A278D51"/>
    <w:rsid w:val="2B1716F4"/>
    <w:rsid w:val="2EE240A3"/>
    <w:rsid w:val="315E3887"/>
    <w:rsid w:val="33C1B3C3"/>
    <w:rsid w:val="34DCFEF3"/>
    <w:rsid w:val="38699FA7"/>
    <w:rsid w:val="38EF5118"/>
    <w:rsid w:val="39734CC5"/>
    <w:rsid w:val="3A3B8D5C"/>
    <w:rsid w:val="3C0A6F4B"/>
    <w:rsid w:val="3C0F8074"/>
    <w:rsid w:val="3CD0166D"/>
    <w:rsid w:val="40246945"/>
    <w:rsid w:val="418E39FE"/>
    <w:rsid w:val="437442D7"/>
    <w:rsid w:val="44D69CB3"/>
    <w:rsid w:val="46809CE5"/>
    <w:rsid w:val="471AEF76"/>
    <w:rsid w:val="47F7F65A"/>
    <w:rsid w:val="4830DA96"/>
    <w:rsid w:val="48342077"/>
    <w:rsid w:val="483D7028"/>
    <w:rsid w:val="4A403A21"/>
    <w:rsid w:val="4AC2ECD6"/>
    <w:rsid w:val="4B6656A1"/>
    <w:rsid w:val="4BBE26D7"/>
    <w:rsid w:val="4D3A14FC"/>
    <w:rsid w:val="4E326755"/>
    <w:rsid w:val="4E4F128D"/>
    <w:rsid w:val="4E65E054"/>
    <w:rsid w:val="4E81DF99"/>
    <w:rsid w:val="4F12CAF7"/>
    <w:rsid w:val="519A450E"/>
    <w:rsid w:val="521D1FD3"/>
    <w:rsid w:val="529B7753"/>
    <w:rsid w:val="55C312A1"/>
    <w:rsid w:val="588A018B"/>
    <w:rsid w:val="5D0149BD"/>
    <w:rsid w:val="5DB9C05C"/>
    <w:rsid w:val="5EA93A10"/>
    <w:rsid w:val="5F782381"/>
    <w:rsid w:val="6013AB08"/>
    <w:rsid w:val="60403B71"/>
    <w:rsid w:val="6755EDC3"/>
    <w:rsid w:val="675FB578"/>
    <w:rsid w:val="695D8DDA"/>
    <w:rsid w:val="6A0A777A"/>
    <w:rsid w:val="6EBC8AB0"/>
    <w:rsid w:val="6F46BAB1"/>
    <w:rsid w:val="6F5A1251"/>
    <w:rsid w:val="7078A9B1"/>
    <w:rsid w:val="713FA5E1"/>
    <w:rsid w:val="71F311C6"/>
    <w:rsid w:val="738F3AB7"/>
    <w:rsid w:val="749CC301"/>
    <w:rsid w:val="75ADAF55"/>
    <w:rsid w:val="7670FCDB"/>
    <w:rsid w:val="77E33249"/>
    <w:rsid w:val="7B53CB5B"/>
    <w:rsid w:val="7C974E8A"/>
    <w:rsid w:val="7D4AA091"/>
    <w:rsid w:val="7D612D80"/>
    <w:rsid w:val="7E691701"/>
    <w:rsid w:val="7EB4D1BB"/>
    <w:rsid w:val="7F13AC22"/>
    <w:rsid w:val="7F171BD5"/>
    <w:rsid w:val="7F26B758"/>
  </w:rsids>
  <m:mathPr>
    <m:mathFont m:val="Cambria Math"/>
    <m:brkBin m:val="before"/>
    <m:brkBinSub m:val="--"/>
    <m:smallFrac m:val="0"/>
    <m:dispDef/>
    <m:lMargin m:val="0"/>
    <m:rMargin m:val="0"/>
    <m:defJc m:val="centerGroup"/>
    <m:wrapIndent m:val="1440"/>
    <m:intLim m:val="subSup"/>
    <m:naryLim m:val="undOvr"/>
  </m:mathPr>
  <w:themeFontLang w:val="en-NO"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A774D4E"/>
  <w15:docId w15:val="{3579E769-9959-5A4C-8F0E-63CB0AD03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n-N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0F3A4A"/>
      <w:sz w:val="28"/>
      <w:szCs w:val="28"/>
    </w:rPr>
  </w:style>
  <w:style w:type="paragraph" w:styleId="Heading2">
    <w:name w:val="heading 2"/>
    <w:uiPriority w:val="9"/>
    <w:unhideWhenUsed/>
    <w:qFormat/>
    <w:pPr>
      <w:keepNext/>
      <w:spacing w:before="240" w:after="120"/>
      <w:outlineLvl w:val="1"/>
    </w:pPr>
    <w:rPr>
      <w:b/>
      <w:bCs/>
      <w:color w:val="1F5566"/>
      <w:sz w:val="24"/>
      <w:szCs w:val="24"/>
    </w:rPr>
  </w:style>
  <w:style w:type="paragraph" w:styleId="Heading3">
    <w:name w:val="heading 3"/>
    <w:uiPriority w:val="9"/>
    <w:unhideWhenUsed/>
    <w:qFormat/>
    <w:pPr>
      <w:keepNext/>
      <w:spacing w:before="200" w:after="100"/>
      <w:outlineLvl w:val="2"/>
    </w:pPr>
    <w:rPr>
      <w:b/>
      <w:bCs/>
      <w:color w:val="1F556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insight.dnv.com/EnvironmentalRiskManagement/entity/597/report/7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8141450-2387-4aca-b41f-19cd6be9dd3c}" enabled="1" method="Privileged" siteId="{adf10e2b-b6e9-41d6-be2f-c12bb566019c}"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19</Pages>
  <Words>7452</Words>
  <Characters>42483</Characters>
  <Application>Microsoft Office Word</Application>
  <DocSecurity>0</DocSecurity>
  <Lines>354</Lines>
  <Paragraphs>99</Paragraphs>
  <ScaleCrop>false</ScaleCrop>
  <Company/>
  <LinksUpToDate>false</LinksUpToDate>
  <CharactersWithSpaces>49836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 Jokic, Ana</cp:lastModifiedBy>
  <cp:revision>6</cp:revision>
  <dcterms:created xsi:type="dcterms:W3CDTF">2026-10-05T18:23:00Z</dcterms:created>
  <dcterms:modified xsi:type="dcterms:W3CDTF">2026-10-06T18:33:00Z</dcterms:modified>
</cp:coreProperties>
</file>