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6132" w14:textId="77777777" w:rsidR="00E00732" w:rsidRPr="00E00732" w:rsidRDefault="00E00732" w:rsidP="00E00732">
      <w:pPr>
        <w:pStyle w:val="Heading1"/>
        <w:rPr>
          <w:rFonts w:ascii="Arial" w:hAnsi="Arial" w:cs="Arial"/>
        </w:rPr>
      </w:pPr>
      <w:r w:rsidRPr="00E00732">
        <w:rPr>
          <w:rFonts w:ascii="Arial" w:hAnsi="Arial" w:cs="Arial"/>
        </w:rPr>
        <w:t>Smarter Compliance 2030 Vision and Position Document</w:t>
      </w:r>
    </w:p>
    <w:p w14:paraId="4B598185" w14:textId="77777777" w:rsidR="00E00732" w:rsidRPr="00E00732" w:rsidRDefault="00E00732" w:rsidP="00E00732">
      <w:pPr>
        <w:pStyle w:val="Heading2"/>
        <w:rPr>
          <w:rFonts w:ascii="Arial" w:hAnsi="Arial" w:cs="Arial"/>
        </w:rPr>
      </w:pPr>
      <w:r w:rsidRPr="00E00732">
        <w:rPr>
          <w:rFonts w:ascii="Arial" w:hAnsi="Arial" w:cs="Arial"/>
        </w:rPr>
        <w:t>One Sentence</w:t>
      </w:r>
    </w:p>
    <w:p w14:paraId="43CABAA9" w14:textId="77777777" w:rsidR="00E00732" w:rsidRPr="00E00732" w:rsidRDefault="00E00732" w:rsidP="00E00732">
      <w:pPr>
        <w:pStyle w:val="Heading2"/>
        <w:rPr>
          <w:rFonts w:ascii="Arial" w:eastAsiaTheme="minorEastAsia" w:hAnsi="Arial" w:cs="Arial"/>
          <w:b/>
          <w:bCs/>
          <w:color w:val="auto"/>
          <w:sz w:val="22"/>
          <w:szCs w:val="22"/>
        </w:rPr>
      </w:pPr>
      <w:r w:rsidRPr="00E00732">
        <w:rPr>
          <w:rFonts w:ascii="Arial" w:eastAsiaTheme="minorEastAsia" w:hAnsi="Arial" w:cs="Arial"/>
          <w:b/>
          <w:bCs/>
          <w:color w:val="auto"/>
          <w:sz w:val="22"/>
          <w:szCs w:val="22"/>
        </w:rPr>
        <w:t>Smarter Compliance transforms DNV’s deep domain expertise in requirements into real-time operational intelligence, enabling continuous control of risk, quality and performance across the aquaculture industry.</w:t>
      </w:r>
    </w:p>
    <w:p w14:paraId="5367BC16" w14:textId="77777777" w:rsidR="00E00732" w:rsidRPr="00E00732" w:rsidRDefault="00E00732" w:rsidP="00E00732">
      <w:pPr>
        <w:pStyle w:val="Heading2"/>
        <w:rPr>
          <w:rFonts w:ascii="Arial" w:hAnsi="Arial" w:cs="Arial"/>
        </w:rPr>
      </w:pPr>
      <w:r w:rsidRPr="00E00732">
        <w:rPr>
          <w:rFonts w:ascii="Arial" w:hAnsi="Arial" w:cs="Arial"/>
        </w:rPr>
        <w:t xml:space="preserve">Executive Summary </w:t>
      </w:r>
    </w:p>
    <w:p w14:paraId="4DA777E6" w14:textId="77777777" w:rsidR="00E00732" w:rsidRPr="00E00732" w:rsidRDefault="00E00732" w:rsidP="00E00732">
      <w:pPr>
        <w:rPr>
          <w:rFonts w:ascii="Arial" w:hAnsi="Arial" w:cs="Arial"/>
          <w:lang w:val="nb-NO"/>
        </w:rPr>
      </w:pPr>
      <w:r w:rsidRPr="00E00732">
        <w:rPr>
          <w:rFonts w:ascii="Arial" w:hAnsi="Arial" w:cs="Arial"/>
        </w:rPr>
        <w:t xml:space="preserve">The aquaculture industry in Norway is undergoing a fundamental shift, and we see similar trends in other countries. The industry is becoming more complex, driven by new engineering-intensive farming concepts, increasing regulation, and digitalization. At the same time, new regulatory directions such as "Havbruksmeldingen" and the proposed new "Akvastyringsforskrift" point to a different way of regulating the industry: less focus on production volume alone, and more focus on actual performance and impact. This means that licenses to operate increasingly depend on the ability to continuously understand, control, and document actual environmental and biological impact directly to regulators across farm technology, environment, and fish health. In addition, the industry is moving towards remote and autonomous inspections in 2032. </w:t>
      </w:r>
      <w:r w:rsidRPr="00E00732">
        <w:rPr>
          <w:rFonts w:ascii="Arial" w:hAnsi="Arial" w:cs="Arial"/>
          <w:lang w:val="nb-NO"/>
        </w:rPr>
        <w:t>The industry is maturing at high speed, and we need to stay ahead of the curve as the regulatory framework shapes up.</w:t>
      </w:r>
    </w:p>
    <w:p w14:paraId="2CAF9F94" w14:textId="77777777" w:rsidR="00E00732" w:rsidRPr="00E00732" w:rsidRDefault="00E00732" w:rsidP="00E00732">
      <w:pPr>
        <w:rPr>
          <w:rFonts w:ascii="Arial" w:hAnsi="Arial" w:cs="Arial"/>
          <w:lang w:val="nb-NO"/>
        </w:rPr>
      </w:pPr>
      <w:r w:rsidRPr="00E00732">
        <w:rPr>
          <w:rFonts w:ascii="Arial" w:hAnsi="Arial" w:cs="Arial"/>
          <w:lang w:val="nb-NO"/>
        </w:rPr>
        <w:t>As a result, companies are expected not only to manage a growing and interconnected set of requirements, but also to apply them consistently in practice and demonstrate control as part of daily operations. This is where the problem for fish farmers emerges. Requirements today are managed through a mix of fragmented data, documents, and manual processes that do not scale with this level of complexity. At the same time, large amounts of data are collected across systems and actors, but without a clear link to requirements. Requirements can be global, national, local or company specific, and are linked to both risks and performance as they define what is considered good or acceptable. However, requirements are often hidden in documents, difficult to interpret, and disconnected from operational data. As a result, companies struggle to consistently evaluate performance, manage risk, and demonstrate control in practice.</w:t>
      </w:r>
    </w:p>
    <w:p w14:paraId="6889AF41" w14:textId="77777777" w:rsidR="00E00732" w:rsidRPr="00E00732" w:rsidRDefault="00E00732" w:rsidP="00E00732">
      <w:pPr>
        <w:rPr>
          <w:rFonts w:ascii="Arial" w:hAnsi="Arial" w:cs="Arial"/>
          <w:lang w:val="nb-NO"/>
        </w:rPr>
      </w:pPr>
      <w:r w:rsidRPr="00E00732">
        <w:rPr>
          <w:rFonts w:ascii="Arial" w:hAnsi="Arial" w:cs="Arial"/>
          <w:lang w:val="nb-NO"/>
        </w:rPr>
        <w:t>Under the new regulatory direction, this gap becomes more critical. A system based on actual impact requires continuous understanding, monitoring, and improvement of operations, and the ability to document this properly. Without a clear link between requirements, data, and operations, companies risk being unable to demonstrate control in a consistent and trustworthy way. The consequence is not only increased operational risk, but also reduced ability to gain approvals, unlock growth, and create predictability for investment.</w:t>
      </w:r>
    </w:p>
    <w:p w14:paraId="05153D30" w14:textId="77777777" w:rsidR="00E00732" w:rsidRPr="00E00732" w:rsidRDefault="00E00732" w:rsidP="00E00732">
      <w:pPr>
        <w:rPr>
          <w:rFonts w:ascii="Arial" w:hAnsi="Arial" w:cs="Arial"/>
          <w:lang w:val="nb-NO"/>
        </w:rPr>
      </w:pPr>
      <w:r w:rsidRPr="00E00732">
        <w:rPr>
          <w:rFonts w:ascii="Arial" w:hAnsi="Arial" w:cs="Arial"/>
          <w:lang w:val="nb-NO"/>
        </w:rPr>
        <w:t>Smarter Compliance addresses this gap by turning requirements into structured, machine-readable models and embedding them directly into daily operations, creating the missing link between data and what “good” looks like in practice. In doing so, DNV’s domain knowledge becomes scalable and operational, turning our core expertise in industry-specific requirements into a competitive advantage. Requirements can be applied consistently at scale in operations, rather than being verified periodically.</w:t>
      </w:r>
    </w:p>
    <w:p w14:paraId="1AD9157C" w14:textId="77777777" w:rsidR="00E00732" w:rsidRPr="00E00732" w:rsidRDefault="00E00732" w:rsidP="00E00732">
      <w:pPr>
        <w:rPr>
          <w:rFonts w:ascii="Arial" w:hAnsi="Arial" w:cs="Arial"/>
          <w:lang w:val="nb-NO"/>
        </w:rPr>
      </w:pPr>
      <w:r w:rsidRPr="00E00732">
        <w:rPr>
          <w:rFonts w:ascii="Arial" w:hAnsi="Arial" w:cs="Arial"/>
          <w:lang w:val="nb-NO"/>
        </w:rPr>
        <w:t>This marks a fundamental shift:</w:t>
      </w:r>
    </w:p>
    <w:p w14:paraId="1519EE9F" w14:textId="77777777" w:rsidR="00E00732" w:rsidRPr="00E00732" w:rsidRDefault="00E00732" w:rsidP="00E00732">
      <w:pPr>
        <w:pStyle w:val="ListParagraph"/>
        <w:numPr>
          <w:ilvl w:val="0"/>
          <w:numId w:val="1"/>
        </w:numPr>
        <w:rPr>
          <w:rFonts w:ascii="Arial" w:hAnsi="Arial" w:cs="Arial"/>
          <w:lang w:val="nb-NO"/>
        </w:rPr>
      </w:pPr>
      <w:r w:rsidRPr="00E00732">
        <w:rPr>
          <w:rFonts w:ascii="Arial" w:hAnsi="Arial" w:cs="Arial"/>
          <w:lang w:val="nb-NO"/>
        </w:rPr>
        <w:t>We shift from document-based, manual compliance checking to system-driven, embedded assurance</w:t>
      </w:r>
    </w:p>
    <w:p w14:paraId="1EE4028F" w14:textId="77777777" w:rsidR="00E00732" w:rsidRPr="00E00732" w:rsidRDefault="00E00732" w:rsidP="00E00732">
      <w:pPr>
        <w:pStyle w:val="ListParagraph"/>
        <w:numPr>
          <w:ilvl w:val="0"/>
          <w:numId w:val="1"/>
        </w:numPr>
        <w:rPr>
          <w:rFonts w:ascii="Arial" w:hAnsi="Arial" w:cs="Arial"/>
          <w:lang w:val="nb-NO"/>
        </w:rPr>
      </w:pPr>
      <w:r w:rsidRPr="00E00732">
        <w:rPr>
          <w:rFonts w:ascii="Arial" w:hAnsi="Arial" w:cs="Arial"/>
          <w:lang w:val="nb-NO"/>
        </w:rPr>
        <w:t>We move from periodic checks to continuous monitoring of risk, quality, and performance across farm technology, environment, and fish health</w:t>
      </w:r>
    </w:p>
    <w:p w14:paraId="2C42F5A7" w14:textId="77777777" w:rsidR="00E00732" w:rsidRPr="00E00732" w:rsidRDefault="00E00732" w:rsidP="00E00732">
      <w:pPr>
        <w:pStyle w:val="ListParagraph"/>
        <w:numPr>
          <w:ilvl w:val="0"/>
          <w:numId w:val="1"/>
        </w:numPr>
        <w:rPr>
          <w:rFonts w:ascii="Arial" w:hAnsi="Arial" w:cs="Arial"/>
          <w:lang w:val="nb-NO"/>
        </w:rPr>
      </w:pPr>
      <w:r w:rsidRPr="00E00732">
        <w:rPr>
          <w:rFonts w:ascii="Arial" w:hAnsi="Arial" w:cs="Arial"/>
          <w:lang w:val="nb-NO"/>
        </w:rPr>
        <w:t>We go from expert-dependent interpretation to scalable knowledge models which incorporate expert domain knowledge</w:t>
      </w:r>
    </w:p>
    <w:p w14:paraId="1FD6C902" w14:textId="77777777" w:rsidR="00E00732" w:rsidRPr="00E00732" w:rsidRDefault="00E00732" w:rsidP="00E00732">
      <w:pPr>
        <w:pStyle w:val="ListParagraph"/>
        <w:numPr>
          <w:ilvl w:val="0"/>
          <w:numId w:val="1"/>
        </w:numPr>
        <w:rPr>
          <w:rFonts w:ascii="Arial" w:hAnsi="Arial" w:cs="Arial"/>
          <w:lang w:val="nb-NO"/>
        </w:rPr>
      </w:pPr>
      <w:r w:rsidRPr="00E00732">
        <w:rPr>
          <w:rFonts w:ascii="Arial" w:hAnsi="Arial" w:cs="Arial"/>
          <w:lang w:val="nb-NO"/>
        </w:rPr>
        <w:t>We move from checking outcomes to defining and operationalizing what “good” looks like in practice</w:t>
      </w:r>
    </w:p>
    <w:p w14:paraId="0DEA1431" w14:textId="77777777" w:rsidR="00E00732" w:rsidRPr="00E00732" w:rsidRDefault="00E00732" w:rsidP="00E00732">
      <w:pPr>
        <w:pStyle w:val="ListParagraph"/>
        <w:numPr>
          <w:ilvl w:val="0"/>
          <w:numId w:val="1"/>
        </w:numPr>
        <w:rPr>
          <w:rFonts w:ascii="Arial" w:hAnsi="Arial" w:cs="Arial"/>
          <w:lang w:val="nb-NO"/>
        </w:rPr>
      </w:pPr>
      <w:r w:rsidRPr="00E00732">
        <w:rPr>
          <w:rFonts w:ascii="Arial" w:hAnsi="Arial" w:cs="Arial"/>
          <w:lang w:val="nb-NO"/>
        </w:rPr>
        <w:t>We shift from looking backward to guiding and improving future performance</w:t>
      </w:r>
    </w:p>
    <w:p w14:paraId="681553B2" w14:textId="77777777" w:rsidR="00E00732" w:rsidRPr="00E00732" w:rsidRDefault="00E00732" w:rsidP="00E00732">
      <w:pPr>
        <w:rPr>
          <w:rFonts w:ascii="Arial" w:hAnsi="Arial" w:cs="Arial"/>
          <w:lang w:val="nb-NO"/>
        </w:rPr>
      </w:pPr>
      <w:r w:rsidRPr="00E00732">
        <w:rPr>
          <w:rFonts w:ascii="Arial" w:hAnsi="Arial" w:cs="Arial"/>
          <w:lang w:val="nb-NO"/>
        </w:rPr>
        <w:t>This creates a direct business impact for customers. In a system where production and growth increasingly depend on documented impact, the ability to demonstrate control and performance becomes a key competitive factor. Companies that can prove their impact can unlock growth and investment, while those that cannot risk stagnation regardless of their underlying capabilities.</w:t>
      </w:r>
    </w:p>
    <w:p w14:paraId="1538C0D6" w14:textId="77777777" w:rsidR="00E00732" w:rsidRPr="00E00732" w:rsidRDefault="00E00732" w:rsidP="00E00732">
      <w:pPr>
        <w:rPr>
          <w:rFonts w:ascii="Arial" w:hAnsi="Arial" w:cs="Arial"/>
          <w:lang w:val="nb-NO"/>
        </w:rPr>
      </w:pPr>
      <w:r w:rsidRPr="00E00732">
        <w:rPr>
          <w:rFonts w:ascii="Arial" w:hAnsi="Arial" w:cs="Arial"/>
          <w:lang w:val="nb-NO"/>
        </w:rPr>
        <w:t>For DNV, this shift comes at a time when we are strengthening our digital position in the industry through Veracity’s focus on aquaculture and the acquisition of AquaCloud. This establishes a platform providing a digital infrastructure for collecting, validating, sharing, and leveraging ocean data, with a strong focus on data governance and verification.</w:t>
      </w:r>
    </w:p>
    <w:p w14:paraId="3D4A9E2B" w14:textId="77777777" w:rsidR="00E00732" w:rsidRPr="00E00732" w:rsidRDefault="00E00732" w:rsidP="00E00732">
      <w:pPr>
        <w:rPr>
          <w:rFonts w:ascii="Arial" w:hAnsi="Arial" w:cs="Arial"/>
          <w:lang w:val="nb-NO"/>
        </w:rPr>
      </w:pPr>
      <w:r w:rsidRPr="00E00732">
        <w:rPr>
          <w:rFonts w:ascii="Arial" w:hAnsi="Arial" w:cs="Arial"/>
          <w:lang w:val="nb-NO"/>
        </w:rPr>
        <w:t>While Veracity focuses on the «data layer», Smarter Compliance represents a distinct but complementary capability focused on the «knowledge layer». Smarter Compliance brings structure and meaning by linking data to requirements and making it possible to consistently define how requirements should be applied in practice. Combined, this creates a stronger impact for DNV, bringing together trusted data (Veracity) and domain expertise to enable how performance, risk, and quality are managed in practice. This combination will also enable better use of AI and other digital technologies, through the collection and contextualization of verified data. In addition, Smarter Compliance is already aligned with the Customer Portal that is under development through Veracity’s authentication, user management, and marketplace.</w:t>
      </w:r>
    </w:p>
    <w:p w14:paraId="72A2BBF3" w14:textId="77777777" w:rsidR="00E00732" w:rsidRPr="00E00732" w:rsidRDefault="00E00732" w:rsidP="00E00732">
      <w:pPr>
        <w:rPr>
          <w:rFonts w:ascii="Arial" w:hAnsi="Arial" w:cs="Arial"/>
          <w:lang w:val="nb-NO"/>
        </w:rPr>
      </w:pPr>
      <w:r w:rsidRPr="00E00732">
        <w:rPr>
          <w:rFonts w:ascii="Arial" w:hAnsi="Arial" w:cs="Arial"/>
          <w:lang w:val="nb-NO"/>
        </w:rPr>
        <w:t>In closing, Smarter Compliance is not just a product opportunity. It is a strategic move to ensure that DNV remains relevant, trusted, and influential in a future where assurance is embedded in operations and driven by requirements. For DNV, this represents a shift to a stronger and more strategic position in the industry. We move up the value chain, shifting from being positioned as a cost associated with compliance to becoming part of the core operational layer that customers depend on to manage risk, quality, and performance. This also strengthens our role between fish farmers and their stakeholders, including regulators, suppliers, insurers, and investors. We also see this shift in other industries, and similar solutions are being built in DNV Maritime and Energy Systems.</w:t>
      </w:r>
    </w:p>
    <w:p w14:paraId="68113B6E" w14:textId="77777777" w:rsidR="00E00732" w:rsidRPr="00E00732" w:rsidRDefault="00E00732" w:rsidP="00E00732">
      <w:pPr>
        <w:rPr>
          <w:rFonts w:ascii="Arial" w:hAnsi="Arial" w:cs="Arial"/>
          <w:lang w:val="nb-NO"/>
        </w:rPr>
      </w:pPr>
      <w:r w:rsidRPr="00E00732">
        <w:rPr>
          <w:rFonts w:ascii="Arial" w:hAnsi="Arial" w:cs="Arial"/>
          <w:lang w:val="nb-NO"/>
        </w:rPr>
        <w:t>The shift supports our move away from a model primarily built on project-based services, where we compete on price and availability, towards a more integrated and “sticky” role in how customers operate. It also supports new, recurring revenue models and a more scalable business, while shifting our workforce towards higher-value work. Routine and repetitive tasks can be handled through systems, allowing our experts to focus on complex cases and continuous improvement of the models.</w:t>
      </w:r>
    </w:p>
    <w:p w14:paraId="1A55A3F4" w14:textId="60FEBF25" w:rsidR="00563052" w:rsidRPr="00E00732" w:rsidRDefault="00E00732">
      <w:pPr>
        <w:rPr>
          <w:rFonts w:ascii="Arial" w:hAnsi="Arial" w:cs="Arial"/>
          <w:lang w:val="nb-NO"/>
        </w:rPr>
      </w:pPr>
      <w:r w:rsidRPr="00E00732">
        <w:rPr>
          <w:rFonts w:ascii="Arial" w:hAnsi="Arial" w:cs="Arial"/>
          <w:lang w:val="nb-NO"/>
        </w:rPr>
        <w:t>The assurance industry, across industries and domains, itself is undergoing rapid transformation. Digital platforms and automation are changing how compliance is managed, with both large technology companies and specialized niche players entering the space. These actors are embedding assurance directly into systems and workflows, challenging traditional models and increasing competitive pressure on DNV. This reinforces the need to act now, ensuring that DNV plays a leading role in shaping how assurance is defined, applied, and embedded in the future.</w:t>
      </w:r>
    </w:p>
    <w:sectPr w:rsidR="00563052" w:rsidRPr="00E007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B619E"/>
    <w:multiLevelType w:val="multilevel"/>
    <w:tmpl w:val="26FAC5AC"/>
    <w:lvl w:ilvl="0">
      <w:numFmt w:val="bullet"/>
      <w:lvlText w:val="•"/>
      <w:lvlJc w:val="left"/>
      <w:pPr>
        <w:ind w:left="720" w:hanging="360"/>
      </w:pPr>
      <w:rPr>
        <w:rFonts w:ascii="Cambria" w:eastAsiaTheme="minorEastAsia" w:hAnsi="Cambr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5937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Forms Core NewDocument" w:val="2026-08-13T19:50:44Z"/>
  </w:docVars>
  <w:rsids>
    <w:rsidRoot w:val="00E00732"/>
    <w:rsid w:val="0010454C"/>
    <w:rsid w:val="004C46A3"/>
    <w:rsid w:val="00563052"/>
    <w:rsid w:val="005A03DF"/>
    <w:rsid w:val="008E2040"/>
    <w:rsid w:val="00A20D0F"/>
    <w:rsid w:val="00A71823"/>
    <w:rsid w:val="00BB032D"/>
    <w:rsid w:val="00E00732"/>
    <w:rsid w:val="00E47463"/>
    <w:rsid w:val="00F13D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7A2C46"/>
  <w15:chartTrackingRefBased/>
  <w15:docId w15:val="{1E2E8EF2-175D-4007-8604-EB18D5DC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73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00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32"/>
    <w:rPr>
      <w:rFonts w:eastAsiaTheme="majorEastAsia" w:cstheme="majorBidi"/>
      <w:color w:val="272727" w:themeColor="text1" w:themeTint="D8"/>
    </w:rPr>
  </w:style>
  <w:style w:type="paragraph" w:styleId="Title">
    <w:name w:val="Title"/>
    <w:basedOn w:val="Normal"/>
    <w:next w:val="Normal"/>
    <w:link w:val="TitleChar"/>
    <w:uiPriority w:val="10"/>
    <w:qFormat/>
    <w:rsid w:val="00E00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32"/>
    <w:pPr>
      <w:spacing w:before="160"/>
      <w:jc w:val="center"/>
    </w:pPr>
    <w:rPr>
      <w:i/>
      <w:iCs/>
      <w:color w:val="404040" w:themeColor="text1" w:themeTint="BF"/>
    </w:rPr>
  </w:style>
  <w:style w:type="character" w:customStyle="1" w:styleId="QuoteChar">
    <w:name w:val="Quote Char"/>
    <w:basedOn w:val="DefaultParagraphFont"/>
    <w:link w:val="Quote"/>
    <w:uiPriority w:val="29"/>
    <w:rsid w:val="00E00732"/>
    <w:rPr>
      <w:i/>
      <w:iCs/>
      <w:color w:val="404040" w:themeColor="text1" w:themeTint="BF"/>
    </w:rPr>
  </w:style>
  <w:style w:type="paragraph" w:styleId="ListParagraph">
    <w:name w:val="List Paragraph"/>
    <w:basedOn w:val="Normal"/>
    <w:uiPriority w:val="34"/>
    <w:qFormat/>
    <w:rsid w:val="00E00732"/>
    <w:pPr>
      <w:ind w:left="720"/>
      <w:contextualSpacing/>
    </w:pPr>
  </w:style>
  <w:style w:type="character" w:styleId="IntenseEmphasis">
    <w:name w:val="Intense Emphasis"/>
    <w:basedOn w:val="DefaultParagraphFont"/>
    <w:uiPriority w:val="21"/>
    <w:qFormat/>
    <w:rsid w:val="00E00732"/>
    <w:rPr>
      <w:i/>
      <w:iCs/>
      <w:color w:val="0F4761" w:themeColor="accent1" w:themeShade="BF"/>
    </w:rPr>
  </w:style>
  <w:style w:type="paragraph" w:styleId="IntenseQuote">
    <w:name w:val="Intense Quote"/>
    <w:basedOn w:val="Normal"/>
    <w:next w:val="Normal"/>
    <w:link w:val="IntenseQuoteChar"/>
    <w:uiPriority w:val="30"/>
    <w:qFormat/>
    <w:rsid w:val="00E00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732"/>
    <w:rPr>
      <w:i/>
      <w:iCs/>
      <w:color w:val="0F4761" w:themeColor="accent1" w:themeShade="BF"/>
    </w:rPr>
  </w:style>
  <w:style w:type="character" w:styleId="IntenseReference">
    <w:name w:val="Intense Reference"/>
    <w:basedOn w:val="DefaultParagraphFont"/>
    <w:uiPriority w:val="32"/>
    <w:qFormat/>
    <w:rsid w:val="00E00732"/>
    <w:rPr>
      <w:b/>
      <w:bCs/>
      <w:smallCaps/>
      <w:color w:val="0F4761" w:themeColor="accent1" w:themeShade="BF"/>
      <w:spacing w:val="5"/>
    </w:rPr>
  </w:style>
  <w:style w:type="paragraph" w:styleId="CommentText">
    <w:name w:val="annotation text"/>
    <w:basedOn w:val="Normal"/>
    <w:link w:val="CommentTextChar"/>
    <w:uiPriority w:val="99"/>
    <w:unhideWhenUsed/>
    <w:rsid w:val="00E00732"/>
    <w:pPr>
      <w:spacing w:line="240" w:lineRule="auto"/>
    </w:pPr>
    <w:rPr>
      <w:sz w:val="20"/>
      <w:szCs w:val="20"/>
    </w:rPr>
  </w:style>
  <w:style w:type="character" w:customStyle="1" w:styleId="CommentTextChar">
    <w:name w:val="Comment Text Char"/>
    <w:basedOn w:val="DefaultParagraphFont"/>
    <w:link w:val="CommentText"/>
    <w:uiPriority w:val="99"/>
    <w:rsid w:val="00E00732"/>
    <w:rPr>
      <w:rFonts w:eastAsiaTheme="minorEastAsia"/>
      <w:kern w:val="0"/>
      <w:sz w:val="20"/>
      <w:szCs w:val="20"/>
      <w:lang w:val="en-US"/>
      <w14:ligatures w14:val="none"/>
    </w:rPr>
  </w:style>
  <w:style w:type="character" w:styleId="CommentReference">
    <w:name w:val="annotation reference"/>
    <w:basedOn w:val="DefaultParagraphFont"/>
    <w:uiPriority w:val="99"/>
    <w:semiHidden/>
    <w:unhideWhenUsed/>
    <w:rsid w:val="00E0073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01c092-dc11-440e-9d65-7c87c46b39f3">
      <Terms xmlns="http://schemas.microsoft.com/office/infopath/2007/PartnerControls"/>
    </lcf76f155ced4ddcb4097134ff3c332f>
    <TaxCatchAll xmlns="ac9689a5-0973-4ad2-99e1-f20d516311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64528C8CDDDD4D826447AC87AC5EF1" ma:contentTypeVersion="13" ma:contentTypeDescription="Create a new document." ma:contentTypeScope="" ma:versionID="6a8c09a3181b7aeebbc6dc0a933cb5c9">
  <xsd:schema xmlns:xsd="http://www.w3.org/2001/XMLSchema" xmlns:xs="http://www.w3.org/2001/XMLSchema" xmlns:p="http://schemas.microsoft.com/office/2006/metadata/properties" xmlns:ns2="ac01c092-dc11-440e-9d65-7c87c46b39f3" xmlns:ns3="ac9689a5-0973-4ad2-99e1-f20d51631161" targetNamespace="http://schemas.microsoft.com/office/2006/metadata/properties" ma:root="true" ma:fieldsID="bb916b9e010cec90dc5c1b6bd7adacb2" ns2:_="" ns3:_="">
    <xsd:import namespace="ac01c092-dc11-440e-9d65-7c87c46b39f3"/>
    <xsd:import namespace="ac9689a5-0973-4ad2-99e1-f20d516311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1c092-dc11-440e-9d65-7c87c46b3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b031d9-ae19-48d6-a524-e417b27e882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689a5-0973-4ad2-99e1-f20d516311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0290b9-c78d-4a77-bd63-c1aec43e008b}" ma:internalName="TaxCatchAll" ma:showField="CatchAllData" ma:web="ac9689a5-0973-4ad2-99e1-f20d51631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B7C67C-1F5D-4D30-8AC2-82591117DE37}">
  <ds:schemaRefs>
    <ds:schemaRef ds:uri="http://schemas.microsoft.com/sharepoint/v3/contenttype/forms"/>
  </ds:schemaRefs>
</ds:datastoreItem>
</file>

<file path=customXml/itemProps2.xml><?xml version="1.0" encoding="utf-8"?>
<ds:datastoreItem xmlns:ds="http://schemas.openxmlformats.org/officeDocument/2006/customXml" ds:itemID="{FA8A9AAF-CFF1-4E84-8035-6A664305D50E}">
  <ds:schemaRefs>
    <ds:schemaRef ds:uri="http://schemas.microsoft.com/office/2006/metadata/properties"/>
    <ds:schemaRef ds:uri="http://schemas.microsoft.com/office/infopath/2007/PartnerControls"/>
    <ds:schemaRef ds:uri="ac01c092-dc11-440e-9d65-7c87c46b39f3"/>
    <ds:schemaRef ds:uri="ac9689a5-0973-4ad2-99e1-f20d51631161"/>
  </ds:schemaRefs>
</ds:datastoreItem>
</file>

<file path=customXml/itemProps3.xml><?xml version="1.0" encoding="utf-8"?>
<ds:datastoreItem xmlns:ds="http://schemas.openxmlformats.org/officeDocument/2006/customXml" ds:itemID="{99296680-BCFB-4C32-AFA2-ACAB6AB72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1c092-dc11-440e-9d65-7c87c46b39f3"/>
    <ds:schemaRef ds:uri="ac9689a5-0973-4ad2-99e1-f20d51631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8141450-2387-4aca-b41f-19cd6be9dd3c}" enabled="1" method="Standar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Hannevik, Martine Berglund</dc:creator>
  <cp:keywords/>
  <dc:description/>
  <cp:lastModifiedBy>Hannevik, Martine Berglund</cp:lastModifiedBy>
  <cp:revision>1</cp:revision>
  <dcterms:created xsi:type="dcterms:W3CDTF">2026-08-13T19:50:00Z</dcterms:created>
  <dcterms:modified xsi:type="dcterms:W3CDTF">2026-08-21T09:44:00Z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0x010100AF64528C8CDDDD4D826447AC87AC5EF1</vt:lpwstr>
  </property>
  <property fmtid="{D5CDD505-2E9C-101B-9397-08002B2CF9AE}" pid="3" name="MediaServiceImageTags">
    <vt:lpwstr/>
  </property>
  <property fmtid="{D5CDD505-2E9C-101B-9397-08002B2CF9AE}" pid="4" name="docLang">
    <vt:lpwstr>en</vt:lpwstr>
  </property>
</Properties>
</file>