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720" w:before="0" w:after="0"/>
        <w:jc w:val="center"/>
      </w:pPr>
      <w:r>
        <w:rPr>
          <w:rFonts w:ascii="方正小标宋简体" w:hAnsi="方正小标宋简体" w:eastAsia="方正小标宋简体"/>
          <w:b w:val="0"/>
          <w:sz w:val="44"/>
        </w:rPr>
        <w:t>综合监管动态</w:t>
      </w:r>
    </w:p>
    <w:p>
      <w:pPr>
        <w:spacing w:lineRule="exact" w:line="720" w:before="0" w:after="0"/>
        <w:jc w:val="center"/>
      </w:pPr>
      <w:r>
        <w:rPr>
          <w:rFonts w:ascii="方正小标宋简体" w:hAnsi="方正小标宋简体" w:eastAsia="方正小标宋简体"/>
          <w:b w:val="0"/>
          <w:sz w:val="44"/>
        </w:rPr>
        <w:t>合规洞察报告</w:t>
      </w:r>
    </w:p>
    <w:p>
      <w:pPr>
        <w:spacing w:lineRule="exact" w:line="560" w:before="0" w:after="0"/>
        <w:jc w:val="center"/>
      </w:pPr>
      <w:r>
        <w:rPr>
          <w:rFonts w:ascii="楷体_GB2312" w:hAnsi="楷体_GB2312" w:eastAsia="楷体_GB2312"/>
          <w:b w:val="0"/>
          <w:sz w:val="32"/>
        </w:rPr>
        <w:t>（未编号期次）</w:t>
      </w:r>
    </w:p>
    <w:p>
      <w:pPr>
        <w:spacing w:lineRule="exact" w:line="560" w:before="0" w:after="80"/>
        <w:jc w:val="center"/>
      </w:pPr>
      <w:r>
        <w:rPr>
          <w:rFonts w:ascii="楷体_GB2312" w:hAnsi="楷体_GB2312" w:eastAsia="楷体_GB2312"/>
          <w:b w:val="0"/>
          <w:sz w:val="28"/>
        </w:rPr>
        <w:t>监测窗口：2026年9月23日至2026年10月7日　　本期信息截至2026年10月7日</w:t>
      </w:r>
    </w:p>
    <w:p>
      <w:pPr>
        <w:spacing w:lineRule="exact" w:line="560" w:before="0" w:after="0"/>
        <w:jc w:val="center"/>
      </w:pPr>
      <w:r>
        <w:rPr>
          <w:rFonts w:ascii="楷体_GB2312" w:hAnsi="楷体_GB2312" w:eastAsia="楷体_GB2312"/>
          <w:b w:val="0"/>
          <w:color w:val="606060"/>
          <w:sz w:val="28"/>
        </w:rPr>
        <w:t>报告模式：演示/工作稿（含待核验条目）　　生成时间：2026-10-07 14:00</w:t>
      </w:r>
    </w:p>
    <w:p>
      <w:pPr>
        <w:spacing w:lineRule="exact" w:line="560" w:before="0" w:after="0"/>
        <w:jc w:val="center"/>
      </w:pPr>
      <w:r>
        <w:rPr>
          <w:rFonts w:ascii="楷体_GB2312" w:hAnsi="楷体_GB2312" w:eastAsia="楷体_GB2312"/>
          <w:b w:val="0"/>
          <w:color w:val="C00000"/>
          <w:sz w:val="28"/>
        </w:rPr>
        <w:t>【重要提示】本报告为**含待核验条目的演示/工作稿**：窗口内 37 条尚未完成原文核验，全部条目已逐条标注「待核验·演示内容」，未经核验不得对外作为当期监管动态引用；切换正式模式后这 37 条将被排除。</w:t>
      </w:r>
    </w:p>
    <w:p>
      <w:pPr>
        <w:spacing w:lineRule="exact" w:line="560" w:before="120" w:after="0"/>
        <w:jc w:val="both"/>
      </w:pPr>
      <w:r>
        <w:rPr>
          <w:rFonts w:ascii="黑体" w:hAnsi="黑体" w:eastAsia="黑体"/>
          <w:b w:val="0"/>
          <w:sz w:val="32"/>
        </w:rPr>
        <w:t>一、编制说明</w:t>
      </w:r>
    </w:p>
    <w:p>
      <w:pPr>
        <w:spacing w:lineRule="exact" w:line="560" w:before="0" w:after="0"/>
        <w:jc w:val="both"/>
      </w:pPr>
      <w:r>
        <w:rPr>
          <w:rFonts w:ascii="楷体_GB2312" w:hAnsi="楷体_GB2312" w:eastAsia="楷体_GB2312"/>
          <w:b w:val="0"/>
          <w:sz w:val="32"/>
        </w:rPr>
        <w:t>（一）监测范围与入选标准</w:t>
      </w:r>
    </w:p>
    <w:p>
      <w:pPr>
        <w:spacing w:lineRule="exact" w:line="560" w:before="0" w:after="0"/>
        <w:ind w:firstLine="640"/>
        <w:jc w:val="both"/>
      </w:pPr>
      <w:r>
        <w:rPr>
          <w:rFonts w:ascii="仿宋_GB2312" w:hAnsi="仿宋_GB2312" w:eastAsia="仿宋_GB2312"/>
          <w:b w:val="0"/>
          <w:sz w:val="32"/>
        </w:rPr>
        <w:t>本报告从2026年9月23日至2026年10月7日（回溯 15 天）窗口内的 37 条情报中，按相关度评分（阈值 55 分）自动选取最相关的 8 条成稿，不设逐条勾选。</w:t>
      </w:r>
    </w:p>
    <w:p>
      <w:pPr>
        <w:spacing w:lineRule="exact" w:line="560" w:before="0" w:after="0"/>
        <w:jc w:val="both"/>
      </w:pPr>
      <w:r>
        <w:rPr>
          <w:rFonts w:ascii="楷体_GB2312" w:hAnsi="楷体_GB2312" w:eastAsia="楷体_GB2312"/>
          <w:b w:val="0"/>
          <w:sz w:val="32"/>
        </w:rPr>
        <w:t>（二）排除情况（如实列示）</w:t>
      </w:r>
    </w:p>
    <w:p>
      <w:pPr>
        <w:spacing w:lineRule="exact" w:line="560" w:before="0" w:after="0"/>
        <w:ind w:firstLine="640"/>
        <w:jc w:val="both"/>
      </w:pPr>
      <w:r>
        <w:rPr>
          <w:rFonts w:ascii="仿宋_GB2312" w:hAnsi="仿宋_GB2312" w:eastAsia="仿宋_GB2312"/>
          <w:b w:val="0"/>
          <w:sz w:val="32"/>
        </w:rPr>
        <w:t>窗口内共排除 29 条：其中未核验/演示条目 0 条、低于相关度阈值 29 条、其余为关键词未命中或超出入选上限。未核验条目在演示模式下虽可入稿，但已逐条标注「待核验·演示内容」，正式模式下一律排除。</w:t>
      </w:r>
    </w:p>
    <w:p>
      <w:pPr>
        <w:spacing w:lineRule="exact" w:line="560" w:before="0" w:after="0"/>
        <w:jc w:val="both"/>
      </w:pPr>
      <w:r>
        <w:rPr>
          <w:rFonts w:ascii="楷体_GB2312" w:hAnsi="楷体_GB2312" w:eastAsia="楷体_GB2312"/>
          <w:b w:val="0"/>
          <w:sz w:val="32"/>
        </w:rPr>
        <w:t>（三）发布日期口径（阶段3：日期可追溯）</w:t>
      </w:r>
    </w:p>
    <w:p>
      <w:pPr>
        <w:spacing w:lineRule="exact" w:line="560" w:before="0" w:after="0"/>
        <w:ind w:firstLine="640"/>
        <w:jc w:val="both"/>
      </w:pPr>
      <w:r>
        <w:rPr>
          <w:rFonts w:ascii="仿宋_GB2312" w:hAnsi="仿宋_GB2312" w:eastAsia="仿宋_GB2312"/>
          <w:b w:val="0"/>
          <w:sz w:val="32"/>
        </w:rPr>
        <w:t>日期口径：本期入选条目的发布日期依据为列表页明确标注 0 条、按上下文推断 0 条、来源未知（旧条目默认） 8 条、人工录入或订正 0 条；发布日期依据仅说明该日期的记录来源与可信度，不等于条目已完成核验，核验状态以逐条标注为准。</w:t>
      </w:r>
    </w:p>
    <w:p>
      <w:pPr>
        <w:spacing w:lineRule="exact" w:line="560" w:before="0" w:after="0"/>
        <w:jc w:val="both"/>
      </w:pPr>
      <w:r>
        <w:rPr>
          <w:rFonts w:ascii="楷体_GB2312" w:hAnsi="楷体_GB2312" w:eastAsia="楷体_GB2312"/>
          <w:b w:val="0"/>
          <w:sz w:val="32"/>
        </w:rPr>
        <w:t>（四）分析方式与局限性声明</w:t>
      </w:r>
    </w:p>
    <w:p>
      <w:pPr>
        <w:spacing w:lineRule="exact" w:line="560" w:before="0" w:after="0"/>
        <w:ind w:firstLine="640"/>
        <w:jc w:val="both"/>
      </w:pPr>
      <w:r>
        <w:rPr>
          <w:rFonts w:ascii="仿宋_GB2312" w:hAnsi="仿宋_GB2312" w:eastAsia="仿宋_GB2312"/>
          <w:b w:val="0"/>
          <w:sz w:val="32"/>
        </w:rPr>
        <w:t>条目事实来自公开页面采集；解读与建议为工具生成的分析参考，未经人工复核的条目已在表中标注。本报告不构成法律意见；规范依据以官方发布文本为准，本报告不声称已核对未能取得原文的规范依据。</w:t>
      </w:r>
    </w:p>
    <w:p>
      <w:pPr>
        <w:spacing w:lineRule="exact" w:line="560" w:before="0" w:after="0"/>
        <w:ind w:firstLine="560"/>
        <w:jc w:val="both"/>
      </w:pPr>
      <w:r>
        <w:rPr>
          <w:rFonts w:ascii="楷体_GB2312" w:hAnsi="楷体_GB2312" w:eastAsia="楷体_GB2312"/>
          <w:b w:val="0"/>
          <w:color w:val="808080"/>
          <w:sz w:val="28"/>
        </w:rPr>
        <w:t>本报告由合规洞察工具自动生成，其中的解读与建议为工具生成的分析参考，不构成法律意见；规范依据以官方发布文本为准，未能核验的依据未在本报告中声称已核对。</w:t>
      </w:r>
    </w:p>
    <w:p>
      <w:pPr>
        <w:spacing w:lineRule="exact" w:line="560" w:before="120" w:after="0"/>
        <w:jc w:val="both"/>
      </w:pPr>
      <w:r>
        <w:rPr>
          <w:rFonts w:ascii="黑体" w:hAnsi="黑体" w:eastAsia="黑体"/>
          <w:b w:val="0"/>
          <w:sz w:val="32"/>
        </w:rPr>
        <w:t>二、总体态势</w:t>
      </w:r>
    </w:p>
    <w:p>
      <w:pPr>
        <w:spacing w:lineRule="exact" w:line="560" w:before="0" w:after="0"/>
        <w:ind w:firstLine="640"/>
        <w:jc w:val="both"/>
      </w:pPr>
      <w:r>
        <w:rPr>
          <w:rFonts w:ascii="仿宋_GB2312" w:hAnsi="仿宋_GB2312" w:eastAsia="仿宋_GB2312"/>
          <w:b w:val="0"/>
          <w:sz w:val="32"/>
        </w:rPr>
        <w:t>窗口内共 37 条，入选 8 条，平均相关度 64.5 分；其中已核验 0 条、未核验/演示 37 条。按类型分布：新法规3条、执法处罚2条、征求意见2条、政策文件1条。</w:t>
      </w:r>
    </w:p>
    <w:p>
      <w:pPr>
        <w:spacing w:lineRule="exact" w:line="560" w:before="0" w:after="0"/>
        <w:jc w:val="both"/>
      </w:pPr>
      <w:r>
        <w:rPr>
          <w:rFonts w:ascii="楷体_GB2312" w:hAnsi="楷体_GB2312" w:eastAsia="楷体_GB2312"/>
          <w:b w:val="0"/>
          <w:color w:val="808080"/>
          <w:sz w:val="28"/>
        </w:rPr>
        <w:t>示意数据：统计口径含未核验/演示条目，非真实监管统计，不得对外引用</w:t>
      </w:r>
    </w:p>
    <w:p>
      <w:pPr>
        <w:spacing w:lineRule="exact" w:line="560" w:before="120" w:after="0"/>
        <w:jc w:val="both"/>
      </w:pPr>
      <w:r>
        <w:rPr>
          <w:rFonts w:ascii="黑体" w:hAnsi="黑体" w:eastAsia="黑体"/>
          <w:b w:val="0"/>
          <w:sz w:val="32"/>
        </w:rPr>
        <w:t>三、人工智能与算法监管动态（2 条）</w:t>
      </w:r>
    </w:p>
    <w:p>
      <w:pPr>
        <w:spacing w:lineRule="exact" w:line="560" w:before="0" w:after="0"/>
        <w:jc w:val="both"/>
      </w:pPr>
      <w:r>
        <w:rPr>
          <w:rFonts w:ascii="楷体_GB2312" w:hAnsi="楷体_GB2312" w:eastAsia="楷体_GB2312"/>
          <w:b w:val="0"/>
          <w:sz w:val="32"/>
        </w:rPr>
        <w:t>（一）网信办《生成式人工智能服务备案实施细化要求》发布：模型备案新增安全评估实测记录［相关度 73 · 待核验 · 演示内容］</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2026年9月28日，国家互联网信息办公室发布《生成式人工智能服务备案实施细化要求》。主要内容：（1）明确备案范围为面向境内公众提供生成式人工智能服务的组织，实行属地省级网信部门初审、国家网信办终审的两级流程；（2）规定备案材料清单，包括安全自评估报告（须按GB/T 45654—2025编制）、模型基本情况表、训练数据来源与合法性说明、标识义务落实情况说明、安全事件应急处置预案等；（3）明确重大变更情形须重新履行评估备案程序；（4）自2026年11月1日起施行，存量服务给予六个月过渡期。</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较此前规则，本项属义务明确化而非新设义务：该文件系对《生成式人工智能服务管理暂行办法》（国家互联网信息办公室等七部门令第15号，自2023年8月15日起施行，以下简称《暂行办法》）第十七条“安全评估+备案”双重义务的程序性细化，本身未新增实体义务，但将备案材料标准化（第四项要求提交“安全评估报告及关键问答实测记录”），实质抬高了举证门槛。就义务主体而言，《暂行办法》第二条以“向境内公众提供生成文本、图片、音频、视频等内容的服务”界定服务提供者；公司面向集团外部客户提供的智能问答、智能报告生成功能属于义务主体范围，嵌入信息化项目交付的AI能力是否构成“面向公众提供服务”存在解释空间。配套义务链条已经闭合：算法备案（《互联网信息服务算法推荐管理规定》第二十四条）、内容标识（《人工智能生成合成内容标识办法》，自2025年9月1日起施行）、安全评估技术依据（GB/T 45654—2025，自2025年11月1日起实施）。</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本项直接影响我方两条业务线：平台对外提供的AI生成功能（触发条件：面向境内公众提供服务）与嵌入客户项目交付的AI能力（触发条件待解释）。对照现状：（1）公司尚未开展生成式人工智能服务备案；（2）现有安全评估材料未按GB/T 45654—2025体例编制，与备案清单存在差距；（3）投标场景已出现“供应商AI功能须已完成备案或承诺中标后限期完成”的资格条件，备案进度直接影响投标应答。违规后果：未履行备案义务的，依据《暂行办法》第二十一条，由主管部门依照《中华人民共和国网络安全法》（2025年修正，自2026年1月1日起施行）等追究法律责任。据公开信息，头部服务商均已闭环备案，备案已成为行业事实门槛。</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1）10月17日前完成存量及在研AI功能面向公众提供情况的排查建档（法务合规部牵头）；（2）对落入范围的产品，10月31日前完成安全自评估报告编制立项并启动属地网信部门沟通（科技研发部配合）；（3）10月24日前出具嵌入交付型AI功能是否构成“面向公众提供服务”的分析意见，同步修订投标合规承诺模板（法务合规部）；（4）本事项列为橙色风险（O-01），纳入合规义务台账（YW-01），按月更新进度。</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“……提供者应当提交安全评估报告及关键问答实测记录……（细化要求备案材料清单第四项）”</w:t>
      </w:r>
    </w:p>
    <w:p>
      <w:pPr>
        <w:spacing w:lineRule="exact" w:line="560" w:before="0" w:after="0"/>
        <w:ind w:firstLine="560"/>
        <w:jc w:val="both"/>
      </w:pPr>
      <w:r>
        <w:rPr>
          <w:rFonts w:ascii="仿宋_GB2312" w:hAnsi="仿宋_GB2312" w:eastAsia="仿宋_GB2312"/>
          <w:b w:val="0"/>
          <w:color w:val="606060"/>
          <w:sz w:val="28"/>
        </w:rPr>
        <w:t>来源：国家网信办（中国网信网，2026-10-04 发布）；原文直链待核验；机构页面：https://www.cac.gov.cn/（该链接为机构/栏目页面，非原文直链）</w:t>
      </w:r>
    </w:p>
    <w:p>
      <w:pPr>
        <w:spacing w:lineRule="exact" w:line="560" w:before="0" w:after="0"/>
        <w:ind w:firstLine="560"/>
        <w:jc w:val="both"/>
      </w:pPr>
      <w:r>
        <w:rPr>
          <w:rFonts w:ascii="楷体_GB2312" w:hAnsi="楷体_GB2312" w:eastAsia="楷体_GB2312"/>
          <w:b w:val="0"/>
          <w:color w:val="C00000"/>
          <w:sz w:val="28"/>
        </w:rPr>
        <w:t>核验状态：待核验 · 演示内容。演示条目：来自 design/ 原型，原文直链与发布主体待人工核验</w:t>
      </w:r>
    </w:p>
    <w:p>
      <w:pPr>
        <w:spacing w:lineRule="exact" w:line="560" w:before="0" w:after="0"/>
        <w:jc w:val="both"/>
      </w:pPr>
      <w:r>
        <w:rPr>
          <w:rFonts w:ascii="楷体_GB2312" w:hAnsi="楷体_GB2312" w:eastAsia="楷体_GB2312"/>
          <w:b w:val="0"/>
          <w:sz w:val="32"/>
        </w:rPr>
        <w:t>（二）网信办通报算法推荐管理规定执法案例：两平台因未公示算法原理被限期整改［相关度 60 · 待核验 · 演示内容］</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2026年9月28日，国家网信办通报两起《互联网信息服务算法推荐管理规定》执法案例，案由均为未以显著方式公示算法基本原理，涉事平台被责令限期整改。</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较此前规则，本项属执法口径确认：完成算法备案不免除公示义务。《互联网信息服务算法推荐管理规定》第十六条要求“以显著方式告知用户其提供算法推荐服务的情况，并以适当方式公示算法的基本原理、目的意图”；执法要点在于公示信息须与备案信息一致。</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本项直接影响我方推荐、排序功能页面（触发条件：平台提供算法推荐服务且已完成或应完成备案）。公司功能页尚未设置算法公示说明。</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对照备案信息补充推荐、排序功能页的算法公示说明（科技研发部与法务合规部，11月30日前）。纳入义务台账（YW-04），列为黄色风险（Y-01）。</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“……通过备案的算法应当在显著位置公示其基本原理、目的意图和主要运行机制……（《互联网信息服务算法推荐管理规定》第十六条）”</w:t>
      </w:r>
    </w:p>
    <w:p>
      <w:pPr>
        <w:spacing w:lineRule="exact" w:line="560" w:before="0" w:after="0"/>
        <w:ind w:firstLine="560"/>
        <w:jc w:val="both"/>
      </w:pPr>
      <w:r>
        <w:rPr>
          <w:rFonts w:ascii="仿宋_GB2312" w:hAnsi="仿宋_GB2312" w:eastAsia="仿宋_GB2312"/>
          <w:b w:val="0"/>
          <w:color w:val="606060"/>
          <w:sz w:val="28"/>
        </w:rPr>
        <w:t>来源：国家网信办（执法动态，2026-09-28 发布）；原文直链待核验；机构页面：https://www.cac.gov.cn/（该链接为机构/栏目页面，非原文直链）</w:t>
      </w:r>
    </w:p>
    <w:p>
      <w:pPr>
        <w:spacing w:lineRule="exact" w:line="560" w:before="0" w:after="0"/>
        <w:ind w:firstLine="560"/>
        <w:jc w:val="both"/>
      </w:pPr>
      <w:r>
        <w:rPr>
          <w:rFonts w:ascii="楷体_GB2312" w:hAnsi="楷体_GB2312" w:eastAsia="楷体_GB2312"/>
          <w:b w:val="0"/>
          <w:color w:val="C00000"/>
          <w:sz w:val="28"/>
        </w:rPr>
        <w:t>核验状态：待核验 · 演示内容。演示条目：来自 design/ 原型，原文直链与发布主体待人工核验</w:t>
      </w:r>
    </w:p>
    <w:p>
      <w:pPr>
        <w:spacing w:lineRule="exact" w:line="560" w:before="120" w:after="0"/>
        <w:jc w:val="both"/>
      </w:pPr>
      <w:r>
        <w:rPr>
          <w:rFonts w:ascii="黑体" w:hAnsi="黑体" w:eastAsia="黑体"/>
          <w:b w:val="0"/>
          <w:sz w:val="32"/>
        </w:rPr>
        <w:t>四、数据要素与个人信息保护监管动态（4 条）</w:t>
      </w:r>
    </w:p>
    <w:p>
      <w:pPr>
        <w:spacing w:lineRule="exact" w:line="560" w:before="0" w:after="0"/>
        <w:jc w:val="both"/>
      </w:pPr>
      <w:r>
        <w:rPr>
          <w:rFonts w:ascii="楷体_GB2312" w:hAnsi="楷体_GB2312" w:eastAsia="楷体_GB2312"/>
          <w:b w:val="0"/>
          <w:sz w:val="32"/>
        </w:rPr>
        <w:t>（一）网信办《个人信息出境认证办法》：认证成为出境三条路径之一，11 月 1 日施行［相关度 69 · 待核验 · 演示内容］</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2026年10月3日，国家互联网信息办公室发布《个人信息出境认证办法》，自2026年11月1日起施行。主要内容包括：专业机构认证成为个人信息出境三条路径之一；认证机构名录与申请程序一并公布；存量业务自施行之日起60日内完成申报。</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较此前规则，本项属体系补全：《中华人民共和国个人信息保护法》（2021年8月20日主席令第九十一号公布，自2021年11月1日起施行，以下简称《个人信息保护法》）第三十八条确立“安全评估、认证、标准合同”三路径框架，本办法将认证路径落地为可操作程序（第四条：处理者可通过国家网信部门认定的专业机构认证出境）。未按期申报的，依据《个人信息保护法》第六十六条处理，情节严重的最高可处五千万元或上一年度营业额百分之五罚款。</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本项直接影响我方涉境外节点的数据回流业务（触发条件：向境外提供个人信息且未走安全评估路径），涉及3条产品线。经初步排查，公司存量跨境传输均未完成三条路径中任何一种的合规手续，属红色风险。认证路径与标准合同路径的成本、周期对比及选型建议见可视化版报告第六区。</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1）10月17日前完成存量跨境业务逐项盘点（数据管理部）；（2）10月31日前完成三路径选型论证并出具书面意见（法务合规部牵头）；（3）选型后立即启动申报，确保12月31日窗口关闭前完成（责任部门按选型结果确定）；（4）列为红色风险（R-01），纳入义务台账（YW-05），每周向公司领导报告进度。</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“第四条：个人信息处理者可以向国家网信部门认定的专业机构申请个人信息保护认证，作为向境外提供个人信息的合规路径。……存量业务应当自本办法施行之日起六十日内完成申报。”</w:t>
      </w:r>
    </w:p>
    <w:p>
      <w:pPr>
        <w:spacing w:lineRule="exact" w:line="560" w:before="0" w:after="0"/>
        <w:ind w:firstLine="560"/>
        <w:jc w:val="both"/>
      </w:pPr>
      <w:r>
        <w:rPr>
          <w:rFonts w:ascii="仿宋_GB2312" w:hAnsi="仿宋_GB2312" w:eastAsia="仿宋_GB2312"/>
          <w:b w:val="0"/>
          <w:color w:val="606060"/>
          <w:sz w:val="28"/>
        </w:rPr>
        <w:t>来源：国家网信办（中国网信网，2026-10-03 发布）；原文直链待核验；机构页面：https://www.cac.gov.cn/（该链接为机构/栏目页面，非原文直链）</w:t>
      </w:r>
    </w:p>
    <w:p>
      <w:pPr>
        <w:spacing w:lineRule="exact" w:line="560" w:before="0" w:after="0"/>
        <w:ind w:firstLine="560"/>
        <w:jc w:val="both"/>
      </w:pPr>
      <w:r>
        <w:rPr>
          <w:rFonts w:ascii="楷体_GB2312" w:hAnsi="楷体_GB2312" w:eastAsia="楷体_GB2312"/>
          <w:b w:val="0"/>
          <w:color w:val="C00000"/>
          <w:sz w:val="28"/>
        </w:rPr>
        <w:t>核验状态：待核验 · 演示内容。演示条目：来自 design/ 原型，原文直链与发布主体待人工核验</w:t>
      </w:r>
    </w:p>
    <w:p>
      <w:pPr>
        <w:spacing w:lineRule="exact" w:line="560" w:before="0" w:after="0"/>
        <w:jc w:val="both"/>
      </w:pPr>
      <w:r>
        <w:rPr>
          <w:rFonts w:ascii="楷体_GB2312" w:hAnsi="楷体_GB2312" w:eastAsia="楷体_GB2312"/>
          <w:b w:val="0"/>
          <w:sz w:val="32"/>
        </w:rPr>
        <w:t>（二）最高法《数据权益保护司法解释（征求意见稿）》公开征求意见［相关度 65 · 待核验 · 演示内容］</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2026年10月2日，最高人民法院就《数据权益保护司法解释（征求意见稿）》向社会公开征求意见，反馈截止日期为2026年10月17日前后。征求意见稿首次在司法层面回应数据资源持有权、加工使用权、产品经营权的界定。</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较此前规则，本项属立法进程：征求意见稿不具拘束力，但按既往惯例正式稿与征求意见稿核心条款重合度较高，宜按“准义务”预研。</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本项对我方属诉讼策略与确权路径的前瞻变量：平台数据产品的权属界定将直接影响交易结构与维权基础。</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10月17日前组织内部评审并提交行业意见（法务合规部）。纳入立法进程跟踪表，列为黄色风险（Y-05）。</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“征求意见稿首次在司法层面回应数据资源持有权、加工使用权、产品经营权的界定，明确数据权益的保护范围与侵权认定规则。”</w:t>
      </w:r>
    </w:p>
    <w:p>
      <w:pPr>
        <w:spacing w:lineRule="exact" w:line="560" w:before="0" w:after="0"/>
        <w:ind w:firstLine="560"/>
        <w:jc w:val="both"/>
      </w:pPr>
      <w:r>
        <w:rPr>
          <w:rFonts w:ascii="仿宋_GB2312" w:hAnsi="仿宋_GB2312" w:eastAsia="仿宋_GB2312"/>
          <w:b w:val="0"/>
          <w:color w:val="606060"/>
          <w:sz w:val="28"/>
        </w:rPr>
        <w:t>来源：最高人民法院（官网，2026-10-02 发布）；原文直链待核验；机构页面：https://www.court.gov.cn/（该链接为机构/栏目页面，非原文直链）</w:t>
      </w:r>
    </w:p>
    <w:p>
      <w:pPr>
        <w:spacing w:lineRule="exact" w:line="560" w:before="0" w:after="0"/>
        <w:ind w:firstLine="560"/>
        <w:jc w:val="both"/>
      </w:pPr>
      <w:r>
        <w:rPr>
          <w:rFonts w:ascii="楷体_GB2312" w:hAnsi="楷体_GB2312" w:eastAsia="楷体_GB2312"/>
          <w:b w:val="0"/>
          <w:color w:val="C00000"/>
          <w:sz w:val="28"/>
        </w:rPr>
        <w:t>核验状态：待核验 · 演示内容。演示条目：来自 design/ 原型，原文直链与发布主体待人工核验</w:t>
      </w:r>
    </w:p>
    <w:p>
      <w:pPr>
        <w:spacing w:lineRule="exact" w:line="560" w:before="0" w:after="0"/>
        <w:jc w:val="both"/>
      </w:pPr>
      <w:r>
        <w:rPr>
          <w:rFonts w:ascii="楷体_GB2312" w:hAnsi="楷体_GB2312" w:eastAsia="楷体_GB2312"/>
          <w:b w:val="0"/>
          <w:sz w:val="32"/>
        </w:rPr>
        <w:t>（三）国家数据局《公共数据授权运营实施指引》：发布授权运营协议示范文本［相关度 57 · 待核验 · 演示内容］</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2026年10月4日，国家数据局发布《公共数据授权运营实施指引》，同步发布授权运营协议示范文本。指引明确公共数据授权运营的准入条件、运营机构遴选程序、收益分配与安全责任框架，并给出协议示范条款，供各地各部门在实施公共数据授权运营时参照执行。</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授权运营的法律基础仍是《数据安全法》第三十九条及地方公共数据立法，本指引属政策性文件，本身不创设行政许可，但其示范文本实质将成为各地谈判与审查的基准线——地方后续出台的实施方案大概率逐条对标。这意味着示范文本中的条款设计，事实上决定了未来两年公共数据授权交易的通行结构。</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对我方数据要素业务线而言，关注点集中在两类条款：一是收益分配条款，示范文本如何划分政府、运营机构、开发主体三方的收益比例，直接决定数据产品的定价空间；二是安全责任条款，授权期限届满后的数据处置义务（删除、返还、审计）将转化为运营成本与合同尾部风险。</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若公司有意申请成为授权运营机构，或与持牌机构合作开发数据产品，当前是准备资质材料的窗口期：指引发布后首批试点遴选通常向“材料完备、场景明确”的申请方倾斜。建议法务合规部牵头对照示范文本逐条预演合同立场，特别是数据处置义务与衍生数据归属两条。</w:t>
      </w:r>
    </w:p>
    <w:p>
      <w:pPr>
        <w:spacing w:lineRule="exact" w:line="560" w:before="0" w:after="0"/>
        <w:ind w:firstLine="640"/>
        <w:jc w:val="both"/>
      </w:pPr>
      <w:r>
        <w:rPr>
          <w:rFonts w:ascii="仿宋_GB2312" w:hAnsi="仿宋_GB2312" w:eastAsia="仿宋_GB2312"/>
          <w:b w:val="0"/>
          <w:sz w:val="32"/>
        </w:rPr>
        <w:t>① 法务合规部 10 月内完成示范文本逐条合同立场预演（重点：收益分配/安全责任/期满处置）｜② 数据要素业务线评估授权运营机构资质申请可行性｜③ 跟踪首批试点遴选公告</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“……授权运营协议应当明确收益分配机制与安全责任边界……协议期满或者提前终止的，运营机构应当按照约定完成数据删除、返还与审计……（示范文本第五条、第十二条）”</w:t>
      </w:r>
    </w:p>
    <w:p>
      <w:pPr>
        <w:spacing w:lineRule="exact" w:line="560" w:before="0" w:after="0"/>
        <w:ind w:firstLine="560"/>
        <w:jc w:val="both"/>
      </w:pPr>
      <w:r>
        <w:rPr>
          <w:rFonts w:ascii="仿宋_GB2312" w:hAnsi="仿宋_GB2312" w:eastAsia="仿宋_GB2312"/>
          <w:b w:val="0"/>
          <w:color w:val="606060"/>
          <w:sz w:val="28"/>
        </w:rPr>
        <w:t>来源：国家数据局（官网，2026-10-04 发布）；原文直链待核验；机构页面：https://www.nda.gov.cn/（该链接为机构/栏目页面，非原文直链）</w:t>
      </w:r>
    </w:p>
    <w:p>
      <w:pPr>
        <w:spacing w:lineRule="exact" w:line="560" w:before="0" w:after="0"/>
        <w:ind w:firstLine="560"/>
        <w:jc w:val="both"/>
      </w:pPr>
      <w:r>
        <w:rPr>
          <w:rFonts w:ascii="楷体_GB2312" w:hAnsi="楷体_GB2312" w:eastAsia="楷体_GB2312"/>
          <w:b w:val="0"/>
          <w:color w:val="C00000"/>
          <w:sz w:val="28"/>
        </w:rPr>
        <w:t>核验状态：待核验 · 演示内容。演示条目：来自 design/ 原型，原文直链与发布主体待人工核验</w:t>
      </w:r>
    </w:p>
    <w:p>
      <w:pPr>
        <w:spacing w:lineRule="exact" w:line="560" w:before="0" w:after="0"/>
        <w:jc w:val="both"/>
      </w:pPr>
      <w:r>
        <w:rPr>
          <w:rFonts w:ascii="楷体_GB2312" w:hAnsi="楷体_GB2312" w:eastAsia="楷体_GB2312"/>
          <w:b w:val="0"/>
          <w:sz w:val="32"/>
        </w:rPr>
        <w:t>（四）上海、北京同步推进数据条例修订：公共数据授权运营、数据资产登记入法［相关度 55 · 待核验 · 演示内容］</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2026年10月1日，上海、北京两地同步发布数据条例修订草案并公开征求意见。两地草案均写入公共数据授权运营制度与数据资产登记制度，与国家数据局近期指引形成“中央—地方”联动；但注册地与经营地的数据资产登记互认规则在两地草案中表述不一，尚待正式稿明确。</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两地条例修订的方向一致但接口未通：授权运营与资产登记同时入法，意味着数据要素的制度底座从国家层面下沉到地方执行层，但“登记在一地、经营在多地的”互认问题没有解决。草案阶段的分歧条款往往正是正式稿的博弈点，互认规则的走向直接影响跨区域数据业务的合规成本。</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对我方的影响是结构性的：若登记互认不明确，涉多地经营的平台数据资产将面临“重复登记”或“登记效力存疑”两种不利情形，无论哪种都会抬高交易成本。此时抢先在某一地完成登记，反而可能在互认规则落地后陷入被动（登记口径不一致需返工）。</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建议策略明确为“暂缓落地、跟踪规则”：涉多地经营的数据资产登记路径暂缓实施，待互认规则明确后一次性申报；同时在征求意见期内通过行业渠道反馈互认条款诉求——地方条例征求意见是少数能直接影响登记规则设计的机会窗口。</w:t>
      </w:r>
    </w:p>
    <w:p>
      <w:pPr>
        <w:spacing w:lineRule="exact" w:line="560" w:before="0" w:after="0"/>
        <w:ind w:firstLine="640"/>
        <w:jc w:val="both"/>
      </w:pPr>
      <w:r>
        <w:rPr>
          <w:rFonts w:ascii="仿宋_GB2312" w:hAnsi="仿宋_GB2312" w:eastAsia="仿宋_GB2312"/>
          <w:b w:val="0"/>
          <w:sz w:val="32"/>
        </w:rPr>
        <w:t>① 数据资产登记路径暂缓落地（数据要素业务线）｜② 10 月内通过行业协会/商会渠道反馈互认条款意见（法务合规部）｜③ 跟踪两地正式稿出台时间，互认明确后一次申报</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“……数据资产登记实行一地登记、多地互认（具体办法另行制定）……（上海草案相关条款，北京草案对应条款表述为“按照国家统一登记规则执行”）”</w:t>
      </w:r>
    </w:p>
    <w:p>
      <w:pPr>
        <w:spacing w:lineRule="exact" w:line="560" w:before="0" w:after="0"/>
        <w:ind w:firstLine="560"/>
        <w:jc w:val="both"/>
      </w:pPr>
      <w:r>
        <w:rPr>
          <w:rFonts w:ascii="仿宋_GB2312" w:hAnsi="仿宋_GB2312" w:eastAsia="仿宋_GB2312"/>
          <w:b w:val="0"/>
          <w:color w:val="606060"/>
          <w:sz w:val="28"/>
        </w:rPr>
        <w:t>来源：沪京经信/数据局官网（官网，2026-10-01 发布）；原文直链待核验；机构页面：https://sheitc.sh.gov.cn/（该链接为机构/栏目页面，非原文直链）</w:t>
      </w:r>
    </w:p>
    <w:p>
      <w:pPr>
        <w:spacing w:lineRule="exact" w:line="560" w:before="0" w:after="0"/>
        <w:ind w:firstLine="560"/>
        <w:jc w:val="both"/>
      </w:pPr>
      <w:r>
        <w:rPr>
          <w:rFonts w:ascii="楷体_GB2312" w:hAnsi="楷体_GB2312" w:eastAsia="楷体_GB2312"/>
          <w:b w:val="0"/>
          <w:color w:val="C00000"/>
          <w:sz w:val="28"/>
        </w:rPr>
        <w:t>核验状态：待核验 · 演示内容。演示条目：来自 design/ 原型，原文直链与发布主体待人工核验</w:t>
      </w:r>
    </w:p>
    <w:p>
      <w:pPr>
        <w:spacing w:lineRule="exact" w:line="560" w:before="120" w:after="0"/>
        <w:jc w:val="both"/>
      </w:pPr>
      <w:r>
        <w:rPr>
          <w:rFonts w:ascii="黑体" w:hAnsi="黑体" w:eastAsia="黑体"/>
          <w:b w:val="0"/>
          <w:sz w:val="32"/>
        </w:rPr>
        <w:t>五、网络与数据安全监管动态（1 条）</w:t>
      </w:r>
    </w:p>
    <w:p>
      <w:pPr>
        <w:spacing w:lineRule="exact" w:line="560" w:before="0" w:after="0"/>
        <w:jc w:val="both"/>
      </w:pPr>
      <w:r>
        <w:rPr>
          <w:rFonts w:ascii="楷体_GB2312" w:hAnsi="楷体_GB2312" w:eastAsia="楷体_GB2312"/>
          <w:b w:val="0"/>
          <w:sz w:val="32"/>
        </w:rPr>
        <w:t>（一）网信办《个人信息保护合规审计管理办法》施行：处理超千万个人信息须年度强制审计［相关度 69 · 待核验 · 演示内容］</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《个人信息保护合规审计管理办法》自2026年9月30日起施行，处理超过一千万条个人信息的处理者须每年至少开展一次合规审计，审计报告及整改记录保存不少于三年。</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较此前规则，本项属义务可操作化：办法将《个人信息保护法》第五十四条的合规审计义务落为可核查程序——规模门槛（一千万条）、频次（每年至少一次）、方式（自审或委托专业机构）、留存要求（不少于三年）四要素齐备。</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本项直接影响我方全部涉个人信息处理业务（触发条件：处理数量超一千万条，公司用户规模已达标）。首次自审尚未开展，审计底稿与整改记录归档机制待建立。</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第四季度完成首次自审立项并明确底稿归档规则（法务合规部牵头，11月15日前形成审计方案）。纳入义务台账（YW-07），列为橙色风险（O-04）。</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“处理超过一千万条个人信息的处理者，应当每年至少开展一次个人信息保护合规审计；审计报告及整改记录保存期限不少于三年。”</w:t>
      </w:r>
    </w:p>
    <w:p>
      <w:pPr>
        <w:spacing w:lineRule="exact" w:line="560" w:before="0" w:after="0"/>
        <w:ind w:firstLine="560"/>
        <w:jc w:val="both"/>
      </w:pPr>
      <w:r>
        <w:rPr>
          <w:rFonts w:ascii="仿宋_GB2312" w:hAnsi="仿宋_GB2312" w:eastAsia="仿宋_GB2312"/>
          <w:b w:val="0"/>
          <w:color w:val="606060"/>
          <w:sz w:val="28"/>
        </w:rPr>
        <w:t>来源：国家网信办（2026-09-30 施行，2026-09-30 发布）；原文直链待核验；机构页面：https://www.cac.gov.cn/（该链接为机构/栏目页面，非原文直链）</w:t>
      </w:r>
    </w:p>
    <w:p>
      <w:pPr>
        <w:spacing w:lineRule="exact" w:line="560" w:before="0" w:after="0"/>
        <w:ind w:firstLine="560"/>
        <w:jc w:val="both"/>
      </w:pPr>
      <w:r>
        <w:rPr>
          <w:rFonts w:ascii="楷体_GB2312" w:hAnsi="楷体_GB2312" w:eastAsia="楷体_GB2312"/>
          <w:b w:val="0"/>
          <w:color w:val="C00000"/>
          <w:sz w:val="28"/>
        </w:rPr>
        <w:t>核验状态：待核验 · 演示内容。演示条目：来自 design/ 原型，原文直链与发布主体待人工核验</w:t>
      </w:r>
    </w:p>
    <w:p>
      <w:pPr>
        <w:spacing w:lineRule="exact" w:line="560" w:before="120" w:after="0"/>
        <w:jc w:val="both"/>
      </w:pPr>
      <w:r>
        <w:rPr>
          <w:rFonts w:ascii="黑体" w:hAnsi="黑体" w:eastAsia="黑体"/>
          <w:b w:val="0"/>
          <w:sz w:val="32"/>
        </w:rPr>
        <w:t>六、数字建造与行业应用监管动态（1 条）</w:t>
      </w:r>
    </w:p>
    <w:p>
      <w:pPr>
        <w:spacing w:lineRule="exact" w:line="560" w:before="0" w:after="0"/>
        <w:jc w:val="both"/>
      </w:pPr>
      <w:r>
        <w:rPr>
          <w:rFonts w:ascii="楷体_GB2312" w:hAnsi="楷体_GB2312" w:eastAsia="楷体_GB2312"/>
          <w:b w:val="0"/>
          <w:sz w:val="32"/>
        </w:rPr>
        <w:t>（一）《人工智能生成合成内容标识办法》施行首日：多家平台上线强制标注功能［相关度 68 · 待核验 · 演示内容］</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人工智能生成合成内容标识办法》（国家网信办等四部门2025年3月7日公布，自2025年9月1日起施行）运行满一年，本期监管通报显示多家平台完成强制标注功能改造，显式标识与含元数据的隐式标识同步落地，配套强制性国家标准GB 45438—2025同步实施。</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较此前规则，本项属义务持续履行阶段：办法第九条课以网络信息内容传播平台“核验生成合成内容是否含有规定的标识”的义务，属持续性作为义务；未履行核验义务提供传播服务的，依据《中华人民共和国网络安全法》第六十五条处理。GB 45438—2025作为强制性国家标准，使标识义务具备可检测的技术基准。</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本项直接影响我方平台内容发布链路（触发条件：平台提供用户生成内容与AI生成内容复合服务）。公司发布链路尚未嵌入标识检测能力，用户协议与社区规则亦未同步标识条款。行业层面，本期通报显示主要平台均已完成改造，标识核验已成为平台标配能力。</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1）11月15日前完成发布链路标识检测改造立项（科技研发部牵头）；（2）同步修订用户协议、社区规则中的AI生成内容条款（法务合规部）；（3）纳入义务台账（YW-02），状态“未启动”，列为橙色风险（O-02）。</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“……网络信息内容传播平台应当核验生成合成内容是否含有本办法规定的标识……（办法第九条）”</w:t>
      </w:r>
    </w:p>
    <w:p>
      <w:pPr>
        <w:spacing w:lineRule="exact" w:line="560" w:before="0" w:after="0"/>
        <w:ind w:firstLine="560"/>
        <w:jc w:val="both"/>
      </w:pPr>
      <w:r>
        <w:rPr>
          <w:rFonts w:ascii="仿宋_GB2312" w:hAnsi="仿宋_GB2312" w:eastAsia="仿宋_GB2312"/>
          <w:b w:val="0"/>
          <w:color w:val="606060"/>
          <w:sz w:val="28"/>
        </w:rPr>
        <w:t>来源：国家网信办等四部门（2025-09-01 施行，2026-10-04 发布）；原文直链待核验；机构页面：https://www.cac.gov.cn/（该链接为机构/栏目页面，非原文直链）</w:t>
      </w:r>
    </w:p>
    <w:p>
      <w:pPr>
        <w:spacing w:lineRule="exact" w:line="560" w:before="0" w:after="0"/>
        <w:ind w:firstLine="560"/>
        <w:jc w:val="both"/>
      </w:pPr>
      <w:r>
        <w:rPr>
          <w:rFonts w:ascii="楷体_GB2312" w:hAnsi="楷体_GB2312" w:eastAsia="楷体_GB2312"/>
          <w:b w:val="0"/>
          <w:color w:val="C00000"/>
          <w:sz w:val="28"/>
        </w:rPr>
        <w:t>核验状态：待核验 · 演示内容。演示条目：来自 design/ 原型，原文直链与发布主体待人工核验</w:t>
      </w:r>
    </w:p>
    <w:p>
      <w:pPr>
        <w:spacing w:lineRule="exact" w:line="560" w:before="120" w:after="0"/>
        <w:jc w:val="both"/>
      </w:pPr>
      <w:r>
        <w:rPr>
          <w:rFonts w:ascii="黑体" w:hAnsi="黑体" w:eastAsia="黑体"/>
          <w:b w:val="0"/>
          <w:sz w:val="32"/>
        </w:rPr>
        <w:t>七、下一步工作建议</w:t>
      </w:r>
    </w:p>
    <w:p>
      <w:pPr>
        <w:spacing w:lineRule="exact" w:line="560" w:before="0" w:after="0"/>
        <w:ind w:firstLine="640"/>
        <w:jc w:val="both"/>
      </w:pPr>
      <w:r>
        <w:rPr>
          <w:rFonts w:ascii="仿宋_GB2312" w:hAnsi="仿宋_GB2312" w:eastAsia="仿宋_GB2312"/>
          <w:b w:val="0"/>
          <w:sz w:val="32"/>
        </w:rPr>
        <w:t>1.跟踪落实「网信办《生成式人工智能服务备案实施细化要求》发布：模」：（1）10月17日前完成存量及在研AI功能面向公众提供情况的排查建档（法务合规部牵头）；（2）对落入范围的产品，10月31日前完成安全自评估报告编制立项并启动属地网信部门沟通（…</w:t>
      </w:r>
    </w:p>
    <w:p>
      <w:pPr>
        <w:spacing w:lineRule="exact" w:line="560" w:before="0" w:after="0"/>
        <w:ind w:firstLine="640"/>
        <w:jc w:val="both"/>
      </w:pPr>
      <w:r>
        <w:rPr>
          <w:rFonts w:ascii="仿宋_GB2312" w:hAnsi="仿宋_GB2312" w:eastAsia="仿宋_GB2312"/>
          <w:b w:val="0"/>
          <w:sz w:val="32"/>
        </w:rPr>
        <w:t>2.跟踪落实「网信办《个人信息出境认证办法》：认证成为出境三条路径」：（1）10月17日前完成存量跨境业务逐项盘点（数据管理部）；（2）10月31日前完成三路径选型论证并出具书面意见（法务合规部牵头）；（3）选型后立即启动申报，确保12月31日窗…</w:t>
      </w:r>
    </w:p>
    <w:p>
      <w:pPr>
        <w:spacing w:lineRule="exact" w:line="560" w:before="0" w:after="0"/>
        <w:ind w:firstLine="640"/>
        <w:jc w:val="both"/>
      </w:pPr>
      <w:r>
        <w:rPr>
          <w:rFonts w:ascii="仿宋_GB2312" w:hAnsi="仿宋_GB2312" w:eastAsia="仿宋_GB2312"/>
          <w:b w:val="0"/>
          <w:sz w:val="32"/>
        </w:rPr>
        <w:t>3.跟踪落实「网信办《个人信息保护合规审计管理办法》施行：处理超千」：第四季度完成首次自审立项并明确底稿归档规则（法务合规部牵头，11月15日前形成审计方案）。纳入义务台账（YW-07），列为橙色风险（O-04）。</w:t>
      </w:r>
    </w:p>
    <w:p>
      <w:pPr>
        <w:spacing w:lineRule="exact" w:line="560" w:before="0" w:after="0"/>
        <w:ind w:firstLine="640"/>
        <w:jc w:val="both"/>
      </w:pPr>
      <w:r>
        <w:rPr>
          <w:rFonts w:ascii="仿宋_GB2312" w:hAnsi="仿宋_GB2312" w:eastAsia="仿宋_GB2312"/>
          <w:b w:val="0"/>
          <w:sz w:val="32"/>
        </w:rPr>
        <w:t>4.跟踪落实「《人工智能生成合成内容标识办法》施行首日：多家平台上」：（1）11月15日前完成发布链路标识检测改造立项（科技研发部牵头）；（2）同步修订用户协议、社区规则中的AI生成内容条款（法务合规部）；（3）纳入义务台账（YW-02），状态“…</w:t>
      </w:r>
    </w:p>
    <w:p>
      <w:pPr>
        <w:spacing w:lineRule="exact" w:line="560" w:before="0" w:after="0"/>
        <w:ind w:firstLine="640"/>
        <w:jc w:val="both"/>
      </w:pPr>
      <w:r>
        <w:rPr>
          <w:rFonts w:ascii="仿宋_GB2312" w:hAnsi="仿宋_GB2312" w:eastAsia="仿宋_GB2312"/>
          <w:b w:val="0"/>
          <w:sz w:val="32"/>
        </w:rPr>
        <w:t>5.跟踪落实「最高法《数据权益保护司法解释（征求意见稿）》公开征求」：10月17日前组织内部评审并提交行业意见（法务合规部）。纳入立法进程跟踪表，列为黄色风险（Y-05）。</w:t>
      </w:r>
    </w:p>
    <w:p>
      <w:pPr>
        <w:spacing w:lineRule="exact" w:line="560" w:before="0" w:after="0"/>
        <w:ind w:firstLine="640"/>
        <w:jc w:val="both"/>
      </w:pPr>
      <w:r>
        <w:rPr>
          <w:rFonts w:ascii="仿宋_GB2312" w:hAnsi="仿宋_GB2312" w:eastAsia="仿宋_GB2312"/>
          <w:b w:val="0"/>
          <w:sz w:val="32"/>
        </w:rPr>
        <w:t>6.跟踪落实「网信办通报算法推荐管理规定执法案例：两平台因未公示算」：对照备案信息补充推荐、排序功能页的算法公示说明（科技研发部与法务合规部，11月30日前）。纳入义务台账（YW-04），列为黄色风险（Y-01）。</w:t>
      </w:r>
    </w:p>
    <w:p>
      <w:pPr>
        <w:spacing w:lineRule="exact" w:line="560" w:before="0" w:after="0"/>
        <w:ind w:firstLine="640"/>
        <w:jc w:val="both"/>
      </w:pPr>
      <w:r>
        <w:rPr>
          <w:rFonts w:ascii="仿宋_GB2312" w:hAnsi="仿宋_GB2312" w:eastAsia="仿宋_GB2312"/>
          <w:b w:val="0"/>
          <w:sz w:val="32"/>
        </w:rPr>
        <w:t>7.跟踪落实「国家数据局《公共数据授权运营实施指引》：发布授权运营」：若公司有意申请成为授权运营机构，或与持牌机构合作开发数据产品，当前是准备资质材料的窗口期：指引发布后首批试点遴选通常向“材料完备、场景明确”的申请方倾斜。建议法务合规部牵头对照…</w:t>
      </w:r>
    </w:p>
    <w:p>
      <w:pPr>
        <w:spacing w:lineRule="exact" w:line="560" w:before="0" w:after="0"/>
        <w:ind w:firstLine="640"/>
        <w:jc w:val="both"/>
      </w:pPr>
      <w:r>
        <w:rPr>
          <w:rFonts w:ascii="仿宋_GB2312" w:hAnsi="仿宋_GB2312" w:eastAsia="仿宋_GB2312"/>
          <w:b w:val="0"/>
          <w:sz w:val="32"/>
        </w:rPr>
        <w:t>8.跟踪落实「上海、北京同步推进数据条例修订：公共数据授权运营、数」：建议策略明确为“暂缓落地、跟踪规则”：涉多地经营的数据资产登记路径暂缓实施，待互认规则明确后一次性申报；同时在征求意见期内通过行业渠道反馈互认条款诉求——地方条例征求意见是少数…</w:t>
      </w:r>
    </w:p>
    <w:p>
      <w:pPr>
        <w:spacing w:lineRule="exact" w:line="560" w:before="0" w:after="0"/>
        <w:ind w:firstLine="560"/>
        <w:jc w:val="both"/>
      </w:pPr>
      <w:r>
        <w:rPr>
          <w:rFonts w:ascii="楷体_GB2312" w:hAnsi="楷体_GB2312" w:eastAsia="楷体_GB2312"/>
          <w:b w:val="0"/>
          <w:color w:val="808080"/>
          <w:sz w:val="28"/>
        </w:rPr>
        <w:t>上述建议为工具按入选条目自动汇总的跟踪提示，落实情况需人工确认，本报告不主张任何事项已完成。</w:t>
      </w:r>
    </w:p>
    <w:p>
      <w:pPr>
        <w:spacing w:lineRule="exact" w:line="560" w:before="120" w:after="0"/>
        <w:jc w:val="both"/>
      </w:pPr>
      <w:r>
        <w:rPr>
          <w:rFonts w:ascii="黑体" w:hAnsi="黑体" w:eastAsia="黑体"/>
          <w:b w:val="0"/>
          <w:sz w:val="32"/>
        </w:rPr>
        <w:t>八、附录：本期信息索引</w:t>
      </w:r>
    </w:p>
    <w:p>
      <w:pPr>
        <w:spacing w:lineRule="exact" w:line="560" w:before="0" w:after="0"/>
        <w:jc w:val="both"/>
      </w:pPr>
      <w:r>
        <w:rPr>
          <w:rFonts w:ascii="楷体_GB2312" w:hAnsi="楷体_GB2312" w:eastAsia="楷体_GB2312"/>
          <w:b w:val="0"/>
          <w:sz w:val="28"/>
        </w:rPr>
        <w:t>下表含未入选条目，便于回查；未入选不等于无关，仅表示未达本期入选标准。</w:t>
      </w:r>
    </w:p>
    <w:tbl>
      <w:tblPr>
        <w:tblStyle w:val="TableGrid"/>
        <w:tblW w:type="auto" w:w="0"/>
        <w:tblLook w:firstColumn="1" w:firstRow="1" w:lastColumn="0" w:lastRow="0" w:noHBand="0" w:noVBand="1" w:val="04A0"/>
      </w:tblPr>
      <w:tblGrid>
        <w:gridCol w:w="1106"/>
        <w:gridCol w:w="1106"/>
        <w:gridCol w:w="1106"/>
        <w:gridCol w:w="1106"/>
        <w:gridCol w:w="1106"/>
        <w:gridCol w:w="1106"/>
        <w:gridCol w:w="1106"/>
        <w:gridCol w:w="1106"/>
      </w:tblGrid>
      <w:tr>
        <w:tc>
          <w:tcPr>
            <w:tcW w:type="dxa" w:w="1106"/>
          </w:tcPr>
          <w:p>
            <w:r/>
            <w:r>
              <w:rPr>
                <w:rFonts w:ascii="黑体" w:hAnsi="黑体" w:eastAsia="黑体"/>
                <w:b w:val="0"/>
                <w:sz w:val="24"/>
              </w:rPr>
              <w:t>序号</w:t>
            </w:r>
          </w:p>
        </w:tc>
        <w:tc>
          <w:tcPr>
            <w:tcW w:type="dxa" w:w="1106"/>
          </w:tcPr>
          <w:p>
            <w:r/>
            <w:r>
              <w:rPr>
                <w:rFonts w:ascii="黑体" w:hAnsi="黑体" w:eastAsia="黑体"/>
                <w:b w:val="0"/>
                <w:sz w:val="24"/>
              </w:rPr>
              <w:t>标题</w:t>
            </w:r>
          </w:p>
        </w:tc>
        <w:tc>
          <w:tcPr>
            <w:tcW w:type="dxa" w:w="1106"/>
          </w:tcPr>
          <w:p>
            <w:r/>
            <w:r>
              <w:rPr>
                <w:rFonts w:ascii="黑体" w:hAnsi="黑体" w:eastAsia="黑体"/>
                <w:b w:val="0"/>
                <w:sz w:val="24"/>
              </w:rPr>
              <w:t>日期</w:t>
            </w:r>
          </w:p>
        </w:tc>
        <w:tc>
          <w:tcPr>
            <w:tcW w:type="dxa" w:w="1106"/>
          </w:tcPr>
          <w:p>
            <w:r/>
            <w:r>
              <w:rPr>
                <w:rFonts w:ascii="黑体" w:hAnsi="黑体" w:eastAsia="黑体"/>
                <w:b w:val="0"/>
                <w:sz w:val="24"/>
              </w:rPr>
              <w:t>类型</w:t>
            </w:r>
          </w:p>
        </w:tc>
        <w:tc>
          <w:tcPr>
            <w:tcW w:type="dxa" w:w="1106"/>
          </w:tcPr>
          <w:p>
            <w:r/>
            <w:r>
              <w:rPr>
                <w:rFonts w:ascii="黑体" w:hAnsi="黑体" w:eastAsia="黑体"/>
                <w:b w:val="0"/>
                <w:sz w:val="24"/>
              </w:rPr>
              <w:t>发布主体</w:t>
            </w:r>
          </w:p>
        </w:tc>
        <w:tc>
          <w:tcPr>
            <w:tcW w:type="dxa" w:w="1106"/>
          </w:tcPr>
          <w:p>
            <w:r/>
            <w:r>
              <w:rPr>
                <w:rFonts w:ascii="黑体" w:hAnsi="黑体" w:eastAsia="黑体"/>
                <w:b w:val="0"/>
                <w:sz w:val="24"/>
              </w:rPr>
              <w:t>相关度</w:t>
            </w:r>
          </w:p>
        </w:tc>
        <w:tc>
          <w:tcPr>
            <w:tcW w:type="dxa" w:w="1106"/>
          </w:tcPr>
          <w:p>
            <w:r/>
            <w:r>
              <w:rPr>
                <w:rFonts w:ascii="黑体" w:hAnsi="黑体" w:eastAsia="黑体"/>
                <w:b w:val="0"/>
                <w:sz w:val="24"/>
              </w:rPr>
              <w:t>核验状态</w:t>
            </w:r>
          </w:p>
        </w:tc>
        <w:tc>
          <w:tcPr>
            <w:tcW w:type="dxa" w:w="1106"/>
          </w:tcPr>
          <w:p>
            <w:r/>
            <w:r>
              <w:rPr>
                <w:rFonts w:ascii="黑体" w:hAnsi="黑体" w:eastAsia="黑体"/>
                <w:b w:val="0"/>
                <w:sz w:val="24"/>
              </w:rPr>
              <w:t>入选</w:t>
            </w:r>
          </w:p>
        </w:tc>
      </w:tr>
      <w:tr>
        <w:tc>
          <w:tcPr>
            <w:tcW w:type="dxa" w:w="1106"/>
          </w:tcPr>
          <w:p>
            <w:r/>
            <w:r>
              <w:rPr>
                <w:rFonts w:ascii="仿宋_GB2312" w:hAnsi="仿宋_GB2312" w:eastAsia="仿宋_GB2312"/>
                <w:b w:val="0"/>
                <w:sz w:val="24"/>
              </w:rPr>
              <w:t>1</w:t>
            </w:r>
          </w:p>
        </w:tc>
        <w:tc>
          <w:tcPr>
            <w:tcW w:type="dxa" w:w="1106"/>
          </w:tcPr>
          <w:p>
            <w:r/>
            <w:r>
              <w:rPr>
                <w:rFonts w:ascii="仿宋_GB2312" w:hAnsi="仿宋_GB2312" w:eastAsia="仿宋_GB2312"/>
                <w:b w:val="0"/>
                <w:sz w:val="24"/>
              </w:rPr>
              <w:t>网信办《生成式人工智能服务备案实施细化要求》发布：模型备案新增安全评估实测记录</w:t>
            </w:r>
          </w:p>
        </w:tc>
        <w:tc>
          <w:tcPr>
            <w:tcW w:type="dxa" w:w="1106"/>
          </w:tcPr>
          <w:p>
            <w:r/>
            <w:r>
              <w:rPr>
                <w:rFonts w:ascii="仿宋_GB2312" w:hAnsi="仿宋_GB2312" w:eastAsia="仿宋_GB2312"/>
                <w:b w:val="0"/>
                <w:sz w:val="24"/>
              </w:rPr>
              <w:t>2026-10-04</w:t>
            </w:r>
          </w:p>
        </w:tc>
        <w:tc>
          <w:tcPr>
            <w:tcW w:type="dxa" w:w="1106"/>
          </w:tcPr>
          <w:p>
            <w:r/>
            <w:r>
              <w:rPr>
                <w:rFonts w:ascii="仿宋_GB2312" w:hAnsi="仿宋_GB2312" w:eastAsia="仿宋_GB2312"/>
                <w:b w:val="0"/>
                <w:sz w:val="24"/>
              </w:rPr>
              <w:t>新法规</w:t>
            </w:r>
          </w:p>
        </w:tc>
        <w:tc>
          <w:tcPr>
            <w:tcW w:type="dxa" w:w="1106"/>
          </w:tcPr>
          <w:p>
            <w:r/>
            <w:r>
              <w:rPr>
                <w:rFonts w:ascii="仿宋_GB2312" w:hAnsi="仿宋_GB2312" w:eastAsia="仿宋_GB2312"/>
                <w:b w:val="0"/>
                <w:sz w:val="24"/>
              </w:rPr>
              <w:t>国家网信办</w:t>
            </w:r>
          </w:p>
        </w:tc>
        <w:tc>
          <w:tcPr>
            <w:tcW w:type="dxa" w:w="1106"/>
          </w:tcPr>
          <w:p>
            <w:r/>
            <w:r>
              <w:rPr>
                <w:rFonts w:ascii="仿宋_GB2312" w:hAnsi="仿宋_GB2312" w:eastAsia="仿宋_GB2312"/>
                <w:b w:val="0"/>
                <w:sz w:val="24"/>
              </w:rPr>
              <w:t>73</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2</w:t>
            </w:r>
          </w:p>
        </w:tc>
        <w:tc>
          <w:tcPr>
            <w:tcW w:type="dxa" w:w="1106"/>
          </w:tcPr>
          <w:p>
            <w:r/>
            <w:r>
              <w:rPr>
                <w:rFonts w:ascii="仿宋_GB2312" w:hAnsi="仿宋_GB2312" w:eastAsia="仿宋_GB2312"/>
                <w:b w:val="0"/>
                <w:sz w:val="24"/>
              </w:rPr>
              <w:t>网信办《个人信息出境认证办法》：认证成为出境三条路径之一，11 月 1 日施行</w:t>
            </w:r>
          </w:p>
        </w:tc>
        <w:tc>
          <w:tcPr>
            <w:tcW w:type="dxa" w:w="1106"/>
          </w:tcPr>
          <w:p>
            <w:r/>
            <w:r>
              <w:rPr>
                <w:rFonts w:ascii="仿宋_GB2312" w:hAnsi="仿宋_GB2312" w:eastAsia="仿宋_GB2312"/>
                <w:b w:val="0"/>
                <w:sz w:val="24"/>
              </w:rPr>
              <w:t>2026-10-03</w:t>
            </w:r>
          </w:p>
        </w:tc>
        <w:tc>
          <w:tcPr>
            <w:tcW w:type="dxa" w:w="1106"/>
          </w:tcPr>
          <w:p>
            <w:r/>
            <w:r>
              <w:rPr>
                <w:rFonts w:ascii="仿宋_GB2312" w:hAnsi="仿宋_GB2312" w:eastAsia="仿宋_GB2312"/>
                <w:b w:val="0"/>
                <w:sz w:val="24"/>
              </w:rPr>
              <w:t>新法规</w:t>
            </w:r>
          </w:p>
        </w:tc>
        <w:tc>
          <w:tcPr>
            <w:tcW w:type="dxa" w:w="1106"/>
          </w:tcPr>
          <w:p>
            <w:r/>
            <w:r>
              <w:rPr>
                <w:rFonts w:ascii="仿宋_GB2312" w:hAnsi="仿宋_GB2312" w:eastAsia="仿宋_GB2312"/>
                <w:b w:val="0"/>
                <w:sz w:val="24"/>
              </w:rPr>
              <w:t>国家网信办</w:t>
            </w:r>
          </w:p>
        </w:tc>
        <w:tc>
          <w:tcPr>
            <w:tcW w:type="dxa" w:w="1106"/>
          </w:tcPr>
          <w:p>
            <w:r/>
            <w:r>
              <w:rPr>
                <w:rFonts w:ascii="仿宋_GB2312" w:hAnsi="仿宋_GB2312" w:eastAsia="仿宋_GB2312"/>
                <w:b w:val="0"/>
                <w:sz w:val="24"/>
              </w:rPr>
              <w:t>69</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3</w:t>
            </w:r>
          </w:p>
        </w:tc>
        <w:tc>
          <w:tcPr>
            <w:tcW w:type="dxa" w:w="1106"/>
          </w:tcPr>
          <w:p>
            <w:r/>
            <w:r>
              <w:rPr>
                <w:rFonts w:ascii="仿宋_GB2312" w:hAnsi="仿宋_GB2312" w:eastAsia="仿宋_GB2312"/>
                <w:b w:val="0"/>
                <w:sz w:val="24"/>
              </w:rPr>
              <w:t>网信办《个人信息保护合规审计管理办法》施行：处理超千万个人信息须年度强制审计</w:t>
            </w:r>
          </w:p>
        </w:tc>
        <w:tc>
          <w:tcPr>
            <w:tcW w:type="dxa" w:w="1106"/>
          </w:tcPr>
          <w:p>
            <w:r/>
            <w:r>
              <w:rPr>
                <w:rFonts w:ascii="仿宋_GB2312" w:hAnsi="仿宋_GB2312" w:eastAsia="仿宋_GB2312"/>
                <w:b w:val="0"/>
                <w:sz w:val="24"/>
              </w:rPr>
              <w:t>2026-09-30</w:t>
            </w:r>
          </w:p>
        </w:tc>
        <w:tc>
          <w:tcPr>
            <w:tcW w:type="dxa" w:w="1106"/>
          </w:tcPr>
          <w:p>
            <w:r/>
            <w:r>
              <w:rPr>
                <w:rFonts w:ascii="仿宋_GB2312" w:hAnsi="仿宋_GB2312" w:eastAsia="仿宋_GB2312"/>
                <w:b w:val="0"/>
                <w:sz w:val="24"/>
              </w:rPr>
              <w:t>新法规</w:t>
            </w:r>
          </w:p>
        </w:tc>
        <w:tc>
          <w:tcPr>
            <w:tcW w:type="dxa" w:w="1106"/>
          </w:tcPr>
          <w:p>
            <w:r/>
            <w:r>
              <w:rPr>
                <w:rFonts w:ascii="仿宋_GB2312" w:hAnsi="仿宋_GB2312" w:eastAsia="仿宋_GB2312"/>
                <w:b w:val="0"/>
                <w:sz w:val="24"/>
              </w:rPr>
              <w:t>国家网信办</w:t>
            </w:r>
          </w:p>
        </w:tc>
        <w:tc>
          <w:tcPr>
            <w:tcW w:type="dxa" w:w="1106"/>
          </w:tcPr>
          <w:p>
            <w:r/>
            <w:r>
              <w:rPr>
                <w:rFonts w:ascii="仿宋_GB2312" w:hAnsi="仿宋_GB2312" w:eastAsia="仿宋_GB2312"/>
                <w:b w:val="0"/>
                <w:sz w:val="24"/>
              </w:rPr>
              <w:t>69</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4</w:t>
            </w:r>
          </w:p>
        </w:tc>
        <w:tc>
          <w:tcPr>
            <w:tcW w:type="dxa" w:w="1106"/>
          </w:tcPr>
          <w:p>
            <w:r/>
            <w:r>
              <w:rPr>
                <w:rFonts w:ascii="仿宋_GB2312" w:hAnsi="仿宋_GB2312" w:eastAsia="仿宋_GB2312"/>
                <w:b w:val="0"/>
                <w:sz w:val="24"/>
              </w:rPr>
              <w:t>《人工智能生成合成内容标识办法》施行首日：多家平台上线强制标注功能</w:t>
            </w:r>
          </w:p>
        </w:tc>
        <w:tc>
          <w:tcPr>
            <w:tcW w:type="dxa" w:w="1106"/>
          </w:tcPr>
          <w:p>
            <w:r/>
            <w:r>
              <w:rPr>
                <w:rFonts w:ascii="仿宋_GB2312" w:hAnsi="仿宋_GB2312" w:eastAsia="仿宋_GB2312"/>
                <w:b w:val="0"/>
                <w:sz w:val="24"/>
              </w:rPr>
              <w:t>2026-10-04</w:t>
            </w:r>
          </w:p>
        </w:tc>
        <w:tc>
          <w:tcPr>
            <w:tcW w:type="dxa" w:w="1106"/>
          </w:tcPr>
          <w:p>
            <w:r/>
            <w:r>
              <w:rPr>
                <w:rFonts w:ascii="仿宋_GB2312" w:hAnsi="仿宋_GB2312" w:eastAsia="仿宋_GB2312"/>
                <w:b w:val="0"/>
                <w:sz w:val="24"/>
              </w:rPr>
              <w:t>执法处罚</w:t>
            </w:r>
          </w:p>
        </w:tc>
        <w:tc>
          <w:tcPr>
            <w:tcW w:type="dxa" w:w="1106"/>
          </w:tcPr>
          <w:p>
            <w:r/>
            <w:r>
              <w:rPr>
                <w:rFonts w:ascii="仿宋_GB2312" w:hAnsi="仿宋_GB2312" w:eastAsia="仿宋_GB2312"/>
                <w:b w:val="0"/>
                <w:sz w:val="24"/>
              </w:rPr>
              <w:t>国家网信办等四部门</w:t>
            </w:r>
          </w:p>
        </w:tc>
        <w:tc>
          <w:tcPr>
            <w:tcW w:type="dxa" w:w="1106"/>
          </w:tcPr>
          <w:p>
            <w:r/>
            <w:r>
              <w:rPr>
                <w:rFonts w:ascii="仿宋_GB2312" w:hAnsi="仿宋_GB2312" w:eastAsia="仿宋_GB2312"/>
                <w:b w:val="0"/>
                <w:sz w:val="24"/>
              </w:rPr>
              <w:t>68</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5</w:t>
            </w:r>
          </w:p>
        </w:tc>
        <w:tc>
          <w:tcPr>
            <w:tcW w:type="dxa" w:w="1106"/>
          </w:tcPr>
          <w:p>
            <w:r/>
            <w:r>
              <w:rPr>
                <w:rFonts w:ascii="仿宋_GB2312" w:hAnsi="仿宋_GB2312" w:eastAsia="仿宋_GB2312"/>
                <w:b w:val="0"/>
                <w:sz w:val="24"/>
              </w:rPr>
              <w:t>最高法《数据权益保护司法解释（征求意见稿）》公开征求意见</w:t>
            </w:r>
          </w:p>
        </w:tc>
        <w:tc>
          <w:tcPr>
            <w:tcW w:type="dxa" w:w="1106"/>
          </w:tcPr>
          <w:p>
            <w:r/>
            <w:r>
              <w:rPr>
                <w:rFonts w:ascii="仿宋_GB2312" w:hAnsi="仿宋_GB2312" w:eastAsia="仿宋_GB2312"/>
                <w:b w:val="0"/>
                <w:sz w:val="24"/>
              </w:rPr>
              <w:t>2026-10-02</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最高人民法院</w:t>
            </w:r>
          </w:p>
        </w:tc>
        <w:tc>
          <w:tcPr>
            <w:tcW w:type="dxa" w:w="1106"/>
          </w:tcPr>
          <w:p>
            <w:r/>
            <w:r>
              <w:rPr>
                <w:rFonts w:ascii="仿宋_GB2312" w:hAnsi="仿宋_GB2312" w:eastAsia="仿宋_GB2312"/>
                <w:b w:val="0"/>
                <w:sz w:val="24"/>
              </w:rPr>
              <w:t>65</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6</w:t>
            </w:r>
          </w:p>
        </w:tc>
        <w:tc>
          <w:tcPr>
            <w:tcW w:type="dxa" w:w="1106"/>
          </w:tcPr>
          <w:p>
            <w:r/>
            <w:r>
              <w:rPr>
                <w:rFonts w:ascii="仿宋_GB2312" w:hAnsi="仿宋_GB2312" w:eastAsia="仿宋_GB2312"/>
                <w:b w:val="0"/>
                <w:sz w:val="24"/>
              </w:rPr>
              <w:t>网信办通报算法推荐管理规定执法案例：两平台因未公示算法原理被限期整改</w:t>
            </w:r>
          </w:p>
        </w:tc>
        <w:tc>
          <w:tcPr>
            <w:tcW w:type="dxa" w:w="1106"/>
          </w:tcPr>
          <w:p>
            <w:r/>
            <w:r>
              <w:rPr>
                <w:rFonts w:ascii="仿宋_GB2312" w:hAnsi="仿宋_GB2312" w:eastAsia="仿宋_GB2312"/>
                <w:b w:val="0"/>
                <w:sz w:val="24"/>
              </w:rPr>
              <w:t>2026-09-28</w:t>
            </w:r>
          </w:p>
        </w:tc>
        <w:tc>
          <w:tcPr>
            <w:tcW w:type="dxa" w:w="1106"/>
          </w:tcPr>
          <w:p>
            <w:r/>
            <w:r>
              <w:rPr>
                <w:rFonts w:ascii="仿宋_GB2312" w:hAnsi="仿宋_GB2312" w:eastAsia="仿宋_GB2312"/>
                <w:b w:val="0"/>
                <w:sz w:val="24"/>
              </w:rPr>
              <w:t>执法处罚</w:t>
            </w:r>
          </w:p>
        </w:tc>
        <w:tc>
          <w:tcPr>
            <w:tcW w:type="dxa" w:w="1106"/>
          </w:tcPr>
          <w:p>
            <w:r/>
            <w:r>
              <w:rPr>
                <w:rFonts w:ascii="仿宋_GB2312" w:hAnsi="仿宋_GB2312" w:eastAsia="仿宋_GB2312"/>
                <w:b w:val="0"/>
                <w:sz w:val="24"/>
              </w:rPr>
              <w:t>国家网信办</w:t>
            </w:r>
          </w:p>
        </w:tc>
        <w:tc>
          <w:tcPr>
            <w:tcW w:type="dxa" w:w="1106"/>
          </w:tcPr>
          <w:p>
            <w:r/>
            <w:r>
              <w:rPr>
                <w:rFonts w:ascii="仿宋_GB2312" w:hAnsi="仿宋_GB2312" w:eastAsia="仿宋_GB2312"/>
                <w:b w:val="0"/>
                <w:sz w:val="24"/>
              </w:rPr>
              <w:t>60</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7</w:t>
            </w:r>
          </w:p>
        </w:tc>
        <w:tc>
          <w:tcPr>
            <w:tcW w:type="dxa" w:w="1106"/>
          </w:tcPr>
          <w:p>
            <w:r/>
            <w:r>
              <w:rPr>
                <w:rFonts w:ascii="仿宋_GB2312" w:hAnsi="仿宋_GB2312" w:eastAsia="仿宋_GB2312"/>
                <w:b w:val="0"/>
                <w:sz w:val="24"/>
              </w:rPr>
              <w:t>国家数据局《公共数据授权运营实施指引》：发布授权运营协议示范文本</w:t>
            </w:r>
          </w:p>
        </w:tc>
        <w:tc>
          <w:tcPr>
            <w:tcW w:type="dxa" w:w="1106"/>
          </w:tcPr>
          <w:p>
            <w:r/>
            <w:r>
              <w:rPr>
                <w:rFonts w:ascii="仿宋_GB2312" w:hAnsi="仿宋_GB2312" w:eastAsia="仿宋_GB2312"/>
                <w:b w:val="0"/>
                <w:sz w:val="24"/>
              </w:rPr>
              <w:t>2026-10-04</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57</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8</w:t>
            </w:r>
          </w:p>
        </w:tc>
        <w:tc>
          <w:tcPr>
            <w:tcW w:type="dxa" w:w="1106"/>
          </w:tcPr>
          <w:p>
            <w:r/>
            <w:r>
              <w:rPr>
                <w:rFonts w:ascii="仿宋_GB2312" w:hAnsi="仿宋_GB2312" w:eastAsia="仿宋_GB2312"/>
                <w:b w:val="0"/>
                <w:sz w:val="24"/>
              </w:rPr>
              <w:t>上海、北京同步推进数据条例修订：公共数据授权运营、数据资产登记入法</w:t>
            </w:r>
          </w:p>
        </w:tc>
        <w:tc>
          <w:tcPr>
            <w:tcW w:type="dxa" w:w="1106"/>
          </w:tcPr>
          <w:p>
            <w:r/>
            <w:r>
              <w:rPr>
                <w:rFonts w:ascii="仿宋_GB2312" w:hAnsi="仿宋_GB2312" w:eastAsia="仿宋_GB2312"/>
                <w:b w:val="0"/>
                <w:sz w:val="24"/>
              </w:rPr>
              <w:t>2026-10-01</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沪京经信/数据局官网</w:t>
            </w:r>
          </w:p>
        </w:tc>
        <w:tc>
          <w:tcPr>
            <w:tcW w:type="dxa" w:w="1106"/>
          </w:tcPr>
          <w:p>
            <w:r/>
            <w:r>
              <w:rPr>
                <w:rFonts w:ascii="仿宋_GB2312" w:hAnsi="仿宋_GB2312" w:eastAsia="仿宋_GB2312"/>
                <w:b w:val="0"/>
                <w:sz w:val="24"/>
              </w:rPr>
              <w:t>55</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9</w:t>
            </w:r>
          </w:p>
        </w:tc>
        <w:tc>
          <w:tcPr>
            <w:tcW w:type="dxa" w:w="1106"/>
          </w:tcPr>
          <w:p>
            <w:r/>
            <w:r>
              <w:rPr>
                <w:rFonts w:ascii="仿宋_GB2312" w:hAnsi="仿宋_GB2312" w:eastAsia="仿宋_GB2312"/>
                <w:b w:val="0"/>
                <w:sz w:val="24"/>
              </w:rPr>
              <w:t>市场监管总局对某互联网平台“二选一”行为作出行政处罚</w:t>
            </w:r>
          </w:p>
        </w:tc>
        <w:tc>
          <w:tcPr>
            <w:tcW w:type="dxa" w:w="1106"/>
          </w:tcPr>
          <w:p>
            <w:r/>
            <w:r>
              <w:rPr>
                <w:rFonts w:ascii="仿宋_GB2312" w:hAnsi="仿宋_GB2312" w:eastAsia="仿宋_GB2312"/>
                <w:b w:val="0"/>
                <w:sz w:val="24"/>
              </w:rPr>
              <w:t>2026-10-03</w:t>
            </w:r>
          </w:p>
        </w:tc>
        <w:tc>
          <w:tcPr>
            <w:tcW w:type="dxa" w:w="1106"/>
          </w:tcPr>
          <w:p>
            <w:r/>
            <w:r>
              <w:rPr>
                <w:rFonts w:ascii="仿宋_GB2312" w:hAnsi="仿宋_GB2312" w:eastAsia="仿宋_GB2312"/>
                <w:b w:val="0"/>
                <w:sz w:val="24"/>
              </w:rPr>
              <w:t>执法处罚</w:t>
            </w:r>
          </w:p>
        </w:tc>
        <w:tc>
          <w:tcPr>
            <w:tcW w:type="dxa" w:w="1106"/>
          </w:tcPr>
          <w:p>
            <w:r/>
            <w:r>
              <w:rPr>
                <w:rFonts w:ascii="仿宋_GB2312" w:hAnsi="仿宋_GB2312" w:eastAsia="仿宋_GB2312"/>
                <w:b w:val="0"/>
                <w:sz w:val="24"/>
              </w:rPr>
              <w:t>市场监管总局</w:t>
            </w:r>
          </w:p>
        </w:tc>
        <w:tc>
          <w:tcPr>
            <w:tcW w:type="dxa" w:w="1106"/>
          </w:tcPr>
          <w:p>
            <w:r/>
            <w:r>
              <w:rPr>
                <w:rFonts w:ascii="仿宋_GB2312" w:hAnsi="仿宋_GB2312" w:eastAsia="仿宋_GB2312"/>
                <w:b w:val="0"/>
                <w:sz w:val="24"/>
              </w:rPr>
              <w:t>54</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10</w:t>
            </w:r>
          </w:p>
        </w:tc>
        <w:tc>
          <w:tcPr>
            <w:tcW w:type="dxa" w:w="1106"/>
          </w:tcPr>
          <w:p>
            <w:r/>
            <w:r>
              <w:rPr>
                <w:rFonts w:ascii="仿宋_GB2312" w:hAnsi="仿宋_GB2312" w:eastAsia="仿宋_GB2312"/>
                <w:b w:val="0"/>
                <w:sz w:val="24"/>
              </w:rPr>
              <w:t>工信部通报第 N 批侵害用户权益 APP/SDK：违规收集个人信息、强制索权 37 款</w:t>
            </w:r>
          </w:p>
        </w:tc>
        <w:tc>
          <w:tcPr>
            <w:tcW w:type="dxa" w:w="1106"/>
          </w:tcPr>
          <w:p>
            <w:r/>
            <w:r>
              <w:rPr>
                <w:rFonts w:ascii="仿宋_GB2312" w:hAnsi="仿宋_GB2312" w:eastAsia="仿宋_GB2312"/>
                <w:b w:val="0"/>
                <w:sz w:val="24"/>
              </w:rPr>
              <w:t>2026-09-30</w:t>
            </w:r>
          </w:p>
        </w:tc>
        <w:tc>
          <w:tcPr>
            <w:tcW w:type="dxa" w:w="1106"/>
          </w:tcPr>
          <w:p>
            <w:r/>
            <w:r>
              <w:rPr>
                <w:rFonts w:ascii="仿宋_GB2312" w:hAnsi="仿宋_GB2312" w:eastAsia="仿宋_GB2312"/>
                <w:b w:val="0"/>
                <w:sz w:val="24"/>
              </w:rPr>
              <w:t>执法处罚</w:t>
            </w:r>
          </w:p>
        </w:tc>
        <w:tc>
          <w:tcPr>
            <w:tcW w:type="dxa" w:w="1106"/>
          </w:tcPr>
          <w:p>
            <w:r/>
            <w:r>
              <w:rPr>
                <w:rFonts w:ascii="仿宋_GB2312" w:hAnsi="仿宋_GB2312" w:eastAsia="仿宋_GB2312"/>
                <w:b w:val="0"/>
                <w:sz w:val="24"/>
              </w:rPr>
              <w:t>工业和信息化部</w:t>
            </w:r>
          </w:p>
        </w:tc>
        <w:tc>
          <w:tcPr>
            <w:tcW w:type="dxa" w:w="1106"/>
          </w:tcPr>
          <w:p>
            <w:r/>
            <w:r>
              <w:rPr>
                <w:rFonts w:ascii="仿宋_GB2312" w:hAnsi="仿宋_GB2312" w:eastAsia="仿宋_GB2312"/>
                <w:b w:val="0"/>
                <w:sz w:val="24"/>
              </w:rPr>
              <w:t>54</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11</w:t>
            </w:r>
          </w:p>
        </w:tc>
        <w:tc>
          <w:tcPr>
            <w:tcW w:type="dxa" w:w="1106"/>
          </w:tcPr>
          <w:p>
            <w:r/>
            <w:r>
              <w:rPr>
                <w:rFonts w:ascii="仿宋_GB2312" w:hAnsi="仿宋_GB2312" w:eastAsia="仿宋_GB2312"/>
                <w:b w:val="0"/>
                <w:sz w:val="24"/>
              </w:rPr>
              <w:t>网信办《网络数据安全管理条例》配套实施细则：重要数据识别自评报告模板发布</w:t>
            </w:r>
          </w:p>
        </w:tc>
        <w:tc>
          <w:tcPr>
            <w:tcW w:type="dxa" w:w="1106"/>
          </w:tcPr>
          <w:p>
            <w:r/>
            <w:r>
              <w:rPr>
                <w:rFonts w:ascii="仿宋_GB2312" w:hAnsi="仿宋_GB2312" w:eastAsia="仿宋_GB2312"/>
                <w:b w:val="0"/>
                <w:sz w:val="24"/>
              </w:rPr>
              <w:t>2026-10-02</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国家网信办</w:t>
            </w:r>
          </w:p>
        </w:tc>
        <w:tc>
          <w:tcPr>
            <w:tcW w:type="dxa" w:w="1106"/>
          </w:tcPr>
          <w:p>
            <w:r/>
            <w:r>
              <w:rPr>
                <w:rFonts w:ascii="仿宋_GB2312" w:hAnsi="仿宋_GB2312" w:eastAsia="仿宋_GB2312"/>
                <w:b w:val="0"/>
                <w:sz w:val="24"/>
              </w:rPr>
              <w:t>53</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12</w:t>
            </w:r>
          </w:p>
        </w:tc>
        <w:tc>
          <w:tcPr>
            <w:tcW w:type="dxa" w:w="1106"/>
          </w:tcPr>
          <w:p>
            <w:r/>
            <w:r>
              <w:rPr>
                <w:rFonts w:ascii="仿宋_GB2312" w:hAnsi="仿宋_GB2312" w:eastAsia="仿宋_GB2312"/>
                <w:b w:val="0"/>
                <w:sz w:val="24"/>
              </w:rPr>
              <w:t>工信部发布大模型应用安全管理要求：上线前安全评估覆盖“深度合成+Agent 调用链”</w:t>
            </w:r>
          </w:p>
        </w:tc>
        <w:tc>
          <w:tcPr>
            <w:tcW w:type="dxa" w:w="1106"/>
          </w:tcPr>
          <w:p>
            <w:r/>
            <w:r>
              <w:rPr>
                <w:rFonts w:ascii="仿宋_GB2312" w:hAnsi="仿宋_GB2312" w:eastAsia="仿宋_GB2312"/>
                <w:b w:val="0"/>
                <w:sz w:val="24"/>
              </w:rPr>
              <w:t>2026-10-01</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工业和信息化部</w:t>
            </w:r>
          </w:p>
        </w:tc>
        <w:tc>
          <w:tcPr>
            <w:tcW w:type="dxa" w:w="1106"/>
          </w:tcPr>
          <w:p>
            <w:r/>
            <w:r>
              <w:rPr>
                <w:rFonts w:ascii="仿宋_GB2312" w:hAnsi="仿宋_GB2312" w:eastAsia="仿宋_GB2312"/>
                <w:b w:val="0"/>
                <w:sz w:val="24"/>
              </w:rPr>
              <w:t>53</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13</w:t>
            </w:r>
          </w:p>
        </w:tc>
        <w:tc>
          <w:tcPr>
            <w:tcW w:type="dxa" w:w="1106"/>
          </w:tcPr>
          <w:p>
            <w:r/>
            <w:r>
              <w:rPr>
                <w:rFonts w:ascii="仿宋_GB2312" w:hAnsi="仿宋_GB2312" w:eastAsia="仿宋_GB2312"/>
                <w:b w:val="0"/>
                <w:sz w:val="24"/>
              </w:rPr>
              <w:t>欧盟 Digital Omnibus：AI Act 高风险义务推迟至 2027-12 / 2028-08 施行</w:t>
            </w:r>
          </w:p>
        </w:tc>
        <w:tc>
          <w:tcPr>
            <w:tcW w:type="dxa" w:w="1106"/>
          </w:tcPr>
          <w:p>
            <w:r/>
            <w:r>
              <w:rPr>
                <w:rFonts w:ascii="仿宋_GB2312" w:hAnsi="仿宋_GB2312" w:eastAsia="仿宋_GB2312"/>
                <w:b w:val="0"/>
                <w:sz w:val="24"/>
              </w:rPr>
              <w:t>2026-09-27</w:t>
            </w:r>
          </w:p>
        </w:tc>
        <w:tc>
          <w:tcPr>
            <w:tcW w:type="dxa" w:w="1106"/>
          </w:tcPr>
          <w:p>
            <w:r/>
            <w:r>
              <w:rPr>
                <w:rFonts w:ascii="仿宋_GB2312" w:hAnsi="仿宋_GB2312" w:eastAsia="仿宋_GB2312"/>
                <w:b w:val="0"/>
                <w:sz w:val="24"/>
              </w:rPr>
              <w:t>域外动态</w:t>
            </w:r>
          </w:p>
        </w:tc>
        <w:tc>
          <w:tcPr>
            <w:tcW w:type="dxa" w:w="1106"/>
          </w:tcPr>
          <w:p>
            <w:r/>
            <w:r>
              <w:rPr>
                <w:rFonts w:ascii="仿宋_GB2312" w:hAnsi="仿宋_GB2312" w:eastAsia="仿宋_GB2312"/>
                <w:b w:val="0"/>
                <w:sz w:val="24"/>
              </w:rPr>
              <w:t>欧盟官方公报 EUR-Lex</w:t>
            </w:r>
          </w:p>
        </w:tc>
        <w:tc>
          <w:tcPr>
            <w:tcW w:type="dxa" w:w="1106"/>
          </w:tcPr>
          <w:p>
            <w:r/>
            <w:r>
              <w:rPr>
                <w:rFonts w:ascii="仿宋_GB2312" w:hAnsi="仿宋_GB2312" w:eastAsia="仿宋_GB2312"/>
                <w:b w:val="0"/>
                <w:sz w:val="24"/>
              </w:rPr>
              <w:t>53</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14</w:t>
            </w:r>
          </w:p>
        </w:tc>
        <w:tc>
          <w:tcPr>
            <w:tcW w:type="dxa" w:w="1106"/>
          </w:tcPr>
          <w:p>
            <w:r/>
            <w:r>
              <w:rPr>
                <w:rFonts w:ascii="仿宋_GB2312" w:hAnsi="仿宋_GB2312" w:eastAsia="仿宋_GB2312"/>
                <w:b w:val="0"/>
                <w:sz w:val="24"/>
              </w:rPr>
              <w:t>美国 FTC 发布算法歧视执法声明：将歧视性 AI 决策纳入 FTC Act 第 5 节规制</w:t>
            </w:r>
          </w:p>
        </w:tc>
        <w:tc>
          <w:tcPr>
            <w:tcW w:type="dxa" w:w="1106"/>
          </w:tcPr>
          <w:p>
            <w:r/>
            <w:r>
              <w:rPr>
                <w:rFonts w:ascii="仿宋_GB2312" w:hAnsi="仿宋_GB2312" w:eastAsia="仿宋_GB2312"/>
                <w:b w:val="0"/>
                <w:sz w:val="24"/>
              </w:rPr>
              <w:t>2026-09-26</w:t>
            </w:r>
          </w:p>
        </w:tc>
        <w:tc>
          <w:tcPr>
            <w:tcW w:type="dxa" w:w="1106"/>
          </w:tcPr>
          <w:p>
            <w:r/>
            <w:r>
              <w:rPr>
                <w:rFonts w:ascii="仿宋_GB2312" w:hAnsi="仿宋_GB2312" w:eastAsia="仿宋_GB2312"/>
                <w:b w:val="0"/>
                <w:sz w:val="24"/>
              </w:rPr>
              <w:t>域外动态</w:t>
            </w:r>
          </w:p>
        </w:tc>
        <w:tc>
          <w:tcPr>
            <w:tcW w:type="dxa" w:w="1106"/>
          </w:tcPr>
          <w:p>
            <w:r/>
            <w:r>
              <w:rPr>
                <w:rFonts w:ascii="仿宋_GB2312" w:hAnsi="仿宋_GB2312" w:eastAsia="仿宋_GB2312"/>
                <w:b w:val="0"/>
                <w:sz w:val="24"/>
              </w:rPr>
              <w:t>FTC 官网</w:t>
            </w:r>
          </w:p>
        </w:tc>
        <w:tc>
          <w:tcPr>
            <w:tcW w:type="dxa" w:w="1106"/>
          </w:tcPr>
          <w:p>
            <w:r/>
            <w:r>
              <w:rPr>
                <w:rFonts w:ascii="仿宋_GB2312" w:hAnsi="仿宋_GB2312" w:eastAsia="仿宋_GB2312"/>
                <w:b w:val="0"/>
                <w:sz w:val="24"/>
              </w:rPr>
              <w:t>53</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15</w:t>
            </w:r>
          </w:p>
        </w:tc>
        <w:tc>
          <w:tcPr>
            <w:tcW w:type="dxa" w:w="1106"/>
          </w:tcPr>
          <w:p>
            <w:r/>
            <w:r>
              <w:rPr>
                <w:rFonts w:ascii="仿宋_GB2312" w:hAnsi="仿宋_GB2312" w:eastAsia="仿宋_GB2312"/>
                <w:b w:val="0"/>
                <w:sz w:val="24"/>
              </w:rPr>
              <w:t>财政部《企业数据资源相关会计处理规定》应用指南：数据资产入表细化至三类情形</w:t>
            </w:r>
          </w:p>
        </w:tc>
        <w:tc>
          <w:tcPr>
            <w:tcW w:type="dxa" w:w="1106"/>
          </w:tcPr>
          <w:p>
            <w:r/>
            <w:r>
              <w:rPr>
                <w:rFonts w:ascii="仿宋_GB2312" w:hAnsi="仿宋_GB2312" w:eastAsia="仿宋_GB2312"/>
                <w:b w:val="0"/>
                <w:sz w:val="24"/>
              </w:rPr>
              <w:t>2026-09-29</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财政部</w:t>
            </w:r>
          </w:p>
        </w:tc>
        <w:tc>
          <w:tcPr>
            <w:tcW w:type="dxa" w:w="1106"/>
          </w:tcPr>
          <w:p>
            <w:r/>
            <w:r>
              <w:rPr>
                <w:rFonts w:ascii="仿宋_GB2312" w:hAnsi="仿宋_GB2312" w:eastAsia="仿宋_GB2312"/>
                <w:b w:val="0"/>
                <w:sz w:val="24"/>
              </w:rPr>
              <w:t>49</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16</w:t>
            </w:r>
          </w:p>
        </w:tc>
        <w:tc>
          <w:tcPr>
            <w:tcW w:type="dxa" w:w="1106"/>
          </w:tcPr>
          <w:p>
            <w:r/>
            <w:r>
              <w:rPr>
                <w:rFonts w:ascii="仿宋_GB2312" w:hAnsi="仿宋_GB2312" w:eastAsia="仿宋_GB2312"/>
                <w:b w:val="0"/>
                <w:sz w:val="24"/>
              </w:rPr>
              <w:t>专家解读 | 以登记指引夯实数据产权制度根基 以能源企业实践赋能数据价值释放</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42</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17</w:t>
            </w:r>
          </w:p>
        </w:tc>
        <w:tc>
          <w:tcPr>
            <w:tcW w:type="dxa" w:w="1106"/>
          </w:tcPr>
          <w:p>
            <w:r/>
            <w:r>
              <w:rPr>
                <w:rFonts w:ascii="仿宋_GB2312" w:hAnsi="仿宋_GB2312" w:eastAsia="仿宋_GB2312"/>
                <w:b w:val="0"/>
                <w:sz w:val="24"/>
              </w:rPr>
              <w:t>专家解读 | 以数据产权登记为抓手 探索商业银行数据资产化新路径</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42</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18</w:t>
            </w:r>
          </w:p>
        </w:tc>
        <w:tc>
          <w:tcPr>
            <w:tcW w:type="dxa" w:w="1106"/>
          </w:tcPr>
          <w:p>
            <w:r/>
            <w:r>
              <w:rPr>
                <w:rFonts w:ascii="仿宋_GB2312" w:hAnsi="仿宋_GB2312" w:eastAsia="仿宋_GB2312"/>
                <w:b w:val="0"/>
                <w:sz w:val="24"/>
              </w:rPr>
              <w:t>专家解读 | 建立数据产权登记制度 夯实数据基础制度基石</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42</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19</w:t>
            </w:r>
          </w:p>
        </w:tc>
        <w:tc>
          <w:tcPr>
            <w:tcW w:type="dxa" w:w="1106"/>
          </w:tcPr>
          <w:p>
            <w:r/>
            <w:r>
              <w:rPr>
                <w:rFonts w:ascii="仿宋_GB2312" w:hAnsi="仿宋_GB2312" w:eastAsia="仿宋_GB2312"/>
                <w:b w:val="0"/>
                <w:sz w:val="24"/>
              </w:rPr>
              <w:t>专家解读 | 开展数据产权登记，助力数据要素价值释放</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42</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20</w:t>
            </w:r>
          </w:p>
        </w:tc>
        <w:tc>
          <w:tcPr>
            <w:tcW w:type="dxa" w:w="1106"/>
          </w:tcPr>
          <w:p>
            <w:r/>
            <w:r>
              <w:rPr>
                <w:rFonts w:ascii="仿宋_GB2312" w:hAnsi="仿宋_GB2312" w:eastAsia="仿宋_GB2312"/>
                <w:b w:val="0"/>
                <w:sz w:val="24"/>
              </w:rPr>
              <w:t>专家解读 | 以统一数据产权登记体系 推动全国一体化数据市场建设</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42</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21</w:t>
            </w:r>
          </w:p>
        </w:tc>
        <w:tc>
          <w:tcPr>
            <w:tcW w:type="dxa" w:w="1106"/>
          </w:tcPr>
          <w:p>
            <w:r/>
            <w:r>
              <w:rPr>
                <w:rFonts w:ascii="仿宋_GB2312" w:hAnsi="仿宋_GB2312" w:eastAsia="仿宋_GB2312"/>
                <w:b w:val="0"/>
                <w:sz w:val="24"/>
              </w:rPr>
              <w:t>专家解读 | 激活数据产权制度效能 共建全国一体化数据市场</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42</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22</w:t>
            </w:r>
          </w:p>
        </w:tc>
        <w:tc>
          <w:tcPr>
            <w:tcW w:type="dxa" w:w="1106"/>
          </w:tcPr>
          <w:p>
            <w:r/>
            <w:r>
              <w:rPr>
                <w:rFonts w:ascii="仿宋_GB2312" w:hAnsi="仿宋_GB2312" w:eastAsia="仿宋_GB2312"/>
                <w:b w:val="0"/>
                <w:sz w:val="24"/>
              </w:rPr>
              <w:t>专家解读 | 以规范透明、独立公正的数据产权登记服务 赋能数据要素合规高效流通</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42</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23</w:t>
            </w:r>
          </w:p>
        </w:tc>
        <w:tc>
          <w:tcPr>
            <w:tcW w:type="dxa" w:w="1106"/>
          </w:tcPr>
          <w:p>
            <w:r/>
            <w:r>
              <w:rPr>
                <w:rFonts w:ascii="仿宋_GB2312" w:hAnsi="仿宋_GB2312" w:eastAsia="仿宋_GB2312"/>
                <w:b w:val="0"/>
                <w:sz w:val="24"/>
              </w:rPr>
              <w:t>专家解读 | 坚持质量优先、合理审慎 提升数据产权登记公信力</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42</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24</w:t>
            </w:r>
          </w:p>
        </w:tc>
        <w:tc>
          <w:tcPr>
            <w:tcW w:type="dxa" w:w="1106"/>
          </w:tcPr>
          <w:p>
            <w:r/>
            <w:r>
              <w:rPr>
                <w:rFonts w:ascii="仿宋_GB2312" w:hAnsi="仿宋_GB2312" w:eastAsia="仿宋_GB2312"/>
                <w:b w:val="0"/>
                <w:sz w:val="24"/>
              </w:rPr>
              <w:t>一图读懂 | 关于推进行业高质量数据集建设行动的实施方案</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42</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25</w:t>
            </w:r>
          </w:p>
        </w:tc>
        <w:tc>
          <w:tcPr>
            <w:tcW w:type="dxa" w:w="1106"/>
          </w:tcPr>
          <w:p>
            <w:r/>
            <w:r>
              <w:rPr>
                <w:rFonts w:ascii="仿宋_GB2312" w:hAnsi="仿宋_GB2312" w:eastAsia="仿宋_GB2312"/>
                <w:b w:val="0"/>
                <w:sz w:val="24"/>
              </w:rPr>
              <w:t>专家解读 | 体系化推进行业高质量数据集建设行动 强化数据赋能人工智能创新发展</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42</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26</w:t>
            </w:r>
          </w:p>
        </w:tc>
        <w:tc>
          <w:tcPr>
            <w:tcW w:type="dxa" w:w="1106"/>
          </w:tcPr>
          <w:p>
            <w:r/>
            <w:r>
              <w:rPr>
                <w:rFonts w:ascii="仿宋_GB2312" w:hAnsi="仿宋_GB2312" w:eastAsia="仿宋_GB2312"/>
                <w:b w:val="0"/>
                <w:sz w:val="24"/>
              </w:rPr>
              <w:t>专家解读 | 筑基智能时代，释放数据价值</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42</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27</w:t>
            </w:r>
          </w:p>
        </w:tc>
        <w:tc>
          <w:tcPr>
            <w:tcW w:type="dxa" w:w="1106"/>
          </w:tcPr>
          <w:p>
            <w:r/>
            <w:r>
              <w:rPr>
                <w:rFonts w:ascii="仿宋_GB2312" w:hAnsi="仿宋_GB2312" w:eastAsia="仿宋_GB2312"/>
                <w:b w:val="0"/>
                <w:sz w:val="24"/>
              </w:rPr>
              <w:t>专家解读 | 筑牢数智底座 激活要素动能《关于推进行业高质量数据集建设行动的实施方案》解读</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42</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28</w:t>
            </w:r>
          </w:p>
        </w:tc>
        <w:tc>
          <w:tcPr>
            <w:tcW w:type="dxa" w:w="1106"/>
          </w:tcPr>
          <w:p>
            <w:r/>
            <w:r>
              <w:rPr>
                <w:rFonts w:ascii="仿宋_GB2312" w:hAnsi="仿宋_GB2312" w:eastAsia="仿宋_GB2312"/>
                <w:b w:val="0"/>
                <w:sz w:val="24"/>
              </w:rPr>
              <w:t>专家解读 | 推动行业高质量数据集建设，实现与"人工智能+"同频共振——《关于推进行业高质量数据集建设行动的实施方案》解读</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42</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29</w:t>
            </w:r>
          </w:p>
        </w:tc>
        <w:tc>
          <w:tcPr>
            <w:tcW w:type="dxa" w:w="1106"/>
          </w:tcPr>
          <w:p>
            <w:r/>
            <w:r>
              <w:rPr>
                <w:rFonts w:ascii="仿宋_GB2312" w:hAnsi="仿宋_GB2312" w:eastAsia="仿宋_GB2312"/>
                <w:b w:val="0"/>
                <w:sz w:val="24"/>
              </w:rPr>
              <w:t>专家解读 | 释放知识动能 护航数智发展—《关于推进行业高质量数据集建设行动的实施方案》解读</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42</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30</w:t>
            </w:r>
          </w:p>
        </w:tc>
        <w:tc>
          <w:tcPr>
            <w:tcW w:type="dxa" w:w="1106"/>
          </w:tcPr>
          <w:p>
            <w:r/>
            <w:r>
              <w:rPr>
                <w:rFonts w:ascii="仿宋_GB2312" w:hAnsi="仿宋_GB2312" w:eastAsia="仿宋_GB2312"/>
                <w:b w:val="0"/>
                <w:sz w:val="24"/>
              </w:rPr>
              <w:t>专家解读 | 深耕高质量数据集建设 激活人工智能发展新动能</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42</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31</w:t>
            </w:r>
          </w:p>
        </w:tc>
        <w:tc>
          <w:tcPr>
            <w:tcW w:type="dxa" w:w="1106"/>
          </w:tcPr>
          <w:p>
            <w:r/>
            <w:r>
              <w:rPr>
                <w:rFonts w:ascii="仿宋_GB2312" w:hAnsi="仿宋_GB2312" w:eastAsia="仿宋_GB2312"/>
                <w:b w:val="0"/>
                <w:sz w:val="24"/>
              </w:rPr>
              <w:t>专家解读 | 夯实数据基础，激活智能跃迁——《关于推进行业高质量数据集建设行动的实施方案》解读</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42</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32</w:t>
            </w:r>
          </w:p>
        </w:tc>
        <w:tc>
          <w:tcPr>
            <w:tcW w:type="dxa" w:w="1106"/>
          </w:tcPr>
          <w:p>
            <w:r/>
            <w:r>
              <w:rPr>
                <w:rFonts w:ascii="仿宋_GB2312" w:hAnsi="仿宋_GB2312" w:eastAsia="仿宋_GB2312"/>
                <w:b w:val="0"/>
                <w:sz w:val="24"/>
              </w:rPr>
              <w:t>专家解读 | 高质量数据构筑人工智能跃升新引擎 “数据飞轮”塑造高质量发展新动能</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42</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33</w:t>
            </w:r>
          </w:p>
        </w:tc>
        <w:tc>
          <w:tcPr>
            <w:tcW w:type="dxa" w:w="1106"/>
          </w:tcPr>
          <w:p>
            <w:r/>
            <w:r>
              <w:rPr>
                <w:rFonts w:ascii="仿宋_GB2312" w:hAnsi="仿宋_GB2312" w:eastAsia="仿宋_GB2312"/>
                <w:b w:val="0"/>
                <w:sz w:val="24"/>
              </w:rPr>
              <w:t>一图读懂 | 关于培育数据流通服务机构 加快推进数据要素市场化价值化的意见</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42</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34</w:t>
            </w:r>
          </w:p>
        </w:tc>
        <w:tc>
          <w:tcPr>
            <w:tcW w:type="dxa" w:w="1106"/>
          </w:tcPr>
          <w:p>
            <w:r/>
            <w:r>
              <w:rPr>
                <w:rFonts w:ascii="仿宋_GB2312" w:hAnsi="仿宋_GB2312" w:eastAsia="仿宋_GB2312"/>
                <w:b w:val="0"/>
                <w:sz w:val="24"/>
              </w:rPr>
              <w:t>专家解读 | 培育数据流通服务机构 繁荣数据市场生态</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42</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35</w:t>
            </w:r>
          </w:p>
        </w:tc>
        <w:tc>
          <w:tcPr>
            <w:tcW w:type="dxa" w:w="1106"/>
          </w:tcPr>
          <w:p>
            <w:r/>
            <w:r>
              <w:rPr>
                <w:rFonts w:ascii="仿宋_GB2312" w:hAnsi="仿宋_GB2312" w:eastAsia="仿宋_GB2312"/>
                <w:b w:val="0"/>
                <w:sz w:val="24"/>
              </w:rPr>
              <w:t>专家解读 | 培育数据流通服务机构 推进数据要素市场化价值化</w:t>
            </w:r>
          </w:p>
        </w:tc>
        <w:tc>
          <w:tcPr>
            <w:tcW w:type="dxa" w:w="1106"/>
          </w:tcPr>
          <w:p>
            <w:r/>
            <w:r>
              <w:rPr>
                <w:rFonts w:ascii="仿宋_GB2312" w:hAnsi="仿宋_GB2312" w:eastAsia="仿宋_GB2312"/>
                <w:b w:val="0"/>
                <w:sz w:val="24"/>
              </w:rPr>
              <w:t>2026-10-07</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42</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36</w:t>
            </w:r>
          </w:p>
        </w:tc>
        <w:tc>
          <w:tcPr>
            <w:tcW w:type="dxa" w:w="1106"/>
          </w:tcPr>
          <w:p>
            <w:r/>
            <w:r>
              <w:rPr>
                <w:rFonts w:ascii="仿宋_GB2312" w:hAnsi="仿宋_GB2312" w:eastAsia="仿宋_GB2312"/>
                <w:b w:val="0"/>
                <w:sz w:val="24"/>
              </w:rPr>
              <w:t>DeepSeek 开源新一代多模态模型：代码与文档理解基准刷新</w:t>
            </w:r>
          </w:p>
        </w:tc>
        <w:tc>
          <w:tcPr>
            <w:tcW w:type="dxa" w:w="1106"/>
          </w:tcPr>
          <w:p>
            <w:r/>
            <w:r>
              <w:rPr>
                <w:rFonts w:ascii="仿宋_GB2312" w:hAnsi="仿宋_GB2312" w:eastAsia="仿宋_GB2312"/>
                <w:b w:val="0"/>
                <w:sz w:val="24"/>
              </w:rPr>
              <w:t>2026-10-04</w:t>
            </w:r>
          </w:p>
        </w:tc>
        <w:tc>
          <w:tcPr>
            <w:tcW w:type="dxa" w:w="1106"/>
          </w:tcPr>
          <w:p>
            <w:r/>
            <w:r>
              <w:rPr>
                <w:rFonts w:ascii="仿宋_GB2312" w:hAnsi="仿宋_GB2312" w:eastAsia="仿宋_GB2312"/>
                <w:b w:val="0"/>
                <w:sz w:val="24"/>
              </w:rPr>
              <w:t>技术动态</w:t>
            </w:r>
          </w:p>
        </w:tc>
        <w:tc>
          <w:tcPr>
            <w:tcW w:type="dxa" w:w="1106"/>
          </w:tcPr>
          <w:p>
            <w:r/>
            <w:r>
              <w:rPr>
                <w:rFonts w:ascii="仿宋_GB2312" w:hAnsi="仿宋_GB2312" w:eastAsia="仿宋_GB2312"/>
                <w:b w:val="0"/>
                <w:sz w:val="24"/>
              </w:rPr>
              <w:t>GitHub / 机器之心</w:t>
            </w:r>
          </w:p>
        </w:tc>
        <w:tc>
          <w:tcPr>
            <w:tcW w:type="dxa" w:w="1106"/>
          </w:tcPr>
          <w:p>
            <w:r/>
            <w:r>
              <w:rPr>
                <w:rFonts w:ascii="仿宋_GB2312" w:hAnsi="仿宋_GB2312" w:eastAsia="仿宋_GB2312"/>
                <w:b w:val="0"/>
                <w:sz w:val="24"/>
              </w:rPr>
              <w:t>27</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37</w:t>
            </w:r>
          </w:p>
        </w:tc>
        <w:tc>
          <w:tcPr>
            <w:tcW w:type="dxa" w:w="1106"/>
          </w:tcPr>
          <w:p>
            <w:r/>
            <w:r>
              <w:rPr>
                <w:rFonts w:ascii="仿宋_GB2312" w:hAnsi="仿宋_GB2312" w:eastAsia="仿宋_GB2312"/>
                <w:b w:val="0"/>
                <w:sz w:val="24"/>
              </w:rPr>
              <w:t>开源 AI Agent 编排框架登 GitHub 趋势榜（aihot.news 热点榜）</w:t>
            </w:r>
          </w:p>
        </w:tc>
        <w:tc>
          <w:tcPr>
            <w:tcW w:type="dxa" w:w="1106"/>
          </w:tcPr>
          <w:p>
            <w:r/>
            <w:r>
              <w:rPr>
                <w:rFonts w:ascii="仿宋_GB2312" w:hAnsi="仿宋_GB2312" w:eastAsia="仿宋_GB2312"/>
                <w:b w:val="0"/>
                <w:sz w:val="24"/>
              </w:rPr>
              <w:t>2026-10-03</w:t>
            </w:r>
          </w:p>
        </w:tc>
        <w:tc>
          <w:tcPr>
            <w:tcW w:type="dxa" w:w="1106"/>
          </w:tcPr>
          <w:p>
            <w:r/>
            <w:r>
              <w:rPr>
                <w:rFonts w:ascii="仿宋_GB2312" w:hAnsi="仿宋_GB2312" w:eastAsia="仿宋_GB2312"/>
                <w:b w:val="0"/>
                <w:sz w:val="24"/>
              </w:rPr>
              <w:t>技术动态</w:t>
            </w:r>
          </w:p>
        </w:tc>
        <w:tc>
          <w:tcPr>
            <w:tcW w:type="dxa" w:w="1106"/>
          </w:tcPr>
          <w:p>
            <w:r/>
            <w:r>
              <w:rPr>
                <w:rFonts w:ascii="仿宋_GB2312" w:hAnsi="仿宋_GB2312" w:eastAsia="仿宋_GB2312"/>
                <w:b w:val="0"/>
                <w:sz w:val="24"/>
              </w:rPr>
              <w:t>aihot.news / GitHub Trending</w:t>
            </w:r>
          </w:p>
        </w:tc>
        <w:tc>
          <w:tcPr>
            <w:tcW w:type="dxa" w:w="1106"/>
          </w:tcPr>
          <w:p>
            <w:r/>
            <w:r>
              <w:rPr>
                <w:rFonts w:ascii="仿宋_GB2312" w:hAnsi="仿宋_GB2312" w:eastAsia="仿宋_GB2312"/>
                <w:b w:val="0"/>
                <w:sz w:val="24"/>
              </w:rPr>
              <w:t>23</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否</w:t>
            </w:r>
          </w:p>
        </w:tc>
      </w:tr>
    </w:tbl>
    <w:p>
      <w:pPr>
        <w:spacing w:lineRule="exact" w:line="560" w:before="0" w:after="0"/>
        <w:jc w:val="both"/>
      </w:pPr>
      <w:r>
        <w:rPr>
          <w:rFonts w:ascii="仿宋_GB2312" w:hAnsi="仿宋_GB2312" w:eastAsia="仿宋_GB2312"/>
          <w:b w:val="0"/>
          <w:sz w:val="32"/>
        </w:rPr>
      </w:r>
    </w:p>
    <w:p>
      <w:pPr>
        <w:spacing w:lineRule="exact" w:line="560" w:before="0" w:after="0"/>
        <w:jc w:val="both"/>
      </w:pPr>
      <w:r>
        <w:rPr>
          <w:rFonts w:ascii="楷体_GB2312" w:hAnsi="楷体_GB2312" w:eastAsia="楷体_GB2312"/>
          <w:b w:val="0"/>
          <w:color w:val="808080"/>
          <w:sz w:val="28"/>
        </w:rPr>
        <w:t>排版说明：本机缺少字体 方正小标宋简体、楷体_GB2312、仿宋_GB2312，已回退为宋体显示，版式规范不变。</w:t>
      </w:r>
    </w:p>
    <w:p>
      <w:pPr>
        <w:spacing w:lineRule="exact" w:line="560" w:before="0" w:after="0"/>
        <w:jc w:val="both"/>
      </w:pPr>
      <w:r>
        <w:rPr>
          <w:rFonts w:ascii="楷体_GB2312" w:hAnsi="楷体_GB2312" w:eastAsia="楷体_GB2312"/>
          <w:b w:val="0"/>
          <w:color w:val="808080"/>
          <w:sz w:val="28"/>
        </w:rPr>
        <w:t>本报告由合规洞察工具自动生成，其中的解读与建议为工具生成的分析参考，不构成法律意见；规范依据以官方发布文本为准，未能核验的依据未在本报告中声称已核对。</w:t>
      </w:r>
    </w:p>
    <w:sectPr w:rsidR="00FC693F" w:rsidRPr="0006063C" w:rsidSect="00034616">
      <w:footerReference w:type="default" r:id="rId9"/>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仿宋_GB2312" w:hAnsi="仿宋_GB2312" w:eastAsia="仿宋_GB2312"/>
        <w:b w:val="0"/>
        <w:sz w:val="28"/>
      </w:rPr>
      <w:t xml:space="preserve">— </w:t>
    </w:r>
    <w:fldSimple w:instr="PAGE">
      <w:r>
        <w:t/>
      </w:r>
    </w:fldSimple>
    <w:r>
      <w:rPr>
        <w:rFonts w:ascii="仿宋_GB2312" w:hAnsi="仿宋_GB2312" w:eastAsia="仿宋_GB2312"/>
        <w:b w:val="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