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720" w:before="0" w:after="0"/>
        <w:jc w:val="center"/>
      </w:pPr>
      <w:r>
        <w:rPr>
          <w:rFonts w:ascii="方正小标宋简体" w:hAnsi="方正小标宋简体" w:eastAsia="方正小标宋简体"/>
          <w:b w:val="0"/>
          <w:sz w:val="44"/>
        </w:rPr>
        <w:t>综合监管动态</w:t>
      </w:r>
    </w:p>
    <w:p>
      <w:pPr>
        <w:spacing w:lineRule="exact" w:line="720" w:before="0" w:after="0"/>
        <w:jc w:val="center"/>
      </w:pPr>
      <w:r>
        <w:rPr>
          <w:rFonts w:ascii="方正小标宋简体" w:hAnsi="方正小标宋简体" w:eastAsia="方正小标宋简体"/>
          <w:b w:val="0"/>
          <w:sz w:val="44"/>
        </w:rPr>
        <w:t>合规洞察报告</w:t>
      </w:r>
    </w:p>
    <w:p>
      <w:pPr>
        <w:spacing w:lineRule="exact" w:line="560" w:before="0" w:after="0"/>
        <w:jc w:val="center"/>
      </w:pPr>
      <w:r>
        <w:rPr>
          <w:rFonts w:ascii="楷体_GB2312" w:hAnsi="楷体_GB2312" w:eastAsia="楷体_GB2312"/>
          <w:b w:val="0"/>
          <w:sz w:val="32"/>
        </w:rPr>
        <w:t>（未编号期次）</w:t>
      </w:r>
    </w:p>
    <w:p>
      <w:pPr>
        <w:spacing w:lineRule="exact" w:line="560" w:before="0" w:after="80"/>
        <w:jc w:val="center"/>
      </w:pPr>
      <w:r>
        <w:rPr>
          <w:rFonts w:ascii="楷体_GB2312" w:hAnsi="楷体_GB2312" w:eastAsia="楷体_GB2312"/>
          <w:b w:val="0"/>
          <w:sz w:val="28"/>
        </w:rPr>
        <w:t>监测窗口：2026年10月10日至2026年10月24日　　本期信息截至2026年10月24日</w:t>
      </w:r>
    </w:p>
    <w:p>
      <w:pPr>
        <w:spacing w:lineRule="exact" w:line="560" w:before="0" w:after="0"/>
        <w:jc w:val="center"/>
      </w:pPr>
      <w:r>
        <w:rPr>
          <w:rFonts w:ascii="楷体_GB2312" w:hAnsi="楷体_GB2312" w:eastAsia="楷体_GB2312"/>
          <w:b w:val="0"/>
          <w:color w:val="606060"/>
          <w:sz w:val="28"/>
        </w:rPr>
        <w:t>报告模式：演示/工作稿（含待核验条目）　　生成时间：2026-10-24 05:47</w:t>
      </w:r>
    </w:p>
    <w:p>
      <w:pPr>
        <w:spacing w:lineRule="exact" w:line="560" w:before="0" w:after="0"/>
        <w:jc w:val="center"/>
      </w:pPr>
      <w:r>
        <w:rPr>
          <w:rFonts w:ascii="楷体_GB2312" w:hAnsi="楷体_GB2312" w:eastAsia="楷体_GB2312"/>
          <w:b w:val="0"/>
          <w:color w:val="C00000"/>
          <w:sz w:val="28"/>
        </w:rPr>
        <w:t>【重要提示】本报告为**含待核验条目的演示/工作稿**：窗口内 11 条尚未完成原文核验，全部条目已逐条标注「待核验·演示内容」，未经核验不得对外作为当期监管动态引用；切换正式模式后这 11 条将被排除。</w:t>
      </w:r>
    </w:p>
    <w:p>
      <w:pPr>
        <w:spacing w:lineRule="exact" w:line="560" w:before="120" w:after="0"/>
        <w:jc w:val="both"/>
      </w:pPr>
      <w:r>
        <w:rPr>
          <w:rFonts w:ascii="黑体" w:hAnsi="黑体" w:eastAsia="黑体"/>
          <w:b w:val="0"/>
          <w:sz w:val="32"/>
        </w:rPr>
        <w:t>一、编制说明</w:t>
      </w:r>
    </w:p>
    <w:p>
      <w:pPr>
        <w:spacing w:lineRule="exact" w:line="560" w:before="0" w:after="0"/>
        <w:jc w:val="both"/>
      </w:pPr>
      <w:r>
        <w:rPr>
          <w:rFonts w:ascii="楷体_GB2312" w:hAnsi="楷体_GB2312" w:eastAsia="楷体_GB2312"/>
          <w:b w:val="0"/>
          <w:sz w:val="32"/>
        </w:rPr>
        <w:t>（一）监测范围与入选标准</w:t>
      </w:r>
    </w:p>
    <w:p>
      <w:pPr>
        <w:spacing w:lineRule="exact" w:line="560" w:before="0" w:after="0"/>
        <w:ind w:firstLine="640"/>
        <w:jc w:val="both"/>
      </w:pPr>
      <w:r>
        <w:rPr>
          <w:rFonts w:ascii="仿宋_GB2312" w:hAnsi="仿宋_GB2312" w:eastAsia="仿宋_GB2312"/>
          <w:b w:val="0"/>
          <w:sz w:val="32"/>
        </w:rPr>
        <w:t>本报告从2026年10月10日至2026年10月24日（回溯 15 天）窗口内的 11 条情报中，按相关度评分（阈值 55 分）自动选取最相关的 7 条成稿，不设逐条勾选。</w:t>
      </w:r>
    </w:p>
    <w:p>
      <w:pPr>
        <w:spacing w:lineRule="exact" w:line="560" w:before="0" w:after="0"/>
        <w:jc w:val="both"/>
      </w:pPr>
      <w:r>
        <w:rPr>
          <w:rFonts w:ascii="楷体_GB2312" w:hAnsi="楷体_GB2312" w:eastAsia="楷体_GB2312"/>
          <w:b w:val="0"/>
          <w:sz w:val="32"/>
        </w:rPr>
        <w:t>（二）排除情况（如实列示）</w:t>
      </w:r>
    </w:p>
    <w:p>
      <w:pPr>
        <w:spacing w:lineRule="exact" w:line="560" w:before="0" w:after="0"/>
        <w:ind w:firstLine="640"/>
        <w:jc w:val="both"/>
      </w:pPr>
      <w:r>
        <w:rPr>
          <w:rFonts w:ascii="仿宋_GB2312" w:hAnsi="仿宋_GB2312" w:eastAsia="仿宋_GB2312"/>
          <w:b w:val="0"/>
          <w:sz w:val="32"/>
        </w:rPr>
        <w:t>窗口内共排除 4 条：其中未核验/演示条目 0 条、低于相关度阈值 4 条、其余为关键词未命中或超出入选上限。未核验条目在演示模式下虽可入稿，但已逐条标注「待核验·演示内容」，正式模式下一律排除。</w:t>
      </w:r>
    </w:p>
    <w:p>
      <w:pPr>
        <w:spacing w:lineRule="exact" w:line="560" w:before="0" w:after="0"/>
        <w:jc w:val="both"/>
      </w:pPr>
      <w:r>
        <w:rPr>
          <w:rFonts w:ascii="楷体_GB2312" w:hAnsi="楷体_GB2312" w:eastAsia="楷体_GB2312"/>
          <w:b w:val="0"/>
          <w:sz w:val="32"/>
        </w:rPr>
        <w:t>（三）发布日期口径（阶段3：日期可追溯）</w:t>
      </w:r>
    </w:p>
    <w:p>
      <w:pPr>
        <w:spacing w:lineRule="exact" w:line="560" w:before="0" w:after="0"/>
        <w:ind w:firstLine="640"/>
        <w:jc w:val="both"/>
      </w:pPr>
      <w:r>
        <w:rPr>
          <w:rFonts w:ascii="仿宋_GB2312" w:hAnsi="仿宋_GB2312" w:eastAsia="仿宋_GB2312"/>
          <w:b w:val="0"/>
          <w:sz w:val="32"/>
        </w:rPr>
        <w:t>日期口径：本期入选条目的发布日期依据为列表页明确标注 3 条、按上下文推断 4 条、来源未知（旧条目默认） 0 条、人工录入或订正 0 条；发布日期依据仅说明该日期的记录来源与可信度，不等于条目已完成核验，核验状态以逐条标注为准。</w:t>
      </w:r>
    </w:p>
    <w:p>
      <w:pPr>
        <w:spacing w:lineRule="exact" w:line="560" w:before="0" w:after="0"/>
        <w:jc w:val="both"/>
      </w:pPr>
      <w:r>
        <w:rPr>
          <w:rFonts w:ascii="楷体_GB2312" w:hAnsi="楷体_GB2312" w:eastAsia="楷体_GB2312"/>
          <w:b w:val="0"/>
          <w:sz w:val="32"/>
        </w:rPr>
        <w:t>（四）分析方式与局限性声明</w:t>
      </w:r>
    </w:p>
    <w:p>
      <w:pPr>
        <w:spacing w:lineRule="exact" w:line="560" w:before="0" w:after="0"/>
        <w:ind w:firstLine="640"/>
        <w:jc w:val="both"/>
      </w:pPr>
      <w:r>
        <w:rPr>
          <w:rFonts w:ascii="仿宋_GB2312" w:hAnsi="仿宋_GB2312" w:eastAsia="仿宋_GB2312"/>
          <w:b w:val="0"/>
          <w:sz w:val="32"/>
        </w:rPr>
        <w:t>条目事实来自公开页面采集；解读与建议为工具生成的分析参考，未经人工复核的条目已在表中标注。本报告不构成法律意见；规范依据以官方发布文本为准，本报告不声称已核对未能取得原文的规范依据。</w:t>
      </w:r>
    </w:p>
    <w:p>
      <w:pPr>
        <w:spacing w:lineRule="exact" w:line="560" w:before="0" w:after="0"/>
        <w:ind w:firstLine="560"/>
        <w:jc w:val="both"/>
      </w:pPr>
      <w:r>
        <w:rPr>
          <w:rFonts w:ascii="楷体_GB2312" w:hAnsi="楷体_GB2312" w:eastAsia="楷体_GB2312"/>
          <w:b w:val="0"/>
          <w:color w:val="808080"/>
          <w:sz w:val="28"/>
        </w:rPr>
        <w:t>本报告由合规洞察工具自动生成，其中的解读与建议为工具生成的分析参考，不构成法律意见；规范依据以官方发布文本为准，未能核验的依据未在本报告中声称已核对。</w:t>
      </w:r>
    </w:p>
    <w:p>
      <w:pPr>
        <w:spacing w:lineRule="exact" w:line="560" w:before="120" w:after="0"/>
        <w:jc w:val="both"/>
      </w:pPr>
      <w:r>
        <w:rPr>
          <w:rFonts w:ascii="黑体" w:hAnsi="黑体" w:eastAsia="黑体"/>
          <w:b w:val="0"/>
          <w:sz w:val="32"/>
        </w:rPr>
        <w:t>二、总体态势</w:t>
      </w:r>
    </w:p>
    <w:p>
      <w:pPr>
        <w:spacing w:lineRule="exact" w:line="560" w:before="0" w:after="0"/>
        <w:ind w:firstLine="640"/>
        <w:jc w:val="both"/>
      </w:pPr>
      <w:r>
        <w:rPr>
          <w:rFonts w:ascii="仿宋_GB2312" w:hAnsi="仿宋_GB2312" w:eastAsia="仿宋_GB2312"/>
          <w:b w:val="0"/>
          <w:sz w:val="32"/>
        </w:rPr>
        <w:t>窗口内共 11 条，入选 7 条，平均相关度 61.7 分；其中已核验 0 条、未核验/演示 11 条。按类型分布：征求意见5条、政策文件1条、行业动态1条。</w:t>
      </w:r>
    </w:p>
    <w:p>
      <w:pPr>
        <w:spacing w:lineRule="exact" w:line="560" w:before="0" w:after="0"/>
        <w:jc w:val="both"/>
      </w:pPr>
      <w:r>
        <w:rPr>
          <w:rFonts w:ascii="楷体_GB2312" w:hAnsi="楷体_GB2312" w:eastAsia="楷体_GB2312"/>
          <w:b w:val="0"/>
          <w:color w:val="808080"/>
          <w:sz w:val="28"/>
        </w:rPr>
        <w:t>示意数据：统计口径含未核验/演示条目，非真实监管统计，不得对外引用</w:t>
      </w:r>
    </w:p>
    <w:p>
      <w:pPr>
        <w:spacing w:lineRule="exact" w:line="560" w:before="120" w:after="0"/>
        <w:jc w:val="both"/>
      </w:pPr>
      <w:r>
        <w:rPr>
          <w:rFonts w:ascii="黑体" w:hAnsi="黑体" w:eastAsia="黑体"/>
          <w:b w:val="0"/>
          <w:sz w:val="32"/>
        </w:rPr>
        <w:t>三、人工智能与算法监管动态（3 条）</w:t>
      </w:r>
    </w:p>
    <w:p>
      <w:pPr>
        <w:spacing w:lineRule="exact" w:line="560" w:before="0" w:after="0"/>
        <w:jc w:val="both"/>
      </w:pPr>
      <w:r>
        <w:rPr>
          <w:rFonts w:ascii="楷体_GB2312" w:hAnsi="楷体_GB2312" w:eastAsia="楷体_GB2312"/>
          <w:b w:val="0"/>
          <w:sz w:val="32"/>
        </w:rPr>
        <w:t>（一）全国网络安全标准化技术委员会2026年第二次“标准周”活动圆满收官［相关度 67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9月15日至18日，全国网络安全标准化技术委员会（简称“全国网安标委”）2026年第二次“标准周”活动在山东省济南市举办。本次“标准周”活动由全国网安标委主办，中国电子技术标准化研究院承办，中国互联网发展基金会网络安全专项基金支持。全国网安标委副主任委员和委员、秘书长和副秘书长、工作组组长和副组长、成员单位代表，中央网信办网络安全协调局、市场监管总局标准创新管理司和济南市负责同志共900余人参加。</w:t>
        <w:br/>
        <w:t>9月15日上午，召开标准周全体成员会议。全国网安标委主任委员、中央网信办副主任、国家网信办副主任王京涛出席并讲话，国家市场监督管理总局标准创新管理司相关负责同志出席会议，济南市委副书记杨峰致欢迎辞，中国电子技术标准化研究院院长刘贤刚主持会议。会上，受邀专家围绕新一代商用密码算法、网络安全产品互联互通、科学智能（AI4S）的进展与安全、具身智能和智能体安全、面向人工智能的网络安全技术与产品演进、2026年中国网络安全产业发展等主题分享技术方案和标准化实践。</w:t>
        <w:br/>
        <w:t>9月15日下午，召开电子产品信息清除分论坛。中央网信办网络安全协调局副局长屠守中出席会议并发表主题演讲，国家市场监管总局标准创新管理司相关负责同志出席会议，中国电子技术标准化研究院副院长范科峰出席会议并致欢迎词，中国电子技术标准化研究院网络安全中心副主任李琳主持会议。论坛邀请来自电子标准院、中国银行、中资环集团、华为终端等企事业单位代表分享了GB 46864-2025实施筹备、国际标准化推进、产品功能开发、二手电子产品回收信息清除管理以及金融行业设备退装信息清除实践等相关内容。会上还发起了电子产品信息清除行业自律倡议，发布了电子产品信息清除公共服务平台，对GB 46864-2025强标配套落地实施的3项网络安全标准实践指南进行了发布解读，开展了以“守护电子产品信息安全与清除实施的关键点和突破口”为主题的圆桌讨论。</w:t>
        <w:br/>
        <w:t>9月15日至16日，召开密码技术标准工作组（WG3）第二次全体会议。来自50余家成员单位的80余名代表参加会议。会议审议推进了4项标准草案、1项征求意见稿，组织对1项标准研究课题开展了研讨，对2026年已发布的5项密码国家标准进行了解读和宣贯，讨论了密码标准体系。会议评选出张立廷（中电科网络安全科技股份有限公司）、王妮娜（兴唐通信科技有限公司）2名先进个人。</w:t>
        <w:br/>
        <w:t>9月15日至16日，召开鉴别与授权标准工作组（WG4）第二次全体会议。工作组组长荆继武、副组长李新友参加并主持了会议，共有50余名代表报名参会。会议审议推进了3项标准草案、3项征求意见稿，组织对1项标准研究课题、2项标准立项需求开展了研讨。会议评选出王琼霄（北京数字认证股份有限公司）1名先进个人。</w:t>
        <w:br/>
        <w:t>9月15日至17日，召开网络安全评估标准工作组（WG5）第二次全体会议。工作组副组长布宁、李斌、陆臻、唐刚参加并主持了会议，共有240余名代表报名参会。会议审议推进了在研标准11项，其中9项标准草案、2项征求意见稿；讨论了6项征求意见稿标准，组织对4项标准研究课题开展了研讨。会议评选出叶同坤（杭州迪普科技股份有限公司）、申永波（中国网络安全审查认证和市场监管大数据中心）2名先进个人。</w:t>
        <w:br/>
        <w:t>9月15日至16日，召开通信安全标准工作组（WG6）第二次全体会议。工作组组长于生多、副组长舒敏、赵莹参加并主持了会议，共有30余名代表报名参会。会议审议讨论了3项标准草案，组织对标准研究课题《互联网基础资源安全标准体系研究》开展了研讨。会议评选出魏瑛（中移量子科技有限公司）1名先进个人。</w:t>
        <w:br/>
        <w:t>9月15日至16日，召开网络安全管理标准工作组（WG7）第二次全体会议。工作组组长姚相振、副组长闵京华、杨晨、邱勤参加并主持了会议，共有190余名代表报名参会。会议审议推进了4项标准草案、3项征求意见稿，对4项标准项目进行了讨论，组织对3项标准研究课题开展了研讨。会议评选出刘吉林（杭州迪普科技股份有限公司）1名先进个人。</w:t>
        <w:br/>
        <w:t>9月15日至17日，召开数据安全标准工作组（WG8）第二次全体会议。工作组组长王建民、副组长陈兴蜀、林志强、魏薇、胡光俊参加并主持了会议，共有260余名代表报名参会。会议审议推进了14项标准草案、6项征求意见稿。会议评选出王洒洒（上海计算机软件技术开发中心）、张灵子（飞利浦（中国）投资有限公司）2名先进个人。</w:t>
        <w:br/>
        <w:t>9月15日至16日，召开人工智能安全标准工作组（WG9）第四次全体会议。工作组组长周伯文、副组长张震、盛小宝、侯元伟参加并主持了会议，共有340余名代表报名参加了本次会议。会议审议推进了12项推荐性国家标准草案、2项国家标准化指导性技术文件草案、1项推荐性国家标准征求意见稿，对人工智能安全标准体系、1项强制性国家标准、16项推荐性国家标准、8项国家标准化指导性技术文件进行了讨论，组织对5项标准研究课题开展了研讨。会议评选出杨波（中国移动研究院）、闵京华（北京青囊风华文化传媒有限公司）2名先进个人。</w:t>
        <w:br/>
        <w:t>9月15日至17日，召开新技术安全标准特别工作组（SWG-ETS）第二次全体会议。工作组组长刘勇，副组长伍扬、张格、王永剑、石竑松出席并主持会议，共有150余名代表报名参会。会议审议推进了1项征求意见稿、1项送审稿，对3项标准项目进行了讨论，组织对1项标准研究课题与WG3共同开展了联合评审。会议同期开设量子安全、云安全、新技术安全三场专题研讨会，聚焦量子计算安全、云安全与云原生、卫星互联网、低空产业等新兴领域安全议题，汇聚业内专家开展前沿研讨与成果分享，探索新技术安全标准化需求，进一步完善标准体系。会议评选出卢夏（国家信息技术安全研究中心）1名先进个人。</w:t>
        <w:br/>
        <w:t>9月15日至16日，召开网络安全国际标准研究组（SG1）第三次全体会议。研究组组长林宁，副组长胡影、陈恺、李童，以及研究组成员、秘书等20余人参加会议。会议总结我国2026年下半年SC44国际会议成果，讨论2026年下半年我国SC27国际标准提案推进策略，听取《网络安全国际标准化动态与路径研究》《国内外网络安全标准化对比分析》2项研究课题汇报，邀请机械工业北京电工技术经济研究所副所长张亮就《ISO/IEC导则第1部分》（2026版）的组织机构与技术工作职责、标准（文件）制定、文件维护、会议、申诉等内容进行授课并开展交流答疑。会议评选出刘梓含（中国电子技术标准化研究院）1名先进个人。</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本条为全国网络安全标准化技术委员会2026年第二次“标准周”活动报道，属标准工作动态类信息，非具体法规或标准文本，未载明任何具体条款、施行日期或征求意见截止日。</w:t>
      </w:r>
    </w:p>
    <w:p>
      <w:pPr>
        <w:spacing w:lineRule="exact" w:line="560" w:before="0" w:after="0"/>
        <w:ind w:firstLine="640"/>
        <w:jc w:val="both"/>
      </w:pPr>
      <w:r>
        <w:rPr>
          <w:rFonts w:ascii="仿宋_GB2312" w:hAnsi="仿宋_GB2312" w:eastAsia="仿宋_GB2312"/>
          <w:b w:val="0"/>
          <w:sz w:val="32"/>
        </w:rPr>
        <w:t>报道涉及与公司业务画像命中业务线相关的标准化议题：全体成员会议主题分享涵盖具身智能和智能体安全、面向人工智能的网络安全技术与产品演进等（关联AI应用、信息化·网安）；人工智能安全标准工作组（WG9）第四次全体会议审议推进12项推荐性国家标准草案、2项国家标准化指导性技术文件草案、1项推荐性国家标准征求意见稿（关联AI应用）；数据安全标准工作组（WG8）第二次全体会议审议推进14项标准草案、6项征求意见稿（关联数据要素）；新技术安全标准特别工作组（SWG-ETS）同期开设量子安全、云安全、新技术安全三场专题研讨会（关联信息化·网安）。</w:t>
      </w:r>
    </w:p>
    <w:p>
      <w:pPr>
        <w:spacing w:lineRule="exact" w:line="560" w:before="0" w:after="0"/>
        <w:ind w:firstLine="640"/>
        <w:jc w:val="both"/>
      </w:pPr>
      <w:r>
        <w:rPr>
          <w:rFonts w:ascii="仿宋_GB2312" w:hAnsi="仿宋_GB2312" w:eastAsia="仿宋_GB2312"/>
          <w:b w:val="0"/>
          <w:sz w:val="32"/>
        </w:rPr>
        <w:t>电子产品信息清除分论坛涉及GB 46864-2025强标实施筹备及其3项配套网络安全标准实践指南发布解读，该标准编号及配套文件具体内容原文未展开。</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条为活动报道，未给出可执行义务，对业务线的直接触发条件待确认。若后续WG9推进的人工智能安全推荐性国家标准征求意见稿、国家标准化指导性技术文件草案正式发布征求意见或实施，公司AI应用相关产品（如星环、星枢中的AI能力）在标准适用范围内的合规要求可能发生变化；若WG8推进的数据安全标准草案、征求意见稿落地，可能影响数据要素相关业务的数据处理与安全要求；若SWG-ETS云安全、量子安全等议题形成标准文件，可能影响信息化·网安相关产品与服务的适配要求。上述影响均取决于后续标准文本的适用范围与实施安排，现无法确定。</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持续跟踪全国网安标委WG8（数据安全）、WG9（人工智能安全）、SWG-ETS（新技术安全）后续标准草案、征求意见稿的公开征求意见通知与发布文本，在标准文本公开后再评估对星环、星枢及AI应用、数据要素、信息化·网安业务的适用性与整改需求；本条报道本身无需启动具体合规动作。</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“9月15日至16日，召开人工智能安全标准工作组（WG9）第四次全体会议。”（WG9第四次全体会议段）</w:t>
      </w:r>
    </w:p>
    <w:p>
      <w:pPr>
        <w:spacing w:lineRule="exact" w:line="560" w:before="0" w:after="0"/>
        <w:ind w:firstLine="640"/>
        <w:jc w:val="both"/>
      </w:pPr>
      <w:r>
        <w:rPr>
          <w:rFonts w:ascii="仿宋_GB2312" w:hAnsi="仿宋_GB2312" w:eastAsia="仿宋_GB2312"/>
          <w:b w:val="0"/>
          <w:color w:val="2F5F40"/>
          <w:sz w:val="32"/>
        </w:rPr>
        <w:t>“会议审议推进了12项推荐性国家标准草案、2项国家标准化指导性技术文件草案、1项推荐性国家标准征求意见稿”（WG9第四次全体会议段）</w:t>
      </w:r>
    </w:p>
    <w:p>
      <w:pPr>
        <w:spacing w:lineRule="exact" w:line="560" w:before="0" w:after="0"/>
        <w:ind w:firstLine="640"/>
        <w:jc w:val="both"/>
      </w:pPr>
      <w:r>
        <w:rPr>
          <w:rFonts w:ascii="仿宋_GB2312" w:hAnsi="仿宋_GB2312" w:eastAsia="仿宋_GB2312"/>
          <w:b w:val="0"/>
          <w:color w:val="2F5F40"/>
          <w:sz w:val="32"/>
        </w:rPr>
        <w:t>“9月15日至17日，召开数据安全标准工作组（WG8）第二次全体会议。”（WG8第二次全体会议段）</w:t>
      </w:r>
    </w:p>
    <w:p>
      <w:pPr>
        <w:spacing w:lineRule="exact" w:line="560" w:before="0" w:after="0"/>
        <w:ind w:firstLine="640"/>
        <w:jc w:val="both"/>
      </w:pPr>
      <w:r>
        <w:rPr>
          <w:rFonts w:ascii="仿宋_GB2312" w:hAnsi="仿宋_GB2312" w:eastAsia="仿宋_GB2312"/>
          <w:b w:val="0"/>
          <w:color w:val="2F5F40"/>
          <w:sz w:val="32"/>
        </w:rPr>
        <w:t>“会议审议推进了14项标准草案、6项征求意见稿。”（WG8第二次全体会议段）</w:t>
      </w:r>
    </w:p>
    <w:p>
      <w:pPr>
        <w:spacing w:lineRule="exact" w:line="560" w:before="0" w:after="0"/>
        <w:ind w:firstLine="640"/>
        <w:jc w:val="both"/>
      </w:pPr>
      <w:r>
        <w:rPr>
          <w:rFonts w:ascii="仿宋_GB2312" w:hAnsi="仿宋_GB2312" w:eastAsia="仿宋_GB2312"/>
          <w:b w:val="0"/>
          <w:color w:val="2F5F40"/>
          <w:sz w:val="32"/>
        </w:rPr>
        <w:t>“会议同期开设量子安全、云安全、新技术安全三场专题研讨会，聚焦量子计算安全、云安全与云原生、卫星互联网、低空产业等新兴领域安全议题”（SWG-ETS第二次全体会议段）</w:t>
      </w:r>
    </w:p>
    <w:p>
      <w:pPr>
        <w:spacing w:lineRule="exact" w:line="560" w:before="0" w:after="0"/>
        <w:ind w:firstLine="640"/>
        <w:jc w:val="both"/>
      </w:pPr>
      <w:r>
        <w:rPr>
          <w:rFonts w:ascii="仿宋_GB2312" w:hAnsi="仿宋_GB2312" w:eastAsia="仿宋_GB2312"/>
          <w:b w:val="0"/>
          <w:color w:val="2F5F40"/>
          <w:sz w:val="32"/>
        </w:rPr>
        <w:t>“受邀专家围绕新一代商用密码算法、网络安全产品互联互通、科学智能（AI4S）的进展与安全、具身智能和智能体安全、面向人工智能的网络安全技术与产品演进、2026年中国网络安全产业发展等主题分享技术方案和标准化实践。”（标准周全体成员会议段）</w:t>
      </w:r>
    </w:p>
    <w:p>
      <w:pPr>
        <w:spacing w:lineRule="exact" w:line="560" w:before="0" w:after="0"/>
        <w:ind w:firstLine="640"/>
        <w:jc w:val="both"/>
      </w:pPr>
      <w:r>
        <w:rPr>
          <w:rFonts w:ascii="仿宋_GB2312" w:hAnsi="仿宋_GB2312" w:eastAsia="仿宋_GB2312"/>
          <w:b w:val="0"/>
          <w:color w:val="2F5F40"/>
          <w:sz w:val="32"/>
        </w:rPr>
        <w:t>“对GB 46864-2025强标配套落地实施的3项网络安全标准实践指南进行了发布解读”（电子产品信息清除分论坛段）</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标准动态，2026-10-15 发布），https://www.tc260.org.cn/tc260/xwdt1/202609/82b38e25c8904dcf906450f99f489759.shtml（原文直链）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0" w:after="0"/>
        <w:jc w:val="both"/>
      </w:pPr>
      <w:r>
        <w:rPr>
          <w:rFonts w:ascii="楷体_GB2312" w:hAnsi="楷体_GB2312" w:eastAsia="楷体_GB2312"/>
          <w:b w:val="0"/>
          <w:sz w:val="32"/>
        </w:rPr>
        <w:t>（二）国办关于适应人工智能技术发展助力构建就业友好型发展方式的意见［相关度 62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国务院办公厅关于适应人工智能技术发展</w:t>
        <w:br/>
        <w:t>助力构建就业友好型发展方式的意见</w:t>
        <w:br/>
        <w:t>国办发〔2026〕29号</w:t>
        <w:br/>
        <w:t>各省、自治区、直辖市人民政府，国务院各部委、各直属机构：</w:t>
        <w:br/>
        <w:t>就业是最基本的民生。为贯彻落实党中央、国务院关于促进高质量充分就业的决策部署，积极适应人工智能技术发展，助力构建就业友好型发展方式，经国务院同意，现提出以下意见。</w:t>
        <w:br/>
        <w:t>一、总体要求</w:t>
        <w:br/>
        <w:t>坚持以习近平新时代中国特色社会主义思想为指导，深入贯彻党的二十大和二十届历次全会精神，坚持以人民为中心的发展思想，坚持投资于物和投资于人紧密结合，坚持统筹发展和安全，坚持就业优先导向，以人工智能赋能高质量发展为契机，以适应技术发展促进高质量充分就业为目标，以构建就业友好型发展方式为方向，积极增强人工智能创造就业机会、赋能传统岗位、提升就业质量、激发创业活力的正面效应，有效减缓人工智能应用就业替代影响，努力实现技术进步、产业升级与就业促进、民生改善相协调的包容性发展。</w:t>
        <w:br/>
        <w:t>二、强化人工智能的就业创造效应</w:t>
        <w:br/>
        <w:t>（一）拓展新兴领域人工智能就业新空间。深入实施“人工智能＋”行动，鼓励东部地区布局人工智能核心产业，引导中西部地区因地制宜承接数据标注、智能终端制造等上下游产业，加快形成人工智能领域就业新增长点。加快培育智能原生企业、专精特新“小巨人”企业等，按规定将符合条件的企业纳入金融助企稳岗扩岗专项贷款支持范围，创造更多就业新岗位新机会。</w:t>
        <w:br/>
        <w:t>（二）培育中小微企业稳岗扩岗新动能。实施人工智能中小企业创业支持计划，以开源生态促进中小企业创新创业。加强数字化转型公共服务供给，鼓励开发“小快轻准”数字化产品和解决方案，保障中小微企业和个体工商户依法平等使用数据、算法等智能生产要素，支持中小微企业探索低成本、轻量化智能升级路径，进一步降低人工智能应用门槛，提升吸纳就业能力。</w:t>
        <w:br/>
        <w:t>（三）创造人工智能领域就业创业新模式。发挥好国家创业投资引导基金、国家人工智能产业投资基金等政府投资基金作用，按照市场化方式支持人工智能领域企业创新发展。建设高水平人工智能开源社区，部署实施一批优质开源项目，形成创业带动就业效应。推行“科技成果＋创业”、“产业发展＋创业”、“职业技能＋创业”、“民生需求＋创业”模式，围绕人工智能应用场景创新、技术成果转化等创业项目，落实创业支持政策，提供创业孵化服务。</w:t>
        <w:br/>
        <w:t>（四）加快开发人工智能领域新职业。围绕人工智能场景培育和大规模应用，加快开发新职业、发布新职业标准，扩大数字化管理师、人工智能工程技术人员、人工智能训练师等新职业新工种需求。鼓励地方结合人工智能产业发展需要，增设相关职称评审专业，及时开展人工智能相关职业技能等级认定。</w:t>
        <w:br/>
        <w:t>三、构建就业友好型人工智能升级路径</w:t>
        <w:br/>
        <w:t>（五）挖掘传统领域人工智能就业潜能。发挥人工智能助力传统产业改造升级作用，引导在工业全要素智能化发展和农业数智化转型升级中更好推行人机协作模式，挖掘传统领域数智化就业机会。加快构建人工智能驱动的新型服务方式，分领域推进生产性服务业向专业化和价值链高端延伸，促进生活性服务业高品质、多样化、便利化发展，拓展体验消费、个性消费等服务消费新场景，扩大服务业就业容量。</w:t>
        <w:br/>
        <w:t>（六）减缓人工智能应用就业替代影响。发挥人工智能在改善就业环境、提升职业安全水平、提高工作质效等方面的作用，优先在劳动力紧缺、环境高危等岗位推广应用。稳慎把握人工智能在劳动密集型行业应用的范围、力度、节奏，尽可能减少对从业人员的冲击。鼓励企业探索建立失业缓冲期制度，在大规模推广应用人工智能过程中提前告知受影响劳动者、提供转型转岗就业支持。</w:t>
        <w:br/>
        <w:t>（七）建立人工智能应用就业风险评估机制。综合评估人工智能应用对就业的影响，引导创新资源向创造就业潜力大的方面倾斜。对市场准入领域可能造成较大就业冲击的人工智能应用场景项目，在评审时同步开展就业风险评估，有关部门要统筹做好转型转岗就业支持工作。对其他领域的人工智能应用场景项目，结合实际开展就业风险评估。</w:t>
        <w:br/>
        <w:t>四、提升劳动者数字素养和就业能力</w:t>
        <w:br/>
        <w:t>（八）协同培养人工智能创新型人才。鼓励普通高校、职业学校（含技工院校）加快动态优化学科专业设置，超常规布局人工智能领域急需学科专业，加强相关交叉学科专业建设，增加人工智能“微专业”布点，实施复合型人才培养项目，培养更多人工智能复合型人才。强化校企联合培养，支持科技领军企业参与课程开发、师资培养、教学设施升级等。扎实推进人工智能全学段教育，推动学生入企实践、企业工程师入校授课，培养学生探索性、创造性思维能力。</w:t>
        <w:br/>
        <w:t>（九）实施人工智能专项培训计划。深入实施“技能照亮前程”培训行动。地方在开展项目制、订单式数字化技术技能培训时，要紧贴人工智能领域市场需求，鼓励高校毕业生等青年、农民工、失业人员等参加人工智能领域就业创业培训项目。鼓励地方依托公共实训基地、企业实训基地、高技能人才培训基地等，积极开展人工智能相关技能培训。推进人工智能全社会通识教育，依托国家智慧教育公共服务平台、工业和信息化技术技能人才网上学习平台、继续教育网络平台等，推出更多公益课程。鼓励在现有职业技能大赛中积极开展人工智能相关技能竞赛活动。</w:t>
        <w:br/>
        <w:t>五、推动人工智能赋能高品质就业政策服务</w:t>
        <w:br/>
        <w:t>（十）运用人工智能助力就业政策落实。探索构建政策落实智能识别机制，分析服务对象特征，智能推送就业政策，提升“政策找人”质效。加强人工智能在就业政策评估、资金管理、宣传解读和咨询等方面的应用。</w:t>
        <w:br/>
        <w:t>（十一）提高就业服务智能化水平。升级完善全国就业信息资源库、国家大学生就业服务平台、“中国就业”公共服务平台，强化数据归集、智能分析、精准服务。推进国家人工智能应用中试基地建设，统筹现有资源探索基层公共就业服务网络智能升级，深化人工智能在劳动人事争议调解仲裁等领域应用。推动人工智能赋能人力资源服务，鼓励经营主体创新优化求职招聘大模型、智能面试、虚拟现实培训等新产品新模式。</w:t>
        <w:br/>
        <w:t>（十二）加大转型转岗就业支持力度。按规定对符合条件的受人工智能应用就业替代影响劳动者做好就业帮扶，提供针对性职业指导、技能培训、岗位推荐、创业支持等服务。按规定对有关参保失业人员及时足额发放失业保险待遇。</w:t>
        <w:br/>
        <w:t>六、健全劳动者权益保障制度和社会保障制度</w:t>
        <w:br/>
        <w:t>（十三）优化适应人机协同的劳动者权益保障制度。加强针对人机协同等社会分工新特点的劳动者基本权益保障研究，健全劳动者权益协商协调机制，督促企业依法保障劳动者取得劳动报酬、休息休假、获得劳动安全卫生保护等合法权益。规范人工智能在人力资源管理领域应用，依法治理因滥用算法等造成的就业歧视、虚假招聘、侵犯隐私权休息权等违法违规行为。</w:t>
        <w:br/>
        <w:t>（十四）完善灵活就业、新就业形态劳动者社会保障制度。适应人工智能技术发展，增强社会保障制度灵活性、包容性，鼓励支持灵活就业人员、新就业形态人员等参加城镇职工基本养老保险，扩大新就业形态人员职业伤害保障试点。积极用好人工智能发展红利，更好保障就业和改善民生。</w:t>
        <w:br/>
        <w:t>（十五）健全适应人工智能技术发展的收入分配机制。引导企业建立健全符合人工智能领域从业人员特点的薪酬分配制度，完善以增加知识价值为导向的高层次人才工资分配激励机制，落实技能人才最低工资分类参考指引。培育发展智能代理等创新型工作形态，鼓励企业加大对公益性人工智能技术、服务和开源社区的投入力度，帮助劳动者拓展能力边界、提升劳动价值，推动更多劳动者积极参与技术进步并从中获益。</w:t>
        <w:br/>
        <w:t>七、完善人工智能应用就业监测预警和风险应对体系</w:t>
        <w:br/>
        <w:t>（十六）强化人工智能应用就业风险监测预警。加强人工智能相关产业、就业等数据跨部门共享，共建区域性、行业性就业数据智能监测分析模型。强化人工智能应用就业风险预研预判，提升就业风险监测预警灵敏度。</w:t>
        <w:br/>
        <w:t>（十七）加强人工智能应用就业影响研究。开展人工智能应用就业影响专项调查，持续跟踪人工智能应用渗透、岗位创造替代、技能需求变化等情况。依托高校、科研机构等现有资源，布局一批人工智能就业研究中心。实施好国家社科基金等科研项目，前瞻性研究人工智能技术发展对就业、收入分配的影响。</w:t>
        <w:br/>
        <w:t>（十八）健全人工智能应用就业风险应对机制。将人工智能应用就业风险纳入规模性失业风险防范化解机制应对范围，统筹制定风险应对预案。强化人工智能相关劳动关系风险联合应对，做好风险会商研判和处置。</w:t>
        <w:br/>
        <w:t>八、加强组织实施</w:t>
        <w:br/>
        <w:t>坚持把党的领导贯彻到适应人工智能技术发展促进就业创业工作全过程各方面。各地区各有关部门要结合实际抓好本意见贯彻落实，进一步强化就业优先政策导向，统筹考虑人工智能应用就业影响，加快构建就业友好型发展方式。各级人力资源社会保障、发展改革部门要加强统筹协调，推动各项政策措施落地见效，加强宣传引导，营造有利于促进就业创业的良好社会氛围。重大事项及时按程序向党中央、国务院请示报告。</w:t>
        <w:br/>
        <w:t>国务院办公厅</w:t>
        <w:br/>
        <w:t>2026年10月16日</w:t>
        <w:br/>
        <w:t>（此件公开发布）</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808080"/>
          <w:sz w:val="32"/>
        </w:rPr>
        <w:t>本条暂无可引用的原文引文（待核验阶段不引用未取得的文本）。</w:t>
      </w:r>
    </w:p>
    <w:p>
      <w:pPr>
        <w:spacing w:lineRule="exact" w:line="560" w:before="0" w:after="0"/>
        <w:ind w:firstLine="560"/>
        <w:jc w:val="both"/>
      </w:pPr>
      <w:r>
        <w:rPr>
          <w:rFonts w:ascii="仿宋_GB2312" w:hAnsi="仿宋_GB2312" w:eastAsia="仿宋_GB2312"/>
          <w:b w:val="0"/>
          <w:color w:val="606060"/>
          <w:sz w:val="28"/>
        </w:rPr>
        <w:t>来源：中国政府网（国务院 › 政策，2026-10-23 发布），https://www.gov.cn/zhengce/content/202610/content_7084107.htm（原文直链）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w:t>
      </w:r>
    </w:p>
    <w:p>
      <w:pPr>
        <w:spacing w:lineRule="exact" w:line="560" w:before="0" w:after="0"/>
        <w:jc w:val="both"/>
      </w:pPr>
      <w:r>
        <w:rPr>
          <w:rFonts w:ascii="楷体_GB2312" w:hAnsi="楷体_GB2312" w:eastAsia="楷体_GB2312"/>
          <w:b w:val="0"/>
          <w:sz w:val="32"/>
        </w:rPr>
        <w:t>（三）全国网络安全标准化技术委员会2026年第一次全体委员会议在珠海召开［相关度 62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全国网络安全标准化技术委员会2026年第一次全体委员会议在珠海召开</w:t>
        <w:br/>
        <w:t>发布时间：</w:t>
        <w:br/>
        <w:t>2026-04-07</w:t>
        <w:br/>
        <w:t>2026年3月30日，全国网络安全标准化技术委员会2026年第一次全体委员会议在广东省珠海市召开。中央网信办副主任、国家网信办副主任、网安标委主任委员王京涛出席会议并讲话，会议由温哲副主任委员主持。</w:t>
        <w:br/>
        <w:t>会议首先播放总结视频，从工作机制建设、组织架构完善、标准体系建设、强制性国家标准研制、标准宣贯实施、国际标准化等方面系统回顾了第三届网安标委工作成果。会议指出，第三届网安标委在市场监管总局、国家标准委的有力指导下，在工业和信息化部、公安部、国家安全部、国家保密局、国家密码管理局等部门的大力支持下，各位委员、工作组和秘书处扎实开展大量工作，成效显著。</w:t>
        <w:br/>
        <w:t>会议强调，网安标委一是要谋划布局未来五年工作。2026年是“十五五”开局之年，也是网安标委换届之年，要对标国民经济和社会发展第十五个五年规划纲要，按照网络强国建设和国家网络安全工作部署要求，结合当前国际、国内的形势变化，从标准研制、组织管理、应用实施等多方面主动谋划网安标委“十五五”的工作。二是要加快重点亟需标准研制。要进一步完善关键信息基础设施安全标准化建设，加快网络安全产品互联互通系列标准研制，实现网络安全产品级、系统级互联互通。要借鉴人工智能生成合成内容标识管理的“政策文件+标准+配套实践指南”模式，以标准推动政策文件落地实施；新组建的人工智能安全标准工作组（WG9）要迅速发挥作用，加快研制智能体安全等标准。三是要加大标准实施应用力度。加强电子产品信息清除强标、网络安全产品互联互通等标准落地实施与应用推广，加快网络安全标识相关标准的研制应用，依据标准为摄像头、智能门锁、扫地机器人等联网产品确定安全标识等级；针对新兴前沿技术领域，利用好指导性技术文件、标准实践指南。四是要抢抓国际标准话语权。探索常态化承办国际标准会议的工作模式，承担好ISO IEC JTC1 SC27和SC44两个国际标准化技术组织国内对口的职责和任务，发挥好国内各相关领域标准专家力量，持续提升我国国际标准提案的质量。积极借鉴国际标准，提高我国标准质量。要围绕人工智能、抗量子密码等新技术领域，多开展国际技术交流。五是要持续提升网安标委影响力。充分发挥新成立的人工智能安全标准工作组（WG9）、网络安全国际标准研究组（SG1）作用，围绕粤港澳协同等深入开展标准研讨。要组织做好新一届委员和工作组成员单位征集遴选工作。各位委员、各个工作组要进一步加强协同联动、互相配合，秘书处要更好地发挥好参谋助手和桥梁纽带作用，共同把网安标委打造成网络安全领域具有广泛影响力的标准化技术组织。</w:t>
        <w:br/>
        <w:t>会议审议通过了网安标委2025年工作总结和2026年工作要点，听取了网安标委2025年度财务报告、各工作组2025年工作总结和2026年工作计划汇报，对2025年度网安标委标准化工作先进个人和先进单位进行了表彰。</w:t>
        <w:br/>
        <w:t>网安标委副主任委员、秘书长、副秘书长以及各位委员、各工作组组长和副组长、相关组织代表参加会议。</w:t>
        <w:br/>
        <w:t>附件：</w:t>
        <w:br/>
        <w:t>分享到：</w:t>
        <w:br/>
        <w:t>微信分享“扫一扫”</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本条为全国网络安全标准化技术委员会2026年第一次全体委员会议的会议报道，未载明具体征求意见的标准草案、条款或意见反馈渠道，属于网络安全标准化工作部署层面的信息。</w:t>
      </w:r>
    </w:p>
    <w:p>
      <w:pPr>
        <w:spacing w:lineRule="exact" w:line="560" w:before="0" w:after="0"/>
        <w:ind w:firstLine="640"/>
        <w:jc w:val="both"/>
      </w:pPr>
      <w:r>
        <w:rPr>
          <w:rFonts w:ascii="仿宋_GB2312" w:hAnsi="仿宋_GB2312" w:eastAsia="仿宋_GB2312"/>
          <w:b w:val="0"/>
          <w:sz w:val="32"/>
        </w:rPr>
        <w:t>会议提出要加快重点亟需标准研制，包括完善关键信息基础设施安全标准化建设、加快网络安全产品互联互通系列标准研制，并借鉴人工智能生成合成内容标识管理'政策文件+标准+配套实践指南'模式以标准推动政策文件落地实施。</w:t>
      </w:r>
    </w:p>
    <w:p>
      <w:pPr>
        <w:spacing w:lineRule="exact" w:line="560" w:before="0" w:after="0"/>
        <w:ind w:firstLine="640"/>
        <w:jc w:val="both"/>
      </w:pPr>
      <w:r>
        <w:rPr>
          <w:rFonts w:ascii="仿宋_GB2312" w:hAnsi="仿宋_GB2312" w:eastAsia="仿宋_GB2312"/>
          <w:b w:val="0"/>
          <w:sz w:val="32"/>
        </w:rPr>
        <w:t>会议明确新组建的人工智能安全标准工作组（WG9）要迅速发挥作用，加快研制智能体安全等标准，并围绕人工智能、抗量子密码等新技术领域开展国际技术交流。</w:t>
      </w:r>
    </w:p>
    <w:p>
      <w:pPr>
        <w:spacing w:lineRule="exact" w:line="560" w:before="0" w:after="0"/>
        <w:ind w:firstLine="640"/>
        <w:jc w:val="both"/>
      </w:pPr>
      <w:r>
        <w:rPr>
          <w:rFonts w:ascii="仿宋_GB2312" w:hAnsi="仿宋_GB2312" w:eastAsia="仿宋_GB2312"/>
          <w:b w:val="0"/>
          <w:sz w:val="32"/>
        </w:rPr>
        <w:t>会议还提出加快网络安全标识相关标准的研制应用，依据标准为摄像头、智能门锁、扫地机器人等联网产品确定安全标识等级，并针对新兴前沿技术领域利用好指导性技术文件、标准实践指南。</w:t>
      </w:r>
    </w:p>
    <w:p>
      <w:pPr>
        <w:spacing w:lineRule="exact" w:line="560" w:before="0" w:after="0"/>
        <w:ind w:firstLine="640"/>
        <w:jc w:val="both"/>
      </w:pPr>
      <w:r>
        <w:rPr>
          <w:rFonts w:ascii="仿宋_GB2312" w:hAnsi="仿宋_GB2312" w:eastAsia="仿宋_GB2312"/>
          <w:b w:val="0"/>
          <w:sz w:val="32"/>
        </w:rPr>
        <w:t>会议指出2026年是'十五五'开局之年，也是网安标委换届之年，要从标准研制、组织管理、应用实施等多方面谋划'十五五'工作。</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若后续人工智能安全标准工作组（WG9）就智能体安全等标准形成征求意见稿或发布稿，公司AI应用业务线在智能体相关产品的研发、评测与对外提供环节可能需对照相应标准要求；若网络安全标识相关标准落地，公司信息化·网安业务线涉及联网产品安全标识等级的合规判定条件可能被触发；若网络安全产品互联互通系列标准研制推进，涉及网络安全产品对接的系统集成场景可能需满足级、系统级互联互通要求。上述标准目前尚未见具体文本，具体适用条款与生效时间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持续跟踪网安标委人工智能安全标准工作组（WG9）及网络安全标识、网络安全产品互联互通相关标准的研制进展与征求意见通知；在相应标准草案公开征求意见时，组织AI应用与信息化·网安相关产品线开展条款比对；关注人工智能生成合成内容标识管理'政策文件+标准+配套实践指南'模式的配套文件动向。</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要借鉴人工智能生成合成内容标识管理的“政策文件+标准+配套实践指南”模式，以标准推动政策文件落地实施；新组建的人工智能安全标准工作组（WG9）要迅速发挥作用，加快研制智能体安全等标准。”（会议强调第二项'加快重点亟需标准研制'部分）</w:t>
      </w:r>
    </w:p>
    <w:p>
      <w:pPr>
        <w:spacing w:lineRule="exact" w:line="560" w:before="0" w:after="0"/>
        <w:ind w:firstLine="640"/>
        <w:jc w:val="both"/>
      </w:pPr>
      <w:r>
        <w:rPr>
          <w:rFonts w:ascii="仿宋_GB2312" w:hAnsi="仿宋_GB2312" w:eastAsia="仿宋_GB2312"/>
          <w:b w:val="0"/>
          <w:color w:val="2F5F40"/>
          <w:sz w:val="32"/>
        </w:rPr>
        <w:t>“要进一步完善关键信息基础设施安全标准化建设，加快网络安全产品互联互通系列标准研制，实现网络安全产品级、系统级互联互通。”（会议强调第二项'加快重点亟需标准研制'部分）</w:t>
      </w:r>
    </w:p>
    <w:p>
      <w:pPr>
        <w:spacing w:lineRule="exact" w:line="560" w:before="0" w:after="0"/>
        <w:ind w:firstLine="640"/>
        <w:jc w:val="both"/>
      </w:pPr>
      <w:r>
        <w:rPr>
          <w:rFonts w:ascii="仿宋_GB2312" w:hAnsi="仿宋_GB2312" w:eastAsia="仿宋_GB2312"/>
          <w:b w:val="0"/>
          <w:color w:val="2F5F40"/>
          <w:sz w:val="32"/>
        </w:rPr>
        <w:t>“加快网络安全标识相关标准的研制应用，依据标准为摄像头、智能门锁、扫地机器人等联网产品确定安全标识等级；针对新兴前沿技术领域，利用好指导性技术文件、标准实践指南。”（会议强调第三项'加大标准实施应用力度'部分）</w:t>
      </w:r>
    </w:p>
    <w:p>
      <w:pPr>
        <w:spacing w:lineRule="exact" w:line="560" w:before="0" w:after="0"/>
        <w:ind w:firstLine="640"/>
        <w:jc w:val="both"/>
      </w:pPr>
      <w:r>
        <w:rPr>
          <w:rFonts w:ascii="仿宋_GB2312" w:hAnsi="仿宋_GB2312" w:eastAsia="仿宋_GB2312"/>
          <w:b w:val="0"/>
          <w:color w:val="2F5F40"/>
          <w:sz w:val="32"/>
        </w:rPr>
        <w:t>“要围绕人工智能、抗量子密码等新技术领域，多开展国际技术交流。”（会议强调第四项'抢抓国际标准话语权'部分）</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标准动态，2026-10-15 发布），https://www.tc260.org.cn/tc260/xwdt1/202604/03df3b74b6ea4e1d8b2a40e2364b030e.shtml（原文直链）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120" w:after="0"/>
        <w:jc w:val="both"/>
      </w:pPr>
      <w:r>
        <w:rPr>
          <w:rFonts w:ascii="黑体" w:hAnsi="黑体" w:eastAsia="黑体"/>
          <w:b w:val="0"/>
          <w:sz w:val="32"/>
        </w:rPr>
        <w:t>四、数据要素与个人信息保护监管动态（2 条）</w:t>
      </w:r>
    </w:p>
    <w:p>
      <w:pPr>
        <w:spacing w:lineRule="exact" w:line="560" w:before="0" w:after="0"/>
        <w:jc w:val="both"/>
      </w:pPr>
      <w:r>
        <w:rPr>
          <w:rFonts w:ascii="楷体_GB2312" w:hAnsi="楷体_GB2312" w:eastAsia="楷体_GB2312"/>
          <w:b w:val="0"/>
          <w:sz w:val="32"/>
        </w:rPr>
        <w:t>（一）2026-10-22 “网络安全国家标准进中小学校园”活动在北京一零一中未来科学城学校举办［相关度 64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申请成员单位</w:t>
        <w:br/>
        <w:t>|</w:t>
        <w:br/>
        <w:t>登录</w:t>
        <w:br/>
        <w:t>首页</w:t>
        <w:br/>
        <w:t>新闻动态</w:t>
        <w:br/>
        <w:t>行业观点</w:t>
        <w:br/>
        <w:t>标准征求意见</w:t>
        <w:br/>
        <w:t>出版物</w:t>
        <w:br/>
        <w:t>关于我们</w:t>
        <w:br/>
        <w:t>首页 / 新闻动态 / 新闻动态</w:t>
        <w:br/>
        <w:t>“网络安全国家标准进中小学校园”活动在北京一零一中未来科学城学校举办</w:t>
        <w:br/>
        <w:t>发布时间：</w:t>
        <w:br/>
        <w:t>2026-10-22</w:t>
        <w:br/>
        <w:t>2026年10月20日，由全国网络安全标准化技术委员会秘书处、北京市昌平区委网信办联合主办，北京一零一中未来科学城学校、CCIA数据安全工作委员会协办的“网络安全国家标准进中小学校园”主题活动在北京一零一中未来科学城学校举办。北京市昌平区委网信办主任毕尧、中国电子技术标准化研究院网安中心副主任周睿康参加会议并致辞。</w:t>
        <w:br/>
        <w:t>在活动专题分享和知识科普环节，北京市公安局昌平分局网安支队综合中队副中队长刘仔健以《知网络风险，守青春底线》为题进行分享；全国网安标委秘书处、CCIA数据安全工作委员会专家何延哲作《国家标准知识科普和未成年人网络保护标准介绍》；中国科学院信息工程研究所专家李敏围绕《产业联盟推动未成年人反“开盒”保护的实践与探索》作交流；北京一零一中未来科学城学校课程教学中心干部、信息技术教师宋媛媛分享了学校在学生个人信息保护方面的实践举措。</w:t>
        <w:br/>
        <w:t>在“密码训练营”互动游戏环节，志愿者讲解了游戏玩法和规则。各学生小组以2V2的形式开展了“破解5位十进制密码”的挑战，获胜队伍学生代表结合游戏体验，分享了心得体会和对网络安全的认识。</w:t>
        <w:br/>
        <w:t>本次活动采取“线下讲座+科普互动游戏”形式，将网络安全国家标准知识普及与互动体验相结合，对普及网络安全国家标准知识、提升未成年人网络安全意识和个人信息自我保护能力具有积极作用。昌平区委网信办、北京市公安局昌平分局、教育部教育管理信息中心、中国科学院信息工程研究所、中国教育电视台等单位有关同志，以及北京一零一中未来科学城学校初中部约140名学生及教师、专家参加活动。</w:t>
        <w:br/>
        <w:t>附件：</w:t>
        <w:br/>
        <w:t>分享到：</w:t>
        <w:br/>
        <w:t>微信分享“扫一扫”</w:t>
        <w:br/>
        <w:t>全国网络安全标准化技术委员会秘书处 版权所有 ©2009-2026</w:t>
        <w:br/>
        <w:t>地址：中国 北京 安定门东大街一号 中国电子技术标准化研究院</w:t>
        <w:br/>
        <w:t>联系电话：010-64102730,64102731 传真：010-64102997 邮编：100007</w:t>
        <w:br/>
        <w:t>京ICP备05013730号-14</w:t>
        <w:br/>
        <w:t>京公网安备11010102004561号</w:t>
        <w:br/>
        <w:t>新闻动态</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808080"/>
          <w:sz w:val="32"/>
        </w:rPr>
        <w:t>本条暂无可引用的原文引文（待核验阶段不引用未取得的文本）。</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标准动态，2026-10-22 发布），https://www.tc260.org.cn/tc260/xwdt1/202610/5ed247fd520f4130ae1413ff0232fa60.shtml（原文直链）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w:t>
      </w:r>
    </w:p>
    <w:p>
      <w:pPr>
        <w:spacing w:lineRule="exact" w:line="560" w:before="0" w:after="0"/>
        <w:jc w:val="both"/>
      </w:pPr>
      <w:r>
        <w:rPr>
          <w:rFonts w:ascii="楷体_GB2312" w:hAnsi="楷体_GB2312" w:eastAsia="楷体_GB2312"/>
          <w:b w:val="0"/>
          <w:sz w:val="32"/>
        </w:rPr>
        <w:t>（二）全国网络安全标准化技术委员会2025年第一次全体委员会议在苏州召开［相关度 64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申请成员单位</w:t>
        <w:br/>
        <w:t>|</w:t>
        <w:br/>
        <w:t>登录</w:t>
        <w:br/>
        <w:t>首页</w:t>
        <w:br/>
        <w:t>新闻动态</w:t>
        <w:br/>
        <w:t>行业观点</w:t>
        <w:br/>
        <w:t>标准征求意见</w:t>
        <w:br/>
        <w:t>出版物</w:t>
        <w:br/>
        <w:t>关于我们</w:t>
        <w:br/>
        <w:t>首页 / 新闻动态 / 新闻动态</w:t>
        <w:br/>
        <w:t>全国网络安全标准化技术委员会2025年第一次全体委员会议在苏州召开</w:t>
        <w:br/>
        <w:t>发布时间：</w:t>
        <w:br/>
        <w:t>2025-04-17</w:t>
        <w:br/>
        <w:t>2025年4月14日，全国网络安全标准化技术委员会2025年第一次全体委员会议在江苏省苏州市召开。中央网信办副主任、国家网信办副主任、网安标委主任委员王京涛出席会议并讲话。</w:t>
        <w:br/>
        <w:t>会议指出，2024年，在市场监管总局、国家标准委的有力指导下，在有关主管部门的大力支持下，在各位委员专家、工作组、秘书处的共同努力下，网安标委落实大网络安全工作格局要求，实现网络安全、数据安全、内容安全三个层面的全覆盖，在机制建设、重点标准研制、国际标准化等方面取得了积极成效，</w:t>
        <w:br/>
        <w:t>会议强调，2025年，网安标委要深入学习贯彻习近平总书记关于网络强国的重要思想，高起点、高标准、高质量谋划网络安全标准化工作。一是要加大网络安全重点标准研制力度，围绕网络安全管理工作亟需，加快电子产品信息清除、儿童手表安全等强制性国家标准研制，加强智能驾驶安全、低空经济安全、抗量子密码等标准前瞻性研究。二是要大力提升网络安全标准应用实施效果，将网络安全管理工作和标准化工作紧密结合，加快网络安全产品互联互通系列标准研制和落地实施，推动标准在重点行业和典型场景的试点和应用。三是要扩大网络安全国际标准话语权，通过举办SC27国际会议，进一步扩大我国网络安全国际标准化朋友圈。四是要持续强化网安标委专业技术能力建设，各委员和工作组要加大技术研究和标准储备，秘书处要发挥好桥梁纽带作用，有效凝聚网络安全标准化工作合力。</w:t>
        <w:br/>
        <w:t>会议审议通过了网安标委2024年工作总结和2025年工作要点，听取了网安标委2024年度财务报告、各工作组2024年工作总结和2025年工作计划汇报，对2024年度网安标委标准化工作先进个人进行了表彰。</w:t>
        <w:br/>
        <w:t>国家标准委有关负责同志到会指导，网安标委副主任委员、秘书长、副秘书长以及各位委员、各工作组组长和副组长、相关组织代表参加会议。</w:t>
        <w:br/>
        <w:t>附件：</w:t>
        <w:br/>
        <w:t>分享到：</w:t>
        <w:br/>
        <w:t>微信分享“扫一扫”</w:t>
        <w:br/>
        <w:t>全国网络安全标准化技术委员会秘书处 版权所有 ©2009-2026</w:t>
        <w:br/>
        <w:t>地址：中国 北京 安定门东大街一号 中国电子技术标准化研究院</w:t>
        <w:br/>
        <w:t>联系电话：010-64102730,64102731 传真：010-64102997 邮编：100007</w:t>
        <w:br/>
        <w:t>京ICP备05013730号-14</w:t>
        <w:br/>
        <w:t>京公网安备11010102004561号</w:t>
        <w:br/>
        <w:t>新闻动态</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2025年第一次全体委员会议的新闻通报，非具体法规或标准征求意见稿，未列出任何条款化义务。会议指出2025年工作要点包括：加大网络安全重点标准研制力度（加快电子产品信息清除、儿童手表安全等强制性国家标准研制，加强智能驾驶安全、低空经济安全、抗量子密码等标准前瞻性研究）；提升网络安全标准应用实施效果（加快网络安全产品互联互通系列标准研制和落地实施，推动标准在重点行业和典型场景的试点和应用）；扩大网络安全国际标准话语权；强化专业技术能力建设。</w:t>
      </w:r>
    </w:p>
    <w:p>
      <w:pPr>
        <w:spacing w:lineRule="exact" w:line="560" w:before="0" w:after="0"/>
        <w:ind w:firstLine="640"/>
        <w:jc w:val="both"/>
      </w:pPr>
      <w:r>
        <w:rPr>
          <w:rFonts w:ascii="仿宋_GB2312" w:hAnsi="仿宋_GB2312" w:eastAsia="仿宋_GB2312"/>
          <w:b w:val="0"/>
          <w:sz w:val="32"/>
        </w:rPr>
        <w:t>会议审议通过了网安标委2024年工作总结和2025年工作要点，属标准化工作部署，不直接设定企业合规义务；其中'重点行业和典型场景的试点和应用'与'网络安全产品互联互通'方向，与本公司信息化·网安业务线可能存在的产品互联互通与安全标准适配需求相关，但本条未点名任何行业、场景或企业，具体适用关系待相关标准正式发布后确认。</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触发条件：若网安标委后续就'网络安全产品互联互通系列标准'或强制性国家标准正式发布征求意见稿/标准文本，且其适用范围覆盖本公司数字建造平台（星环）、投建营一体化平台（星枢）等产品或所服务的重点行业场景，则可能对产品互联互通能力、安全功能配置提出适配要求；本条本身仅为会议通报，未设定生效义务，对数据要素、信息化·网安业务线的具体影响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1) 持续跟踪网安标委'网络安全产品互联互通系列标准'及电子产品信息清除等强制性国家标准的研制进展，在正式征求意见稿发布时启动内部评估；2) 结合信息化·网安业务线，梳理星环、星枢等平台的互联互通接口与安全能力现状，为标准落地预留改造空间；3) 数据要素相关业务暂无需依据本条调整，待具体标准文本明确数据安全要求后再行判断。</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“加快电子产品信息清除、儿童手表安全等强制性国家标准研制，加强智能驾驶安全、低空经济安全、抗量子密码等标准前瞻性研究”（会议强调部分第二点（2025年工作要点第一项））</w:t>
      </w:r>
    </w:p>
    <w:p>
      <w:pPr>
        <w:spacing w:lineRule="exact" w:line="560" w:before="0" w:after="0"/>
        <w:ind w:firstLine="640"/>
        <w:jc w:val="both"/>
      </w:pPr>
      <w:r>
        <w:rPr>
          <w:rFonts w:ascii="仿宋_GB2312" w:hAnsi="仿宋_GB2312" w:eastAsia="仿宋_GB2312"/>
          <w:b w:val="0"/>
          <w:color w:val="2F5F40"/>
          <w:sz w:val="32"/>
        </w:rPr>
        <w:t>“加快网络安全产品互联互通系列标准研制和落地实施，推动标准在重点行业和典型场景的试点和应用”（会议强调部分第三点（2025年工作要点第二项））</w:t>
      </w:r>
    </w:p>
    <w:p>
      <w:pPr>
        <w:spacing w:lineRule="exact" w:line="560" w:before="0" w:after="0"/>
        <w:ind w:firstLine="640"/>
        <w:jc w:val="both"/>
      </w:pPr>
      <w:r>
        <w:rPr>
          <w:rFonts w:ascii="仿宋_GB2312" w:hAnsi="仿宋_GB2312" w:eastAsia="仿宋_GB2312"/>
          <w:b w:val="0"/>
          <w:color w:val="2F5F40"/>
          <w:sz w:val="32"/>
        </w:rPr>
        <w:t>“会议审议通过了网安标委2024年工作总结和2025年工作要点”（会议审议事项段落）</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标准动态，2026-10-19 发布），https://www.tc260.org.cn/tc260/xwdt1/202504/06f1f18511474d2885d622b05616f2dc.shtml（原文直链）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120" w:after="0"/>
        <w:jc w:val="both"/>
      </w:pPr>
      <w:r>
        <w:rPr>
          <w:rFonts w:ascii="黑体" w:hAnsi="黑体" w:eastAsia="黑体"/>
          <w:b w:val="0"/>
          <w:sz w:val="32"/>
        </w:rPr>
        <w:t>五、网络与数据安全监管动态（1 条）</w:t>
      </w:r>
    </w:p>
    <w:p>
      <w:pPr>
        <w:spacing w:lineRule="exact" w:line="560" w:before="0" w:after="0"/>
        <w:jc w:val="both"/>
      </w:pPr>
      <w:r>
        <w:rPr>
          <w:rFonts w:ascii="楷体_GB2312" w:hAnsi="楷体_GB2312" w:eastAsia="楷体_GB2312"/>
          <w:b w:val="0"/>
          <w:sz w:val="32"/>
        </w:rPr>
        <w:t>（一）2026-10-13 关于下达25项网络安全推荐性国家标准计划的通知［相关度 56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申请成员单位</w:t>
        <w:br/>
        <w:t>|</w:t>
        <w:br/>
        <w:t>登录</w:t>
        <w:br/>
        <w:t>首页</w:t>
        <w:br/>
        <w:t>新闻动态</w:t>
        <w:br/>
        <w:t>行业观点</w:t>
        <w:br/>
        <w:t>标准征求意见</w:t>
        <w:br/>
        <w:t>出版物</w:t>
        <w:br/>
        <w:t>关于我们</w:t>
        <w:br/>
        <w:t>首页 / 新闻动态 / 通知公告</w:t>
        <w:br/>
        <w:t>关于下达25项网络安全推荐性国家标准计划的通知</w:t>
        <w:br/>
        <w:t>发布时间：</w:t>
        <w:br/>
        <w:t>2026-10-13</w:t>
        <w:br/>
        <w:t>各工作组、各项目牵头承担单位：</w:t>
        <w:br/>
        <w:t>近日，国家标准化管理委员会下达的推荐性国家标准计划，其中《网络安全技术 JSON密码使用语法规范》等25项国家标准由全国网络安全标准化技术委员会归口管理，详细信息见附件。</w:t>
        <w:br/>
        <w:t>请项目所属工作组制定项目推进计划，并督促项目牵头承担单位按计划抓紧落实，在计划执行中要加强协调，广泛征求意见，确保标准质量和水平，按要求完成国家标准制修订任务。</w:t>
        <w:br/>
        <w:t>附件：25项网络安全推荐性国家标准计划项目清单</w:t>
        <w:br/>
        <w:t>全国网络安全标准化技术委员会秘书处</w:t>
        <w:br/>
        <w:t>2026年10月13日</w:t>
        <w:br/>
        <w:t>附件：</w:t>
        <w:br/>
        <w:t>网安秘字〔2026〕121号——关于下达25项网络安全推荐性国家标准计划的通知.pdf</w:t>
        <w:br/>
        <w:t>分享到：</w:t>
        <w:br/>
        <w:t>微信分享“扫一扫”</w:t>
        <w:br/>
        <w:t>全国网络安全标准化技术委员会秘书处 版权所有 ©2009-2026</w:t>
        <w:br/>
        <w:t>地址：中国 北京 安定门东大街一号 中国电子技术标准化研究院</w:t>
        <w:br/>
        <w:t>联系电话：010-64102730,64102731 传真：010-64102997 邮编：100007</w:t>
        <w:br/>
        <w:t>京ICP备05013730号-14</w:t>
        <w:br/>
        <w:t>京公网安备11010102004561号</w:t>
        <w:br/>
        <w:t>新闻动态</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本条为全国网络安全标准化技术委员会秘书处发布的《关于下达25项网络安全推荐性国家标准计划的通知》，属标准计划下达类征求意见/推进通知，明确《网络安全技术 JSON密码使用语法规范》等25项国家标准由全国网络安全标准化技术委员会归口管理，并要求项目所属工作组制定项目推进计划、督促牵头承担单位抓紧落实、加强协调、广泛征求意见。</w:t>
      </w:r>
    </w:p>
    <w:p>
      <w:pPr>
        <w:spacing w:lineRule="exact" w:line="560" w:before="0" w:after="0"/>
        <w:ind w:firstLine="640"/>
        <w:jc w:val="both"/>
      </w:pPr>
      <w:r>
        <w:rPr>
          <w:rFonts w:ascii="仿宋_GB2312" w:hAnsi="仿宋_GB2312" w:eastAsia="仿宋_GB2312"/>
          <w:b w:val="0"/>
          <w:sz w:val="32"/>
        </w:rPr>
        <w:t>通知正文未列出25项标准的具体名称、内容、适用范围与实施安排，仅以附件《25项网络安全推荐性国家标准计划项目清单》形式给出详细信息，因此无法从本条原文判断具体标准对密码使用、数据接口或网络安全管理提出的具体要求。</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条命中信息化·网安业务线：若后续附件清单中的标准（如涉及JSON密码使用语法等密码与数据接口类标准）在正式发布并适用后，公司数字建造平台、投建营一体化平台、产业互联网·招采及AI应用、数据要素相关产品的密码使用与数据接口设计，可能被要求对照标准进行合规评估与改造；触发条件为该批标准正式发布并对公司相关产品适用，具体标准条目、适用范围与施行时间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建议关注该通知附件《25项网络安全推荐性国家标准计划项目清单》以确认与公司业务相关的标准项目及牵头单位；在相关标准正式发布前，对涉及密码使用、数据接口的信息化·网安相关产品线进行现状梳理，为后续标准符合性评估预留改造窗口；同时跟踪全国网络安全标准化技术委员会的征求意见动态。</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“近日，国家标准化管理委员会下达的推荐性国家标准计划，其中《网络安全技术 JSON密码使用语法规范》等25项国家标准由全国网络安全标准化技术委员会归口管理，详细信息见附件。”（通知正文第一段）</w:t>
      </w:r>
    </w:p>
    <w:p>
      <w:pPr>
        <w:spacing w:lineRule="exact" w:line="560" w:before="0" w:after="0"/>
        <w:ind w:firstLine="640"/>
        <w:jc w:val="both"/>
      </w:pPr>
      <w:r>
        <w:rPr>
          <w:rFonts w:ascii="仿宋_GB2312" w:hAnsi="仿宋_GB2312" w:eastAsia="仿宋_GB2312"/>
          <w:b w:val="0"/>
          <w:color w:val="2F5F40"/>
          <w:sz w:val="32"/>
        </w:rPr>
        <w:t>“请项目所属工作组制定项目推进计划，并督促项目牵头承担单位按计划抓紧落实，在计划执行中要加强协调，广泛征求意见，确保标准质量和水平，按要求完成国家标准制修订任务。”（通知正文第二段）</w:t>
      </w:r>
    </w:p>
    <w:p>
      <w:pPr>
        <w:spacing w:lineRule="exact" w:line="560" w:before="0" w:after="0"/>
        <w:ind w:firstLine="640"/>
        <w:jc w:val="both"/>
      </w:pPr>
      <w:r>
        <w:rPr>
          <w:rFonts w:ascii="仿宋_GB2312" w:hAnsi="仿宋_GB2312" w:eastAsia="仿宋_GB2312"/>
          <w:b w:val="0"/>
          <w:color w:val="2F5F40"/>
          <w:sz w:val="32"/>
        </w:rPr>
        <w:t>“附件：25项网络安全推荐性国家标准计划项目清单”（正文附件说明）</w:t>
      </w:r>
    </w:p>
    <w:p>
      <w:pPr>
        <w:spacing w:lineRule="exact" w:line="560" w:before="0" w:after="0"/>
        <w:ind w:firstLine="640"/>
        <w:jc w:val="both"/>
      </w:pPr>
      <w:r>
        <w:rPr>
          <w:rFonts w:ascii="楷体_GB2312" w:hAnsi="楷体_GB2312" w:eastAsia="楷体_GB2312"/>
          <w:b w:val="0"/>
          <w:color w:val="404040"/>
          <w:sz w:val="32"/>
        </w:rPr>
        <w:t>适用性预判：全国适用 · 指引性要求（其中《网络安全技术 JSON密码使用语法规范》等25项国家标准由全国网络安全标准化技术委员会归口管理）（模型预判，以原文为准，可人工更正）</w:t>
      </w:r>
    </w:p>
    <w:p>
      <w:pPr>
        <w:spacing w:lineRule="exact" w:line="560" w:before="0" w:after="0"/>
        <w:ind w:firstLine="560"/>
        <w:jc w:val="both"/>
      </w:pPr>
      <w:r>
        <w:rPr>
          <w:rFonts w:ascii="仿宋_GB2312" w:hAnsi="仿宋_GB2312" w:eastAsia="仿宋_GB2312"/>
          <w:b w:val="0"/>
          <w:color w:val="606060"/>
          <w:sz w:val="28"/>
        </w:rPr>
        <w:t>来源：全国网络安全标准化技术委员会（TC260 › 标准动态，2026-10-13 发布），https://www.tc260.org.cn/tc260/tzgg/202610/2ac025d624a046199d8895fd6eeee5aa.shtml（原文直链）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w:t>
      </w:r>
    </w:p>
    <w:p>
      <w:pPr>
        <w:spacing w:lineRule="exact" w:line="560" w:before="120" w:after="0"/>
        <w:jc w:val="both"/>
      </w:pPr>
      <w:r>
        <w:rPr>
          <w:rFonts w:ascii="黑体" w:hAnsi="黑体" w:eastAsia="黑体"/>
          <w:b w:val="0"/>
          <w:sz w:val="32"/>
        </w:rPr>
        <w:t>六、平台经济与市场秩序监管动态（1 条）</w:t>
      </w:r>
    </w:p>
    <w:p>
      <w:pPr>
        <w:spacing w:lineRule="exact" w:line="560" w:before="0" w:after="0"/>
        <w:jc w:val="both"/>
      </w:pPr>
      <w:r>
        <w:rPr>
          <w:rFonts w:ascii="楷体_GB2312" w:hAnsi="楷体_GB2312" w:eastAsia="楷体_GB2312"/>
          <w:b w:val="0"/>
          <w:sz w:val="32"/>
        </w:rPr>
        <w:t>（一）推荐优艾智合港股IPO获中国证监会备案［相关度 57 · 待核验］</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优艾智合港股IPO获中国证监会备案</w:t>
        <w:br/>
        <w:t>澎湃新闻首席记者 李晓青</w:t>
        <w:br/>
        <w:t>2026-10-17 09:34</w:t>
        <w:br/>
        <w:t>来源：澎湃新闻</w:t>
        <w:br/>
        <w:t>∙ IPO最前线 &gt;</w:t>
        <w:br/>
        <w:t>听全文</w:t>
        <w:br/>
        <w:t>字号</w:t>
        <w:br/>
        <w:t>10月16日，中国证监会发布《关于合肥优艾智合机器人股份有限公司境外发行上市及境内未上市股份“全流通”的备案通知书》。</w:t>
        <w:br/>
        <w:t>根据《通知书》内容，优艾智合拟发行不超过49477800股境外上市普通股并在香港联合交易所上市，公司37名股东拟将所持合计243804260股境内未上市股份转为境外上市股份，并在香港联合交易所上市流通。</w:t>
        <w:br/>
        <w:t>2025年9月26日，优艾智合正式向港交所递交招股书，申请通过港交所18C章程在主板上市，中金公司担任独家保荐人。若顺利挂牌，优艾智合将成为港股“移动操作机器人第一股”。</w:t>
        <w:br/>
        <w:t>资料显示，优艾智合成立于2017年，总部位于合肥肥东，是一家工业具身智能科技公司。公司以“一脑多态”为核心架构，为半导体、能源化工、锂电、3C等行业提供具备感知、移动与操作能力的机器人产品及解决方案。</w:t>
        <w:br/>
        <w:t>公司援引弗若斯特沙利文报告，按2024年收入计，优艾智合在全球工业移动操作机器人公司中排名第一，市场份额6.1%；在中国市场的份额为12%。</w:t>
        <w:br/>
        <w:t>从财务数据来看，优艾智合的营收在持续增长，但亏损仍在持续。</w:t>
        <w:br/>
        <w:t>2023年、2024年、2025年营收分别为1.08亿元、2.55亿元、3.4亿元；毛利分别为2814万元、8963万元、1.24亿元；毛利率分别为26.1%、35.2%、36.5%。</w:t>
        <w:br/>
        <w:t>优艾智合收入分为工业物流和巡检运维两个部分。其中，2025年来自工业物流收入为2亿元，占比为59.4%；来自巡检运维收入为1.38亿元，占比为40.6%。</w:t>
        <w:br/>
        <w:t>公司同期的年内亏损分别为2.59亿元、2亿元、3.84亿元；年内亏损率分别为241.5%、78.5%、113.1%；公司经调整净亏损分别为1.31亿元、8119万元、1.06亿元；经调整净亏损率分别为122%、31.9%、31.2%。</w:t>
        <w:br/>
        <w:t>截至2025年12月31日，优艾智合持有的现金及现金等价物为2.43亿元。</w:t>
        <w:br/>
        <w:t>从招股书披露的信息来看，公司客户集中度呈现明显上升趋势。</w:t>
        <w:br/>
        <w:t>2023年至2025年，公司来自最大客户的收入贡献率从10.5%升至20.4%，前五大客户收入贡献率从28.3%攀升至35.8%，公司对主要客户的依赖度在不断增加。</w:t>
        <w:br/>
        <w:t>与客户集中度上升形成对比的是，公司供应商集中度呈现下降趋势。2023年至2025年，公司向最大供应商采购额占比从13.1%降至8.2%，前五大供应商采购额占比从33.2%降至19.4%。</w:t>
        <w:br/>
        <w:t>股东方面，公司创始人、执行董事、首席执行官、董事会主席张朝辉；联合创始人、执行董事兼首席技术官边旭、梅雪松及张朝辉控制的西安优艾等为一致行动人，合计持股约30.24%，构成单一最大股东集团。</w:t>
        <w:br/>
        <w:t>责任编辑：郑景昕</w:t>
        <w:br/>
        <w:t>图片编辑：蒋立冬</w:t>
        <w:br/>
        <w:t>校对：张亮亮</w:t>
        <w:br/>
        <w:t>澎湃新闻报料：021-962866</w:t>
        <w:br/>
        <w:t>澎湃新闻，未经授权不得转载</w:t>
        <w:br/>
        <w:t>+1</w:t>
        <w:br/>
        <w:t>收藏</w:t>
        <w:br/>
        <w:t>我要举报</w:t>
        <w:br/>
        <w:t>#优艾智合#IPO</w:t>
        <w:br/>
        <w:t>查看更多</w:t>
        <w:br/>
        <w:t>扫码下载澎湃新闻客户端</w:t>
        <w:br/>
        <w:t>Android版</w:t>
        <w:br/>
        <w:t>iPhone版</w:t>
        <w:br/>
        <w:t>iPad版</w:t>
        <w:br/>
        <w:t>关于澎湃</w:t>
        <w:br/>
        <w:t>加入澎湃</w:t>
        <w:br/>
        <w:t>联系我们</w:t>
        <w:br/>
        <w:t>广告合作</w:t>
        <w:br/>
        <w:t>法律声明</w:t>
        <w:br/>
        <w:t>隐私政策</w:t>
        <w:br/>
        <w:t>澎湃矩阵</w:t>
        <w:br/>
        <w:t>澎湃新闻微博</w:t>
        <w:br/>
        <w:t>澎湃新闻公众号</w:t>
        <w:br/>
        <w:t>澎湃新闻抖音号</w:t>
        <w:br/>
        <w:t>派生万物开放平台</w:t>
        <w:br/>
        <w:t>IP SHANGHAI</w:t>
        <w:br/>
        <w:t>SIXTH TONE</w:t>
        <w:br/>
        <w:t>新闻报料</w:t>
        <w:br/>
        <w:t>报料热线: 021-962866</w:t>
        <w:br/>
        <w:t>报料邮箱: news@thepaper.cn</w:t>
        <w:br/>
        <w:t>沪ICP备14003370号</w:t>
        <w:br/>
        <w:t>沪公网安备31010602008124号</w:t>
        <w:br/>
        <w:t>互联网新闻信息服务许可证：31120170006</w:t>
        <w:br/>
        <w:t>增值电信业务经营许可证：沪B2-2017116</w:t>
        <w:br/>
        <w:t>© 2014-2026 上海东方报业有限公司</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本条为境外发行上市备案类行业动态：中国证监会于10月16日发布《关于合肥优艾智合机器人股份有限公司境外发行上市及境内未上市股份“全流通”的备案通知书》，优艾智合拟发行不超过49477800股境外上市普通股并在香港联合交易所上市，37名股东拟将合计243804260股境内未上市股份转为境外上市股份并在港交所上市流通。该案例显示，境内企业赴港上市及境内未上市股份“全流通”需经中国证监会备案，属可参照的境外发行上市路径样本。对本公司命中的涉外合规业务线而言，本条提供的是一则同业境外上市备案事实，未涉及具体备案条件、审核标准或合规义务条款，不能据此推导对本公司的直接合规要求。</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触发条件待确认：若本公司或所属集团未来筹划境外发行上市、或涉及境内未上市股份转为境外上市股份并流通，则可能落入需向中国证监会履行备案程序的同类情形，涉外合规业务线需前置评估备案要求；若本公司业务不涉及境外发行上市及“全流通”安排，本条仅为行业动态，对数字建造平台、投建营一体化平台、产业互联网·招采、数据要素、AI应用、信息化·网安等业务线不构成直接触发。原文未涉及上述业务线的具体监管要求，相关影响待确认。</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建议涉外合规条线持续跟踪中国证监会境外发行上市及“全流通”备案的同类案例与公开信息，作为境外资本运作合规的前瞻性参考；如公司或所属集团出现境外发行上市或股份“全流通”筹划意向，应提前核实备案适用条件与申报要求（原文未载明具体条件，需另行依据官方规定确认）；本条不涉及数据要素、招采等业务线的直接合规动作，暂无需据此调整相关业务流程。</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“10月16日，中国证监会发布《关于合肥优艾智合机器人股份有限公司境外发行上市及境内未上市股份“全流通”的备案通知书》。”（正文第一段）</w:t>
      </w:r>
    </w:p>
    <w:p>
      <w:pPr>
        <w:spacing w:lineRule="exact" w:line="560" w:before="0" w:after="0"/>
        <w:ind w:firstLine="640"/>
        <w:jc w:val="both"/>
      </w:pPr>
      <w:r>
        <w:rPr>
          <w:rFonts w:ascii="仿宋_GB2312" w:hAnsi="仿宋_GB2312" w:eastAsia="仿宋_GB2312"/>
          <w:b w:val="0"/>
          <w:color w:val="2F5F40"/>
          <w:sz w:val="32"/>
        </w:rPr>
        <w:t>“优艾智合拟发行不超过49477800股境外上市普通股并在香港联合交易所上市，公司37名股东拟将所持合计243804260股境内未上市股份转为境外上市股份，并在香港联合交易所上市流通。”（正文第二段）</w:t>
      </w:r>
    </w:p>
    <w:p>
      <w:pPr>
        <w:spacing w:lineRule="exact" w:line="560" w:before="0" w:after="0"/>
        <w:ind w:firstLine="640"/>
        <w:jc w:val="both"/>
      </w:pPr>
      <w:r>
        <w:rPr>
          <w:rFonts w:ascii="仿宋_GB2312" w:hAnsi="仿宋_GB2312" w:eastAsia="仿宋_GB2312"/>
          <w:b w:val="0"/>
          <w:color w:val="2F5F40"/>
          <w:sz w:val="32"/>
        </w:rPr>
        <w:t>“2025年9月26日，优艾智合正式向港交所递交招股书，申请通过港交所18C章程在主板上市，中金公司担任独家保荐人。”（正文第三段）</w:t>
      </w:r>
    </w:p>
    <w:p>
      <w:pPr>
        <w:spacing w:lineRule="exact" w:line="560" w:before="0" w:after="0"/>
        <w:ind w:firstLine="560"/>
        <w:jc w:val="both"/>
      </w:pPr>
      <w:r>
        <w:rPr>
          <w:rFonts w:ascii="仿宋_GB2312" w:hAnsi="仿宋_GB2312" w:eastAsia="仿宋_GB2312"/>
          <w:b w:val="0"/>
          <w:color w:val="606060"/>
          <w:sz w:val="28"/>
        </w:rPr>
        <w:t>来源：澎湃新闻（澎湃 › 财经，2026-10-17 发布），https://www.thepaper.cn/newsDetail_forward_34264414（原文直链）</w:t>
      </w:r>
    </w:p>
    <w:p>
      <w:pPr>
        <w:spacing w:lineRule="exact" w:line="560" w:before="0" w:after="0"/>
        <w:ind w:firstLine="560"/>
        <w:jc w:val="both"/>
      </w:pPr>
      <w:r>
        <w:rPr>
          <w:rFonts w:ascii="楷体_GB2312" w:hAnsi="楷体_GB2312" w:eastAsia="楷体_GB2312"/>
          <w:b w:val="0"/>
          <w:color w:val="C00000"/>
          <w:sz w:val="28"/>
        </w:rPr>
        <w:t>核验状态：待核验。已从公开列表页采集，原文直链待人工核验后方可标记为已核验；发布日期为按采集日推断（列表页未标注），待核验</w:t>
      </w:r>
    </w:p>
    <w:p>
      <w:pPr>
        <w:spacing w:lineRule="exact" w:line="560" w:before="120" w:after="0"/>
        <w:jc w:val="both"/>
      </w:pPr>
      <w:r>
        <w:rPr>
          <w:rFonts w:ascii="黑体" w:hAnsi="黑体" w:eastAsia="黑体"/>
          <w:b w:val="0"/>
          <w:sz w:val="32"/>
        </w:rPr>
        <w:t>七、下一步工作建议</w:t>
      </w:r>
    </w:p>
    <w:p>
      <w:pPr>
        <w:spacing w:lineRule="exact" w:line="560" w:before="0" w:after="0"/>
        <w:ind w:firstLine="640"/>
        <w:jc w:val="both"/>
      </w:pPr>
      <w:r>
        <w:rPr>
          <w:rFonts w:ascii="仿宋_GB2312" w:hAnsi="仿宋_GB2312" w:eastAsia="仿宋_GB2312"/>
          <w:b w:val="0"/>
          <w:sz w:val="32"/>
        </w:rPr>
        <w:t>1.跟踪落实「全国网络安全标准化技术委员会2026年第二次“标准周」：持续跟踪全国网安标委WG8（数据安全）、WG9（人工智能安全）、SWG-ETS（新技术安全）后续标准草案、征求意见稿的公开征求意见通知与发布文本，在标准文本公开后再评估对星环、…</w:t>
      </w:r>
    </w:p>
    <w:p>
      <w:pPr>
        <w:spacing w:lineRule="exact" w:line="560" w:before="0" w:after="0"/>
        <w:ind w:firstLine="640"/>
        <w:jc w:val="both"/>
      </w:pPr>
      <w:r>
        <w:rPr>
          <w:rFonts w:ascii="仿宋_GB2312" w:hAnsi="仿宋_GB2312" w:eastAsia="仿宋_GB2312"/>
          <w:b w:val="0"/>
          <w:sz w:val="32"/>
        </w:rPr>
        <w:t>2.跟踪落实「全国网络安全标准化技术委员会2025年第一次全体委员」：1) 持续跟踪网安标委'网络安全产品互联互通系列标准'及电子产品信息清除等强制性国家标准的研制进展，在正式征求意见稿发布时启动内部评估；2) 结合信息化·网安业务线，梳理星环、…</w:t>
      </w:r>
    </w:p>
    <w:p>
      <w:pPr>
        <w:spacing w:lineRule="exact" w:line="560" w:before="0" w:after="0"/>
        <w:ind w:firstLine="640"/>
        <w:jc w:val="both"/>
      </w:pPr>
      <w:r>
        <w:rPr>
          <w:rFonts w:ascii="仿宋_GB2312" w:hAnsi="仿宋_GB2312" w:eastAsia="仿宋_GB2312"/>
          <w:b w:val="0"/>
          <w:sz w:val="32"/>
        </w:rPr>
        <w:t>3.跟踪落实「全国网络安全标准化技术委员会2026年第一次全体委员」：持续跟踪网安标委人工智能安全标准工作组（WG9）及网络安全标识、网络安全产品互联互通相关标准的研制进展与征求意见通知；在相应标准草案公开征求意见时，组织AI应用与信息化·网安相…</w:t>
      </w:r>
    </w:p>
    <w:p>
      <w:pPr>
        <w:spacing w:lineRule="exact" w:line="560" w:before="0" w:after="0"/>
        <w:ind w:firstLine="640"/>
        <w:jc w:val="both"/>
      </w:pPr>
      <w:r>
        <w:rPr>
          <w:rFonts w:ascii="仿宋_GB2312" w:hAnsi="仿宋_GB2312" w:eastAsia="仿宋_GB2312"/>
          <w:b w:val="0"/>
          <w:sz w:val="32"/>
        </w:rPr>
        <w:t>4.跟踪落实「推荐优艾智合港股IPO获中国证监会备案」：建议涉外合规条线持续跟踪中国证监会境外发行上市及“全流通”备案的同类案例与公开信息，作为境外资本运作合规的前瞻性参考；如公司或所属集团出现境外发行上市或股份“全流通”筹划意向，…</w:t>
      </w:r>
    </w:p>
    <w:p>
      <w:pPr>
        <w:spacing w:lineRule="exact" w:line="560" w:before="0" w:after="0"/>
        <w:ind w:firstLine="640"/>
        <w:jc w:val="both"/>
      </w:pPr>
      <w:r>
        <w:rPr>
          <w:rFonts w:ascii="仿宋_GB2312" w:hAnsi="仿宋_GB2312" w:eastAsia="仿宋_GB2312"/>
          <w:b w:val="0"/>
          <w:sz w:val="32"/>
        </w:rPr>
        <w:t>5.跟踪落实「2026-10-13 关于下达25项网络安全推荐性国」：建议关注该通知附件《25项网络安全推荐性国家标准计划项目清单》以确认与公司业务相关的标准项目及牵头单位；在相关标准正式发布前，对涉及密码使用、数据接口的信息化·网安相关产品线进…</w:t>
      </w:r>
    </w:p>
    <w:p>
      <w:pPr>
        <w:spacing w:lineRule="exact" w:line="560" w:before="0" w:after="0"/>
        <w:ind w:firstLine="560"/>
        <w:jc w:val="both"/>
      </w:pPr>
      <w:r>
        <w:rPr>
          <w:rFonts w:ascii="楷体_GB2312" w:hAnsi="楷体_GB2312" w:eastAsia="楷体_GB2312"/>
          <w:b w:val="0"/>
          <w:color w:val="808080"/>
          <w:sz w:val="28"/>
        </w:rPr>
        <w:t>上述建议为工具按入选条目自动汇总的跟踪提示，落实情况需人工确认，本报告不主张任何事项已完成。</w:t>
      </w:r>
    </w:p>
    <w:p>
      <w:pPr>
        <w:spacing w:lineRule="exact" w:line="560" w:before="120" w:after="0"/>
        <w:jc w:val="both"/>
      </w:pPr>
      <w:r>
        <w:rPr>
          <w:rFonts w:ascii="黑体" w:hAnsi="黑体" w:eastAsia="黑体"/>
          <w:b w:val="0"/>
          <w:sz w:val="32"/>
        </w:rPr>
        <w:t>八、附录：本期信息索引</w:t>
      </w:r>
    </w:p>
    <w:p>
      <w:pPr>
        <w:spacing w:lineRule="exact" w:line="560" w:before="0" w:after="0"/>
        <w:jc w:val="both"/>
      </w:pPr>
      <w:r>
        <w:rPr>
          <w:rFonts w:ascii="楷体_GB2312" w:hAnsi="楷体_GB2312" w:eastAsia="楷体_GB2312"/>
          <w:b w:val="0"/>
          <w:sz w:val="28"/>
        </w:rPr>
        <w:t>下表含未入选条目，便于回查；未入选不等于无关，仅表示未达本期入选标准。</w:t>
      </w:r>
    </w:p>
    <w:tbl>
      <w:tblPr>
        <w:tblStyle w:val="TableGrid"/>
        <w:tblW w:type="auto" w:w="0"/>
        <w:tblLook w:firstColumn="1" w:firstRow="1" w:lastColumn="0" w:lastRow="0" w:noHBand="0" w:noVBand="1" w:val="04A0"/>
      </w:tblPr>
      <w:tblGrid>
        <w:gridCol w:w="1106"/>
        <w:gridCol w:w="1106"/>
        <w:gridCol w:w="1106"/>
        <w:gridCol w:w="1106"/>
        <w:gridCol w:w="1106"/>
        <w:gridCol w:w="1106"/>
        <w:gridCol w:w="1106"/>
        <w:gridCol w:w="1106"/>
      </w:tblGrid>
      <w:tr>
        <w:tc>
          <w:tcPr>
            <w:tcW w:type="dxa" w:w="1106"/>
          </w:tcPr>
          <w:p>
            <w:r/>
            <w:r>
              <w:rPr>
                <w:rFonts w:ascii="黑体" w:hAnsi="黑体" w:eastAsia="黑体"/>
                <w:b w:val="0"/>
                <w:sz w:val="24"/>
              </w:rPr>
              <w:t>序号</w:t>
            </w:r>
          </w:p>
        </w:tc>
        <w:tc>
          <w:tcPr>
            <w:tcW w:type="dxa" w:w="1106"/>
          </w:tcPr>
          <w:p>
            <w:r/>
            <w:r>
              <w:rPr>
                <w:rFonts w:ascii="黑体" w:hAnsi="黑体" w:eastAsia="黑体"/>
                <w:b w:val="0"/>
                <w:sz w:val="24"/>
              </w:rPr>
              <w:t>标题</w:t>
            </w:r>
          </w:p>
        </w:tc>
        <w:tc>
          <w:tcPr>
            <w:tcW w:type="dxa" w:w="1106"/>
          </w:tcPr>
          <w:p>
            <w:r/>
            <w:r>
              <w:rPr>
                <w:rFonts w:ascii="黑体" w:hAnsi="黑体" w:eastAsia="黑体"/>
                <w:b w:val="0"/>
                <w:sz w:val="24"/>
              </w:rPr>
              <w:t>日期</w:t>
            </w:r>
          </w:p>
        </w:tc>
        <w:tc>
          <w:tcPr>
            <w:tcW w:type="dxa" w:w="1106"/>
          </w:tcPr>
          <w:p>
            <w:r/>
            <w:r>
              <w:rPr>
                <w:rFonts w:ascii="黑体" w:hAnsi="黑体" w:eastAsia="黑体"/>
                <w:b w:val="0"/>
                <w:sz w:val="24"/>
              </w:rPr>
              <w:t>类型</w:t>
            </w:r>
          </w:p>
        </w:tc>
        <w:tc>
          <w:tcPr>
            <w:tcW w:type="dxa" w:w="1106"/>
          </w:tcPr>
          <w:p>
            <w:r/>
            <w:r>
              <w:rPr>
                <w:rFonts w:ascii="黑体" w:hAnsi="黑体" w:eastAsia="黑体"/>
                <w:b w:val="0"/>
                <w:sz w:val="24"/>
              </w:rPr>
              <w:t>发布主体</w:t>
            </w:r>
          </w:p>
        </w:tc>
        <w:tc>
          <w:tcPr>
            <w:tcW w:type="dxa" w:w="1106"/>
          </w:tcPr>
          <w:p>
            <w:r/>
            <w:r>
              <w:rPr>
                <w:rFonts w:ascii="黑体" w:hAnsi="黑体" w:eastAsia="黑体"/>
                <w:b w:val="0"/>
                <w:sz w:val="24"/>
              </w:rPr>
              <w:t>相关度</w:t>
            </w:r>
          </w:p>
        </w:tc>
        <w:tc>
          <w:tcPr>
            <w:tcW w:type="dxa" w:w="1106"/>
          </w:tcPr>
          <w:p>
            <w:r/>
            <w:r>
              <w:rPr>
                <w:rFonts w:ascii="黑体" w:hAnsi="黑体" w:eastAsia="黑体"/>
                <w:b w:val="0"/>
                <w:sz w:val="24"/>
              </w:rPr>
              <w:t>核验状态</w:t>
            </w:r>
          </w:p>
        </w:tc>
        <w:tc>
          <w:tcPr>
            <w:tcW w:type="dxa" w:w="1106"/>
          </w:tcPr>
          <w:p>
            <w:r/>
            <w:r>
              <w:rPr>
                <w:rFonts w:ascii="黑体" w:hAnsi="黑体" w:eastAsia="黑体"/>
                <w:b w:val="0"/>
                <w:sz w:val="24"/>
              </w:rPr>
              <w:t>入选</w:t>
            </w:r>
          </w:p>
        </w:tc>
      </w:tr>
      <w:tr>
        <w:tc>
          <w:tcPr>
            <w:tcW w:type="dxa" w:w="1106"/>
          </w:tcPr>
          <w:p>
            <w:r/>
            <w:r>
              <w:rPr>
                <w:rFonts w:ascii="仿宋_GB2312" w:hAnsi="仿宋_GB2312" w:eastAsia="仿宋_GB2312"/>
                <w:b w:val="0"/>
                <w:sz w:val="24"/>
              </w:rPr>
              <w:t>1</w:t>
            </w:r>
          </w:p>
        </w:tc>
        <w:tc>
          <w:tcPr>
            <w:tcW w:type="dxa" w:w="1106"/>
          </w:tcPr>
          <w:p>
            <w:r/>
            <w:r>
              <w:rPr>
                <w:rFonts w:ascii="仿宋_GB2312" w:hAnsi="仿宋_GB2312" w:eastAsia="仿宋_GB2312"/>
                <w:b w:val="0"/>
                <w:sz w:val="24"/>
              </w:rPr>
              <w:t>全国网络安全标准化技术委员会2026年第二次“标准周”活动圆满收官</w:t>
            </w:r>
          </w:p>
        </w:tc>
        <w:tc>
          <w:tcPr>
            <w:tcW w:type="dxa" w:w="1106"/>
          </w:tcPr>
          <w:p>
            <w:r/>
            <w:r>
              <w:rPr>
                <w:rFonts w:ascii="仿宋_GB2312" w:hAnsi="仿宋_GB2312" w:eastAsia="仿宋_GB2312"/>
                <w:b w:val="0"/>
                <w:sz w:val="24"/>
              </w:rPr>
              <w:t>2026-10-15</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67</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2</w:t>
            </w:r>
          </w:p>
        </w:tc>
        <w:tc>
          <w:tcPr>
            <w:tcW w:type="dxa" w:w="1106"/>
          </w:tcPr>
          <w:p>
            <w:r/>
            <w:r>
              <w:rPr>
                <w:rFonts w:ascii="仿宋_GB2312" w:hAnsi="仿宋_GB2312" w:eastAsia="仿宋_GB2312"/>
                <w:b w:val="0"/>
                <w:sz w:val="24"/>
              </w:rPr>
              <w:t>2026-10-22 “网络安全国家标准进中小学校园”活动在北京一零一中未来科学城学校举办</w:t>
            </w:r>
          </w:p>
        </w:tc>
        <w:tc>
          <w:tcPr>
            <w:tcW w:type="dxa" w:w="1106"/>
          </w:tcPr>
          <w:p>
            <w:r/>
            <w:r>
              <w:rPr>
                <w:rFonts w:ascii="仿宋_GB2312" w:hAnsi="仿宋_GB2312" w:eastAsia="仿宋_GB2312"/>
                <w:b w:val="0"/>
                <w:sz w:val="24"/>
              </w:rPr>
              <w:t>2026-10-22</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64</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3</w:t>
            </w:r>
          </w:p>
        </w:tc>
        <w:tc>
          <w:tcPr>
            <w:tcW w:type="dxa" w:w="1106"/>
          </w:tcPr>
          <w:p>
            <w:r/>
            <w:r>
              <w:rPr>
                <w:rFonts w:ascii="仿宋_GB2312" w:hAnsi="仿宋_GB2312" w:eastAsia="仿宋_GB2312"/>
                <w:b w:val="0"/>
                <w:sz w:val="24"/>
              </w:rPr>
              <w:t>全国网络安全标准化技术委员会2025年第一次全体委员会议在苏州召开</w:t>
            </w:r>
          </w:p>
        </w:tc>
        <w:tc>
          <w:tcPr>
            <w:tcW w:type="dxa" w:w="1106"/>
          </w:tcPr>
          <w:p>
            <w:r/>
            <w:r>
              <w:rPr>
                <w:rFonts w:ascii="仿宋_GB2312" w:hAnsi="仿宋_GB2312" w:eastAsia="仿宋_GB2312"/>
                <w:b w:val="0"/>
                <w:sz w:val="24"/>
              </w:rPr>
              <w:t>2026-10-19</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64</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4</w:t>
            </w:r>
          </w:p>
        </w:tc>
        <w:tc>
          <w:tcPr>
            <w:tcW w:type="dxa" w:w="1106"/>
          </w:tcPr>
          <w:p>
            <w:r/>
            <w:r>
              <w:rPr>
                <w:rFonts w:ascii="仿宋_GB2312" w:hAnsi="仿宋_GB2312" w:eastAsia="仿宋_GB2312"/>
                <w:b w:val="0"/>
                <w:sz w:val="24"/>
              </w:rPr>
              <w:t>国办关于适应人工智能技术发展助力构建就业友好型发展方式的意见</w:t>
            </w:r>
          </w:p>
        </w:tc>
        <w:tc>
          <w:tcPr>
            <w:tcW w:type="dxa" w:w="1106"/>
          </w:tcPr>
          <w:p>
            <w:r/>
            <w:r>
              <w:rPr>
                <w:rFonts w:ascii="仿宋_GB2312" w:hAnsi="仿宋_GB2312" w:eastAsia="仿宋_GB2312"/>
                <w:b w:val="0"/>
                <w:sz w:val="24"/>
              </w:rPr>
              <w:t>2026-10-23</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中国政府网</w:t>
            </w:r>
          </w:p>
        </w:tc>
        <w:tc>
          <w:tcPr>
            <w:tcW w:type="dxa" w:w="1106"/>
          </w:tcPr>
          <w:p>
            <w:r/>
            <w:r>
              <w:rPr>
                <w:rFonts w:ascii="仿宋_GB2312" w:hAnsi="仿宋_GB2312" w:eastAsia="仿宋_GB2312"/>
                <w:b w:val="0"/>
                <w:sz w:val="24"/>
              </w:rPr>
              <w:t>62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5</w:t>
            </w:r>
          </w:p>
        </w:tc>
        <w:tc>
          <w:tcPr>
            <w:tcW w:type="dxa" w:w="1106"/>
          </w:tcPr>
          <w:p>
            <w:r/>
            <w:r>
              <w:rPr>
                <w:rFonts w:ascii="仿宋_GB2312" w:hAnsi="仿宋_GB2312" w:eastAsia="仿宋_GB2312"/>
                <w:b w:val="0"/>
                <w:sz w:val="24"/>
              </w:rPr>
              <w:t>全国网络安全标准化技术委员会2026年第一次全体委员会议在珠海召开</w:t>
            </w:r>
          </w:p>
        </w:tc>
        <w:tc>
          <w:tcPr>
            <w:tcW w:type="dxa" w:w="1106"/>
          </w:tcPr>
          <w:p>
            <w:r/>
            <w:r>
              <w:rPr>
                <w:rFonts w:ascii="仿宋_GB2312" w:hAnsi="仿宋_GB2312" w:eastAsia="仿宋_GB2312"/>
                <w:b w:val="0"/>
                <w:sz w:val="24"/>
              </w:rPr>
              <w:t>2026-10-15</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62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6</w:t>
            </w:r>
          </w:p>
        </w:tc>
        <w:tc>
          <w:tcPr>
            <w:tcW w:type="dxa" w:w="1106"/>
          </w:tcPr>
          <w:p>
            <w:r/>
            <w:r>
              <w:rPr>
                <w:rFonts w:ascii="仿宋_GB2312" w:hAnsi="仿宋_GB2312" w:eastAsia="仿宋_GB2312"/>
                <w:b w:val="0"/>
                <w:sz w:val="24"/>
              </w:rPr>
              <w:t>推荐优艾智合港股IPO获中国证监会备案</w:t>
            </w:r>
          </w:p>
        </w:tc>
        <w:tc>
          <w:tcPr>
            <w:tcW w:type="dxa" w:w="1106"/>
          </w:tcPr>
          <w:p>
            <w:r/>
            <w:r>
              <w:rPr>
                <w:rFonts w:ascii="仿宋_GB2312" w:hAnsi="仿宋_GB2312" w:eastAsia="仿宋_GB2312"/>
                <w:b w:val="0"/>
                <w:sz w:val="24"/>
              </w:rPr>
              <w:t>2026-10-17</w:t>
            </w:r>
          </w:p>
        </w:tc>
        <w:tc>
          <w:tcPr>
            <w:tcW w:type="dxa" w:w="1106"/>
          </w:tcPr>
          <w:p>
            <w:r/>
            <w:r>
              <w:rPr>
                <w:rFonts w:ascii="仿宋_GB2312" w:hAnsi="仿宋_GB2312" w:eastAsia="仿宋_GB2312"/>
                <w:b w:val="0"/>
                <w:sz w:val="24"/>
              </w:rPr>
              <w:t>行业动态</w:t>
            </w:r>
          </w:p>
        </w:tc>
        <w:tc>
          <w:tcPr>
            <w:tcW w:type="dxa" w:w="1106"/>
          </w:tcPr>
          <w:p>
            <w:r/>
            <w:r>
              <w:rPr>
                <w:rFonts w:ascii="仿宋_GB2312" w:hAnsi="仿宋_GB2312" w:eastAsia="仿宋_GB2312"/>
                <w:b w:val="0"/>
                <w:sz w:val="24"/>
              </w:rPr>
              <w:t>澎湃新闻</w:t>
            </w:r>
          </w:p>
        </w:tc>
        <w:tc>
          <w:tcPr>
            <w:tcW w:type="dxa" w:w="1106"/>
          </w:tcPr>
          <w:p>
            <w:r/>
            <w:r>
              <w:rPr>
                <w:rFonts w:ascii="仿宋_GB2312" w:hAnsi="仿宋_GB2312" w:eastAsia="仿宋_GB2312"/>
                <w:b w:val="0"/>
                <w:sz w:val="24"/>
              </w:rPr>
              <w:t>57</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7</w:t>
            </w:r>
          </w:p>
        </w:tc>
        <w:tc>
          <w:tcPr>
            <w:tcW w:type="dxa" w:w="1106"/>
          </w:tcPr>
          <w:p>
            <w:r/>
            <w:r>
              <w:rPr>
                <w:rFonts w:ascii="仿宋_GB2312" w:hAnsi="仿宋_GB2312" w:eastAsia="仿宋_GB2312"/>
                <w:b w:val="0"/>
                <w:sz w:val="24"/>
              </w:rPr>
              <w:t>2026-10-13 关于下达25项网络安全推荐性国家标准计划的通知</w:t>
            </w:r>
          </w:p>
        </w:tc>
        <w:tc>
          <w:tcPr>
            <w:tcW w:type="dxa" w:w="1106"/>
          </w:tcPr>
          <w:p>
            <w:r/>
            <w:r>
              <w:rPr>
                <w:rFonts w:ascii="仿宋_GB2312" w:hAnsi="仿宋_GB2312" w:eastAsia="仿宋_GB2312"/>
                <w:b w:val="0"/>
                <w:sz w:val="24"/>
              </w:rPr>
              <w:t>2026-10-13</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56</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8</w:t>
            </w:r>
          </w:p>
        </w:tc>
        <w:tc>
          <w:tcPr>
            <w:tcW w:type="dxa" w:w="1106"/>
          </w:tcPr>
          <w:p>
            <w:r/>
            <w:r>
              <w:rPr>
                <w:rFonts w:ascii="仿宋_GB2312" w:hAnsi="仿宋_GB2312" w:eastAsia="仿宋_GB2312"/>
                <w:b w:val="0"/>
                <w:sz w:val="24"/>
              </w:rPr>
              <w:t>标准征求意见</w:t>
            </w:r>
          </w:p>
        </w:tc>
        <w:tc>
          <w:tcPr>
            <w:tcW w:type="dxa" w:w="1106"/>
          </w:tcPr>
          <w:p>
            <w:r/>
            <w:r>
              <w:rPr>
                <w:rFonts w:ascii="仿宋_GB2312" w:hAnsi="仿宋_GB2312" w:eastAsia="仿宋_GB2312"/>
                <w:b w:val="0"/>
                <w:sz w:val="24"/>
              </w:rPr>
              <w:t>2026-10-15</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52</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9</w:t>
            </w:r>
          </w:p>
        </w:tc>
        <w:tc>
          <w:tcPr>
            <w:tcW w:type="dxa" w:w="1106"/>
          </w:tcPr>
          <w:p>
            <w:r/>
            <w:r>
              <w:rPr>
                <w:rFonts w:ascii="仿宋_GB2312" w:hAnsi="仿宋_GB2312" w:eastAsia="仿宋_GB2312"/>
                <w:b w:val="0"/>
                <w:sz w:val="24"/>
              </w:rPr>
              <w:t>推荐AI发现PHP编程语言严重漏洞：全球七成网站或受威胁，欧洲多国政府网站紧急下线</w:t>
            </w:r>
          </w:p>
        </w:tc>
        <w:tc>
          <w:tcPr>
            <w:tcW w:type="dxa" w:w="1106"/>
          </w:tcPr>
          <w:p>
            <w:r/>
            <w:r>
              <w:rPr>
                <w:rFonts w:ascii="仿宋_GB2312" w:hAnsi="仿宋_GB2312" w:eastAsia="仿宋_GB2312"/>
                <w:b w:val="0"/>
                <w:sz w:val="24"/>
              </w:rPr>
              <w:t>2026-10-22</w:t>
            </w:r>
          </w:p>
        </w:tc>
        <w:tc>
          <w:tcPr>
            <w:tcW w:type="dxa" w:w="1106"/>
          </w:tcPr>
          <w:p>
            <w:r/>
            <w:r>
              <w:rPr>
                <w:rFonts w:ascii="仿宋_GB2312" w:hAnsi="仿宋_GB2312" w:eastAsia="仿宋_GB2312"/>
                <w:b w:val="0"/>
                <w:sz w:val="24"/>
              </w:rPr>
              <w:t>行业动态</w:t>
            </w:r>
          </w:p>
        </w:tc>
        <w:tc>
          <w:tcPr>
            <w:tcW w:type="dxa" w:w="1106"/>
          </w:tcPr>
          <w:p>
            <w:r/>
            <w:r>
              <w:rPr>
                <w:rFonts w:ascii="仿宋_GB2312" w:hAnsi="仿宋_GB2312" w:eastAsia="仿宋_GB2312"/>
                <w:b w:val="0"/>
                <w:sz w:val="24"/>
              </w:rPr>
              <w:t>澎湃新闻</w:t>
            </w:r>
          </w:p>
        </w:tc>
        <w:tc>
          <w:tcPr>
            <w:tcW w:type="dxa" w:w="1106"/>
          </w:tcPr>
          <w:p>
            <w:r/>
            <w:r>
              <w:rPr>
                <w:rFonts w:ascii="仿宋_GB2312" w:hAnsi="仿宋_GB2312" w:eastAsia="仿宋_GB2312"/>
                <w:b w:val="0"/>
                <w:sz w:val="24"/>
              </w:rPr>
              <w:t>49</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10</w:t>
            </w:r>
          </w:p>
        </w:tc>
        <w:tc>
          <w:tcPr>
            <w:tcW w:type="dxa" w:w="1106"/>
          </w:tcPr>
          <w:p>
            <w:r/>
            <w:r>
              <w:rPr>
                <w:rFonts w:ascii="仿宋_GB2312" w:hAnsi="仿宋_GB2312" w:eastAsia="仿宋_GB2312"/>
                <w:b w:val="0"/>
                <w:sz w:val="24"/>
              </w:rPr>
              <w:t>全国网络安全标准化技术委员会2024年第一次全体会议在京召开</w:t>
            </w:r>
          </w:p>
        </w:tc>
        <w:tc>
          <w:tcPr>
            <w:tcW w:type="dxa" w:w="1106"/>
          </w:tcPr>
          <w:p>
            <w:r/>
            <w:r>
              <w:rPr>
                <w:rFonts w:ascii="仿宋_GB2312" w:hAnsi="仿宋_GB2312" w:eastAsia="仿宋_GB2312"/>
                <w:b w:val="0"/>
                <w:sz w:val="24"/>
              </w:rPr>
              <w:t>2026-10-23</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全国网络安全标准化技术委员会</w:t>
            </w:r>
          </w:p>
        </w:tc>
        <w:tc>
          <w:tcPr>
            <w:tcW w:type="dxa" w:w="1106"/>
          </w:tcPr>
          <w:p>
            <w:r/>
            <w:r>
              <w:rPr>
                <w:rFonts w:ascii="仿宋_GB2312" w:hAnsi="仿宋_GB2312" w:eastAsia="仿宋_GB2312"/>
                <w:b w:val="0"/>
                <w:sz w:val="24"/>
              </w:rPr>
              <w:t>46</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11</w:t>
            </w:r>
          </w:p>
        </w:tc>
        <w:tc>
          <w:tcPr>
            <w:tcW w:type="dxa" w:w="1106"/>
          </w:tcPr>
          <w:p>
            <w:r/>
            <w:r>
              <w:rPr>
                <w:rFonts w:ascii="仿宋_GB2312" w:hAnsi="仿宋_GB2312" w:eastAsia="仿宋_GB2312"/>
                <w:b w:val="0"/>
                <w:sz w:val="24"/>
              </w:rPr>
              <w:t>前三季度金融数据出炉 多元化融资特征鲜明</w:t>
            </w:r>
          </w:p>
        </w:tc>
        <w:tc>
          <w:tcPr>
            <w:tcW w:type="dxa" w:w="1106"/>
          </w:tcPr>
          <w:p>
            <w:r/>
            <w:r>
              <w:rPr>
                <w:rFonts w:ascii="仿宋_GB2312" w:hAnsi="仿宋_GB2312" w:eastAsia="仿宋_GB2312"/>
                <w:b w:val="0"/>
                <w:sz w:val="24"/>
              </w:rPr>
              <w:t>2026-10-20</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中国政府网</w:t>
            </w:r>
          </w:p>
        </w:tc>
        <w:tc>
          <w:tcPr>
            <w:tcW w:type="dxa" w:w="1106"/>
          </w:tcPr>
          <w:p>
            <w:r/>
            <w:r>
              <w:rPr>
                <w:rFonts w:ascii="仿宋_GB2312" w:hAnsi="仿宋_GB2312" w:eastAsia="仿宋_GB2312"/>
                <w:b w:val="0"/>
                <w:sz w:val="24"/>
              </w:rPr>
              <w:t>38</w:t>
            </w:r>
          </w:p>
        </w:tc>
        <w:tc>
          <w:tcPr>
            <w:tcW w:type="dxa" w:w="1106"/>
          </w:tcPr>
          <w:p>
            <w:r/>
            <w:r>
              <w:rPr>
                <w:rFonts w:ascii="仿宋_GB2312" w:hAnsi="仿宋_GB2312" w:eastAsia="仿宋_GB2312"/>
                <w:b w:val="0"/>
                <w:sz w:val="24"/>
              </w:rPr>
              <w:t>待核验</w:t>
            </w:r>
          </w:p>
        </w:tc>
        <w:tc>
          <w:tcPr>
            <w:tcW w:type="dxa" w:w="1106"/>
          </w:tcPr>
          <w:p>
            <w:r/>
            <w:r>
              <w:rPr>
                <w:rFonts w:ascii="仿宋_GB2312" w:hAnsi="仿宋_GB2312" w:eastAsia="仿宋_GB2312"/>
                <w:b w:val="0"/>
                <w:sz w:val="24"/>
              </w:rPr>
              <w:t>否</w:t>
            </w:r>
          </w:p>
        </w:tc>
      </w:tr>
    </w:tbl>
    <w:p>
      <w:pPr>
        <w:spacing w:lineRule="exact" w:line="560" w:before="0" w:after="0"/>
        <w:jc w:val="both"/>
      </w:pPr>
      <w:r>
        <w:rPr>
          <w:rFonts w:ascii="仿宋_GB2312" w:hAnsi="仿宋_GB2312" w:eastAsia="仿宋_GB2312"/>
          <w:b w:val="0"/>
          <w:sz w:val="32"/>
        </w:rPr>
      </w:r>
    </w:p>
    <w:p>
      <w:pPr>
        <w:spacing w:lineRule="exact" w:line="560" w:before="0" w:after="0"/>
        <w:jc w:val="both"/>
      </w:pPr>
      <w:r>
        <w:rPr>
          <w:rFonts w:ascii="楷体_GB2312" w:hAnsi="楷体_GB2312" w:eastAsia="楷体_GB2312"/>
          <w:b w:val="0"/>
          <w:color w:val="808080"/>
          <w:sz w:val="28"/>
        </w:rPr>
        <w:t>排版说明：本机缺少字体 方正小标宋简体、楷体_GB2312、仿宋_GB2312，已回退为宋体显示，版式规范不变。</w:t>
      </w:r>
    </w:p>
    <w:p>
      <w:pPr>
        <w:spacing w:lineRule="exact" w:line="560" w:before="0" w:after="0"/>
        <w:jc w:val="both"/>
      </w:pPr>
      <w:r>
        <w:rPr>
          <w:rFonts w:ascii="楷体_GB2312" w:hAnsi="楷体_GB2312" w:eastAsia="楷体_GB2312"/>
          <w:b w:val="0"/>
          <w:color w:val="808080"/>
          <w:sz w:val="28"/>
        </w:rPr>
        <w:t>本报告由合规洞察工具自动生成，其中的解读与建议为工具生成的分析参考，不构成法律意见；规范依据以官方发布文本为准，未能核验的依据未在本报告中声称已核对。</w:t>
      </w:r>
    </w:p>
    <w:sectPr w:rsidR="00FC693F" w:rsidRPr="0006063C" w:rsidSect="00034616">
      <w:footerReference w:type="default" r:id="rId9"/>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仿宋_GB2312" w:hAnsi="仿宋_GB2312" w:eastAsia="仿宋_GB2312"/>
        <w:b w:val="0"/>
        <w:sz w:val="28"/>
      </w:rPr>
      <w:t xml:space="preserve">— </w:t>
    </w:r>
    <w:fldSimple w:instr="PAGE">
      <w:r>
        <w:t/>
      </w:r>
    </w:fldSimple>
    <w:r>
      <w:rPr>
        <w:rFonts w:ascii="仿宋_GB2312" w:hAnsi="仿宋_GB2312" w:eastAsia="仿宋_GB2312"/>
        <w:b w:val="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