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720" w:before="0" w:after="0"/>
        <w:jc w:val="center"/>
      </w:pPr>
      <w:r>
        <w:rPr>
          <w:rFonts w:ascii="方正小标宋简体" w:hAnsi="方正小标宋简体" w:eastAsia="方正小标宋简体"/>
          <w:b w:val="0"/>
          <w:sz w:val="44"/>
        </w:rPr>
        <w:t>合规洞察报告</w:t>
      </w:r>
    </w:p>
    <w:p>
      <w:pPr>
        <w:spacing w:lineRule="exact" w:line="560" w:before="0" w:after="120"/>
        <w:jc w:val="center"/>
      </w:pPr>
      <w:r>
        <w:rPr>
          <w:rFonts w:ascii="楷体_GB2312" w:hAnsi="楷体_GB2312" w:eastAsia="楷体_GB2312"/>
          <w:b w:val="0"/>
          <w:sz w:val="32"/>
        </w:rPr>
        <w:t>（2026年9月21日—10月5日）</w:t>
      </w:r>
    </w:p>
    <w:p>
      <w:pPr>
        <w:spacing w:lineRule="exact" w:line="560" w:before="120" w:after="0"/>
        <w:jc w:val="both"/>
      </w:pPr>
      <w:r>
        <w:rPr>
          <w:rFonts w:ascii="黑体" w:hAnsi="黑体" w:eastAsia="黑体"/>
          <w:b w:val="0"/>
          <w:sz w:val="32"/>
        </w:rPr>
        <w:t>一、总体态势</w:t>
      </w:r>
    </w:p>
    <w:p>
      <w:pPr>
        <w:spacing w:lineRule="exact" w:line="560" w:before="0" w:after="0"/>
        <w:ind w:firstLine="640"/>
        <w:jc w:val="both"/>
      </w:pPr>
      <w:r>
        <w:rPr>
          <w:rFonts w:ascii="仿宋_GB2312" w:hAnsi="仿宋_GB2312" w:eastAsia="仿宋_GB2312"/>
          <w:b w:val="0"/>
          <w:sz w:val="32"/>
        </w:rPr>
        <w:t>本期（15日窗口）共采集信息92条，经相关性评估入选33条，覆盖人工智能与算法治理、数据要素与个人信息保护、平台经济与内容治理、域外监管四个主题。整体态势为：生成式人工智能监管进入细则密集落地期，数据出境“三条路径”体系成型，平台经济执法持续常态化。</w:t>
      </w:r>
    </w:p>
    <w:p>
      <w:pPr>
        <w:spacing w:lineRule="exact" w:line="560" w:before="0" w:after="0"/>
        <w:ind w:firstLine="640"/>
        <w:jc w:val="both"/>
      </w:pPr>
      <w:r>
        <w:rPr>
          <w:rFonts w:ascii="仿宋_GB2312" w:hAnsi="仿宋_GB2312" w:eastAsia="仿宋_GB2312"/>
          <w:b w:val="0"/>
          <w:sz w:val="32"/>
        </w:rPr>
        <w:t>需重点关注事项三项：生成式人工智能备案新增实测记录要求、个人信息出境认证办法施行在即、个人信息保护合规审计年度义务触发。相关解读见下文各章。</w:t>
      </w:r>
    </w:p>
    <w:p>
      <w:pPr>
        <w:spacing w:lineRule="exact" w:line="560" w:before="120" w:after="0"/>
        <w:jc w:val="both"/>
      </w:pPr>
      <w:r>
        <w:rPr>
          <w:rFonts w:ascii="黑体" w:hAnsi="黑体" w:eastAsia="黑体"/>
          <w:b w:val="0"/>
          <w:sz w:val="32"/>
        </w:rPr>
        <w:t>二、人工智能与算法治理</w:t>
      </w:r>
    </w:p>
    <w:p>
      <w:pPr>
        <w:spacing w:lineRule="exact" w:line="560" w:before="0" w:after="0"/>
        <w:jc w:val="both"/>
      </w:pPr>
      <w:r>
        <w:rPr>
          <w:rFonts w:ascii="楷体_GB2312" w:hAnsi="楷体_GB2312" w:eastAsia="楷体_GB2312"/>
          <w:b w:val="0"/>
          <w:sz w:val="32"/>
        </w:rPr>
        <w:t>本章收录相关度最高的四项动态，共性是备案与标识义务的可操作化。</w:t>
      </w:r>
    </w:p>
    <w:p>
      <w:pPr>
        <w:spacing w:lineRule="exact" w:line="560" w:before="0" w:after="0"/>
        <w:jc w:val="both"/>
      </w:pPr>
      <w:r>
        <w:rPr>
          <w:rFonts w:ascii="楷体_GB2312" w:hAnsi="楷体_GB2312" w:eastAsia="楷体_GB2312"/>
          <w:b w:val="0"/>
          <w:sz w:val="32"/>
        </w:rPr>
        <w:t>（一）网信办发布《生成式人工智能服务备案实施细化要求》</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10月4日，国家网信办公室发布备案实施细化要求，模型备案材料新增安全评估实测记录，包括关键问答实测记录等。</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细化要求把《生成式人工智能服务管理暂行办法》第17条的“安全评估”义务落地为可核查的实测记录，属义务履行标准的明确化而非新设义务；未按期备案的按办法第21条、第22条处理（警告、暂停服务）。平台内嵌AI对话、生成功能若面向公众提供服务即属备案范围，需按新材料清单重排上线计划，预估延长2至4周，建议本周内完成备案差距自查。</w:t>
      </w:r>
    </w:p>
    <w:p>
      <w:pPr>
        <w:spacing w:lineRule="exact" w:line="560" w:before="0" w:after="0"/>
        <w:ind w:firstLine="640"/>
        <w:jc w:val="both"/>
      </w:pPr>
      <w:r>
        <w:rPr>
          <w:rFonts w:ascii="仿宋_GB2312" w:hAnsi="仿宋_GB2312" w:eastAsia="仿宋_GB2312"/>
          <w:b w:val="0"/>
          <w:color w:val="2F5F40"/>
          <w:sz w:val="32"/>
        </w:rPr>
        <w:t>原文依据：……提供者应当提交安全评估报告及关键问答实测记录……（细化要求第四项）</w:t>
      </w:r>
    </w:p>
    <w:p>
      <w:pPr>
        <w:spacing w:lineRule="exact" w:line="560" w:before="0" w:after="0"/>
        <w:ind w:firstLine="560"/>
        <w:jc w:val="both"/>
      </w:pPr>
      <w:r>
        <w:rPr>
          <w:rFonts w:ascii="仿宋_GB2312" w:hAnsi="仿宋_GB2312" w:eastAsia="仿宋_GB2312"/>
          <w:b w:val="0"/>
          <w:color w:val="606060"/>
          <w:sz w:val="28"/>
        </w:rPr>
        <w:t>来源：网信办官网（2026-10-04）</w:t>
      </w:r>
    </w:p>
    <w:p>
      <w:pPr>
        <w:spacing w:lineRule="exact" w:line="560" w:before="0" w:after="0"/>
        <w:jc w:val="both"/>
      </w:pPr>
      <w:r>
        <w:rPr>
          <w:rFonts w:ascii="楷体_GB2312" w:hAnsi="楷体_GB2312" w:eastAsia="楷体_GB2312"/>
          <w:b w:val="0"/>
          <w:sz w:val="32"/>
        </w:rPr>
        <w:t>（二）《人工智能生成合成内容标识办法》施行首日</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10月4日办法施行，多家平台上线强制标注功能，显式标识与隐式标识同步落地。</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办法要求生成合成内容添加显式标识与含元数据的隐式标识，网络信息内容传播平台负有核验与提示义务；违规提供未标识内容传播服务的，依《网络安全法》第65条处理。提供用户生成内容与AI生成入口复合服务的平台，须在发布链路嵌入标识检测，并同步修订隐私政策与社区规则。</w:t>
      </w:r>
    </w:p>
    <w:p>
      <w:pPr>
        <w:spacing w:lineRule="exact" w:line="560" w:before="0" w:after="0"/>
        <w:ind w:firstLine="640"/>
        <w:jc w:val="both"/>
      </w:pPr>
      <w:r>
        <w:rPr>
          <w:rFonts w:ascii="仿宋_GB2312" w:hAnsi="仿宋_GB2312" w:eastAsia="仿宋_GB2312"/>
          <w:b w:val="0"/>
          <w:color w:val="2F5F40"/>
          <w:sz w:val="32"/>
        </w:rPr>
        <w:t>原文依据：……网络信息内容传播平台应当核验生成合成内容是否含有本办法规定的标识……（办法第9条）</w:t>
      </w:r>
    </w:p>
    <w:p>
      <w:pPr>
        <w:spacing w:lineRule="exact" w:line="560" w:before="0" w:after="0"/>
        <w:ind w:firstLine="560"/>
        <w:jc w:val="both"/>
      </w:pPr>
      <w:r>
        <w:rPr>
          <w:rFonts w:ascii="仿宋_GB2312" w:hAnsi="仿宋_GB2312" w:eastAsia="仿宋_GB2312"/>
          <w:b w:val="0"/>
          <w:color w:val="606060"/>
          <w:sz w:val="28"/>
        </w:rPr>
        <w:t>来源：网信办官网（2026-10-04）</w:t>
      </w:r>
    </w:p>
    <w:p>
      <w:pPr>
        <w:spacing w:lineRule="exact" w:line="560" w:before="0" w:after="0"/>
        <w:jc w:val="both"/>
      </w:pPr>
      <w:r>
        <w:rPr>
          <w:rFonts w:ascii="楷体_GB2312" w:hAnsi="楷体_GB2312" w:eastAsia="楷体_GB2312"/>
          <w:b w:val="0"/>
          <w:sz w:val="32"/>
        </w:rPr>
        <w:t>（三）工信部发布大模型应用安全管理要求</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10月1日，工信部发文明确上线前安全评估范围覆盖深度合成与智能体（Agent）工具调用链。</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这是监管首次明确Agent形态的评估口径，要求对插件调用、外部接口交互等调用链安全进行评估。平台若上线工具调用型AI功能，评估文档需补充调用链图谱与越权测试记录；该文件属部门规范性文件，评估不合格不得上线。</w:t>
      </w:r>
    </w:p>
    <w:p>
      <w:pPr>
        <w:spacing w:lineRule="exact" w:line="560" w:before="0" w:after="0"/>
        <w:ind w:firstLine="640"/>
        <w:jc w:val="both"/>
      </w:pPr>
      <w:r>
        <w:rPr>
          <w:rFonts w:ascii="仿宋_GB2312" w:hAnsi="仿宋_GB2312" w:eastAsia="仿宋_GB2312"/>
          <w:b w:val="0"/>
          <w:color w:val="2F5F40"/>
          <w:sz w:val="32"/>
        </w:rPr>
        <w:t>原文依据：……应当对大模型的工具调用、外部接口交互等调用链安全进行评估……（要求第三（二）项）</w:t>
      </w:r>
    </w:p>
    <w:p>
      <w:pPr>
        <w:spacing w:lineRule="exact" w:line="560" w:before="0" w:after="0"/>
        <w:ind w:firstLine="560"/>
        <w:jc w:val="both"/>
      </w:pPr>
      <w:r>
        <w:rPr>
          <w:rFonts w:ascii="仿宋_GB2312" w:hAnsi="仿宋_GB2312" w:eastAsia="仿宋_GB2312"/>
          <w:b w:val="0"/>
          <w:color w:val="606060"/>
          <w:sz w:val="28"/>
        </w:rPr>
        <w:t>来源：工信部官网（2026-10-01）</w:t>
      </w:r>
    </w:p>
    <w:p>
      <w:pPr>
        <w:spacing w:lineRule="exact" w:line="560" w:before="0" w:after="0"/>
        <w:jc w:val="both"/>
      </w:pPr>
      <w:r>
        <w:rPr>
          <w:rFonts w:ascii="楷体_GB2312" w:hAnsi="楷体_GB2312" w:eastAsia="楷体_GB2312"/>
          <w:b w:val="0"/>
          <w:sz w:val="32"/>
        </w:rPr>
        <w:t>（四）网信办通报算法推荐执法案例：两平台因未公示算法原理被限期整改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9月28日，网信办通报两起算法推荐管理规定执法案例，均为未以显著方式公示算法基本原理。</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执法要点在于“算法备案不等于公示义务免除”：完成备案的平台仍须在显著位置公示算法基本原理、目的意图，且公示信息须与备案信息一致。平台推荐、排序功能页面应补充公示说明，避免形成“已备案即合规”的误解。</w:t>
      </w:r>
    </w:p>
    <w:p>
      <w:pPr>
        <w:spacing w:lineRule="exact" w:line="560" w:before="0" w:after="0"/>
        <w:ind w:firstLine="640"/>
        <w:jc w:val="both"/>
      </w:pPr>
      <w:r>
        <w:rPr>
          <w:rFonts w:ascii="仿宋_GB2312" w:hAnsi="仿宋_GB2312" w:eastAsia="仿宋_GB2312"/>
          <w:b w:val="0"/>
          <w:color w:val="2F5F40"/>
          <w:sz w:val="32"/>
        </w:rPr>
        <w:t>原文依据：……应当以显著方式告知用户其提供算法推荐服务的情况，并以适当方式公示算法的基本原理……（规定第16条）</w:t>
      </w:r>
    </w:p>
    <w:p>
      <w:pPr>
        <w:spacing w:lineRule="exact" w:line="560" w:before="0" w:after="0"/>
        <w:ind w:firstLine="560"/>
        <w:jc w:val="both"/>
      </w:pPr>
      <w:r>
        <w:rPr>
          <w:rFonts w:ascii="仿宋_GB2312" w:hAnsi="仿宋_GB2312" w:eastAsia="仿宋_GB2312"/>
          <w:b w:val="0"/>
          <w:color w:val="606060"/>
          <w:sz w:val="28"/>
        </w:rPr>
        <w:t>来源：网信办官网（2026-09-28）</w:t>
      </w:r>
    </w:p>
    <w:p>
      <w:pPr>
        <w:spacing w:lineRule="exact" w:line="560" w:before="120" w:after="0"/>
        <w:jc w:val="both"/>
      </w:pPr>
      <w:r>
        <w:rPr>
          <w:rFonts w:ascii="黑体" w:hAnsi="黑体" w:eastAsia="黑体"/>
          <w:b w:val="0"/>
          <w:sz w:val="32"/>
        </w:rPr>
        <w:t>三、数据要素与个人信息保护</w:t>
      </w:r>
    </w:p>
    <w:p>
      <w:pPr>
        <w:spacing w:lineRule="exact" w:line="560" w:before="0" w:after="0"/>
        <w:jc w:val="both"/>
      </w:pPr>
      <w:r>
        <w:rPr>
          <w:rFonts w:ascii="楷体_GB2312" w:hAnsi="楷体_GB2312" w:eastAsia="楷体_GB2312"/>
          <w:b w:val="0"/>
          <w:sz w:val="32"/>
        </w:rPr>
        <w:t>本章四项动态共同指向数据基础制度的执行层细化：出境、审计、入表、确权。</w:t>
      </w:r>
    </w:p>
    <w:p>
      <w:pPr>
        <w:spacing w:lineRule="exact" w:line="560" w:before="0" w:after="0"/>
        <w:jc w:val="both"/>
      </w:pPr>
      <w:r>
        <w:rPr>
          <w:rFonts w:ascii="楷体_GB2312" w:hAnsi="楷体_GB2312" w:eastAsia="楷体_GB2312"/>
          <w:b w:val="0"/>
          <w:sz w:val="32"/>
        </w:rPr>
        <w:t>（一）网信办发布《个人信息出境认证办法》</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10月3日发布，11月1日施行，专业机构认证成为个人信息出境三条路径之一。</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办法与安全评估、标准合同共同构成出境“三条路径”体系。存量涉境外节点的数据回流业务须在施行后60日内完成申报，涉及多条产品线的应尽早排期；未按期申报的按《个人信息保护法》第66条处理。认证机构名录与申请流程详见办法附件。</w:t>
      </w:r>
    </w:p>
    <w:p>
      <w:pPr>
        <w:spacing w:lineRule="exact" w:line="560" w:before="0" w:after="0"/>
        <w:ind w:firstLine="640"/>
        <w:jc w:val="both"/>
      </w:pPr>
      <w:r>
        <w:rPr>
          <w:rFonts w:ascii="仿宋_GB2312" w:hAnsi="仿宋_GB2312" w:eastAsia="仿宋_GB2312"/>
          <w:b w:val="0"/>
          <w:color w:val="2F5F40"/>
          <w:sz w:val="32"/>
        </w:rPr>
        <w:t>原文依据：……个人信息处理者向境外提供个人信息，可以通过国家网信部门认定的专业机构认证……（办法第4条）</w:t>
      </w:r>
    </w:p>
    <w:p>
      <w:pPr>
        <w:spacing w:lineRule="exact" w:line="560" w:before="0" w:after="0"/>
        <w:ind w:firstLine="560"/>
        <w:jc w:val="both"/>
      </w:pPr>
      <w:r>
        <w:rPr>
          <w:rFonts w:ascii="仿宋_GB2312" w:hAnsi="仿宋_GB2312" w:eastAsia="仿宋_GB2312"/>
          <w:b w:val="0"/>
          <w:color w:val="606060"/>
          <w:sz w:val="28"/>
        </w:rPr>
        <w:t>来源：网信办官网（2026-10-03）</w:t>
      </w:r>
    </w:p>
    <w:p>
      <w:pPr>
        <w:spacing w:lineRule="exact" w:line="560" w:before="0" w:after="0"/>
        <w:jc w:val="both"/>
      </w:pPr>
      <w:r>
        <w:rPr>
          <w:rFonts w:ascii="楷体_GB2312" w:hAnsi="楷体_GB2312" w:eastAsia="楷体_GB2312"/>
          <w:b w:val="0"/>
          <w:sz w:val="32"/>
        </w:rPr>
        <w:t>（二）网信办发布《网络数据安全管理条例》配套实施细则</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10月2日，细则发布重要数据识别自评报告模板，明确年度自评义务。</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细则把“重要数据”识别从原则落到年度自评报告义务，处理者须按行业重要数据目录自查并留档；未按要求提交自评报告的按条例第58条先行整改，逾期可处罚款。建议30日内完成数据资产盘点表与目录比对，形成自评底稿。</w:t>
      </w:r>
    </w:p>
    <w:p>
      <w:pPr>
        <w:spacing w:lineRule="exact" w:line="560" w:before="0" w:after="0"/>
        <w:ind w:firstLine="640"/>
        <w:jc w:val="both"/>
      </w:pPr>
      <w:r>
        <w:rPr>
          <w:rFonts w:ascii="仿宋_GB2312" w:hAnsi="仿宋_GB2312" w:eastAsia="仿宋_GB2312"/>
          <w:b w:val="0"/>
          <w:color w:val="2F5F40"/>
          <w:sz w:val="32"/>
        </w:rPr>
        <w:t>原文依据：……处理者应当于每年1月31日前完成上一年度重要数据识别自评并留存报告……（细则第12条）</w:t>
      </w:r>
    </w:p>
    <w:p>
      <w:pPr>
        <w:spacing w:lineRule="exact" w:line="560" w:before="0" w:after="0"/>
        <w:ind w:firstLine="560"/>
        <w:jc w:val="both"/>
      </w:pPr>
      <w:r>
        <w:rPr>
          <w:rFonts w:ascii="仿宋_GB2312" w:hAnsi="仿宋_GB2312" w:eastAsia="仿宋_GB2312"/>
          <w:b w:val="0"/>
          <w:color w:val="606060"/>
          <w:sz w:val="28"/>
        </w:rPr>
        <w:t>来源：网信办官网（2026-10-02）</w:t>
      </w:r>
    </w:p>
    <w:p>
      <w:pPr>
        <w:spacing w:lineRule="exact" w:line="560" w:before="0" w:after="0"/>
        <w:jc w:val="both"/>
      </w:pPr>
      <w:r>
        <w:rPr>
          <w:rFonts w:ascii="楷体_GB2312" w:hAnsi="楷体_GB2312" w:eastAsia="楷体_GB2312"/>
          <w:b w:val="0"/>
          <w:sz w:val="32"/>
        </w:rPr>
        <w:t>（三）《个人信息保护合规审计管理办法》施行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9月30日施行，处理超千万条个人信息的处理者须每年至少开展一次合规审计。</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办法把《个人信息保护法》第54条合规审计义务可操作化：符合规模门槛的处理者可自行审计或委托专业机构，审计报告及整改记录保存不少于三年。平台用户规模达标的即触发年度强制审计，建议第四季度完成首次自审并归档底稿。</w:t>
      </w:r>
    </w:p>
    <w:p>
      <w:pPr>
        <w:spacing w:lineRule="exact" w:line="560" w:before="0" w:after="0"/>
        <w:ind w:firstLine="640"/>
        <w:jc w:val="both"/>
      </w:pPr>
      <w:r>
        <w:rPr>
          <w:rFonts w:ascii="仿宋_GB2312" w:hAnsi="仿宋_GB2312" w:eastAsia="仿宋_GB2312"/>
          <w:b w:val="0"/>
          <w:color w:val="2F5F40"/>
          <w:sz w:val="32"/>
        </w:rPr>
        <w:t>原文依据：……每年至少开展一次合规审计……审计报告应当保存不少于三年……（办法第6条、第11条）</w:t>
      </w:r>
    </w:p>
    <w:p>
      <w:pPr>
        <w:spacing w:lineRule="exact" w:line="560" w:before="0" w:after="0"/>
        <w:ind w:firstLine="560"/>
        <w:jc w:val="both"/>
      </w:pPr>
      <w:r>
        <w:rPr>
          <w:rFonts w:ascii="仿宋_GB2312" w:hAnsi="仿宋_GB2312" w:eastAsia="仿宋_GB2312"/>
          <w:b w:val="0"/>
          <w:color w:val="606060"/>
          <w:sz w:val="28"/>
        </w:rPr>
        <w:t>来源：网信办官网（2026-09-30）</w:t>
      </w:r>
    </w:p>
    <w:p>
      <w:pPr>
        <w:spacing w:lineRule="exact" w:line="560" w:before="0" w:after="0"/>
        <w:jc w:val="both"/>
      </w:pPr>
      <w:r>
        <w:rPr>
          <w:rFonts w:ascii="楷体_GB2312" w:hAnsi="楷体_GB2312" w:eastAsia="楷体_GB2312"/>
          <w:b w:val="0"/>
          <w:sz w:val="32"/>
        </w:rPr>
        <w:t>（四）财政部发布数据资源会计处理应用指南</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9月29日，指南把数据资源会计处理细化为无形资产、存货、研发资本化三类情形。</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拟将数据产品入表的，须同步建立成本归集与减值测试台账；入表不改变数据权属，数据转让场景仍受《数据安全法》第39条约束。对外披露时应避免“确权”式表述，防止误导性陈述风险。</w:t>
      </w:r>
    </w:p>
    <w:p>
      <w:pPr>
        <w:spacing w:lineRule="exact" w:line="560" w:before="0" w:after="0"/>
        <w:ind w:firstLine="640"/>
        <w:jc w:val="both"/>
      </w:pPr>
      <w:r>
        <w:rPr>
          <w:rFonts w:ascii="仿宋_GB2312" w:hAnsi="仿宋_GB2312" w:eastAsia="仿宋_GB2312"/>
          <w:b w:val="0"/>
          <w:color w:val="2F5F40"/>
          <w:sz w:val="32"/>
        </w:rPr>
        <w:t>原文依据：……企业应当按照业务模式和持有目的，将数据资源确认为无形资产或存货……（指南第二条）</w:t>
      </w:r>
    </w:p>
    <w:p>
      <w:pPr>
        <w:spacing w:lineRule="exact" w:line="560" w:before="0" w:after="0"/>
        <w:ind w:firstLine="560"/>
        <w:jc w:val="both"/>
      </w:pPr>
      <w:r>
        <w:rPr>
          <w:rFonts w:ascii="仿宋_GB2312" w:hAnsi="仿宋_GB2312" w:eastAsia="仿宋_GB2312"/>
          <w:b w:val="0"/>
          <w:color w:val="606060"/>
          <w:sz w:val="28"/>
        </w:rPr>
        <w:t>来源：财政部官网（2026-09-29）</w:t>
      </w:r>
    </w:p>
    <w:p>
      <w:pPr>
        <w:spacing w:lineRule="exact" w:line="560" w:before="120" w:after="0"/>
        <w:jc w:val="both"/>
      </w:pPr>
      <w:r>
        <w:rPr>
          <w:rFonts w:ascii="黑体" w:hAnsi="黑体" w:eastAsia="黑体"/>
          <w:b w:val="0"/>
          <w:sz w:val="32"/>
        </w:rPr>
        <w:t>四、平台经济与内容治理</w:t>
      </w:r>
    </w:p>
    <w:p>
      <w:pPr>
        <w:spacing w:lineRule="exact" w:line="560" w:before="0" w:after="0"/>
        <w:jc w:val="both"/>
      </w:pPr>
      <w:r>
        <w:rPr>
          <w:rFonts w:ascii="楷体_GB2312" w:hAnsi="楷体_GB2312" w:eastAsia="楷体_GB2312"/>
          <w:b w:val="0"/>
          <w:sz w:val="32"/>
        </w:rPr>
        <w:t>（一）市场监管总局对某平台“二选一”行为作出行政处罚</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10月3日，总局依据《反垄断法》第22条认定某平台滥用市场支配地位限定交易并处罚。</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平台撮合业务中的独家合作条款、排他协议模板应对照《禁止滥用市场支配地位行为规定》第14条自查；注意市场支配地位的推定门槛与“正当理由”抗辩空间，独家长期协议建议增设退出机制。</w:t>
      </w:r>
    </w:p>
    <w:p>
      <w:pPr>
        <w:spacing w:lineRule="exact" w:line="560" w:before="0" w:after="0"/>
        <w:ind w:firstLine="640"/>
        <w:jc w:val="both"/>
      </w:pPr>
      <w:r>
        <w:rPr>
          <w:rFonts w:ascii="仿宋_GB2312" w:hAnsi="仿宋_GB2312" w:eastAsia="仿宋_GB2312"/>
          <w:b w:val="0"/>
          <w:color w:val="2F5F40"/>
          <w:sz w:val="32"/>
        </w:rPr>
        <w:t>原文依据：……禁止平台经营者滥用市场支配地位，无正当理由限定交易相对人……（规定第14条）</w:t>
      </w:r>
    </w:p>
    <w:p>
      <w:pPr>
        <w:spacing w:lineRule="exact" w:line="560" w:before="0" w:after="0"/>
        <w:ind w:firstLine="560"/>
        <w:jc w:val="both"/>
      </w:pPr>
      <w:r>
        <w:rPr>
          <w:rFonts w:ascii="仿宋_GB2312" w:hAnsi="仿宋_GB2312" w:eastAsia="仿宋_GB2312"/>
          <w:b w:val="0"/>
          <w:color w:val="606060"/>
          <w:sz w:val="28"/>
        </w:rPr>
        <w:t>来源：市场监管总局官网（2026-10-03）</w:t>
      </w:r>
    </w:p>
    <w:p>
      <w:pPr>
        <w:spacing w:lineRule="exact" w:line="560" w:before="0" w:after="0"/>
        <w:jc w:val="both"/>
      </w:pPr>
      <w:r>
        <w:rPr>
          <w:rFonts w:ascii="楷体_GB2312" w:hAnsi="楷体_GB2312" w:eastAsia="楷体_GB2312"/>
          <w:b w:val="0"/>
          <w:sz w:val="32"/>
        </w:rPr>
        <w:t>（二）工信部通报侵害用户权益APP（SDK）第N批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9月30日通报37款，高频事由为违规收集个人信息、超范围索权、强制弹窗。</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集成第三方SDK前应按《常见类型移动互联网应用程序必要个人信息范围规定》做权限映射自查，重点关注广告、统计类SDK的静默采集；通报下架对上架周期影响不可逆，建议在发版流程中增加SDK清单核对环节。</w:t>
      </w:r>
    </w:p>
    <w:p>
      <w:pPr>
        <w:spacing w:lineRule="exact" w:line="560" w:before="0" w:after="0"/>
        <w:ind w:firstLine="640"/>
        <w:jc w:val="both"/>
      </w:pPr>
      <w:r>
        <w:rPr>
          <w:rFonts w:ascii="仿宋_GB2312" w:hAnsi="仿宋_GB2312" w:eastAsia="仿宋_GB2312"/>
          <w:b w:val="0"/>
          <w:color w:val="2F5F40"/>
          <w:sz w:val="32"/>
        </w:rPr>
        <w:t>原文依据：……未经用户同意，不得收集与所提供服务无关的个人信息……（规定第5条）</w:t>
      </w:r>
    </w:p>
    <w:p>
      <w:pPr>
        <w:spacing w:lineRule="exact" w:line="560" w:before="0" w:after="0"/>
        <w:ind w:firstLine="560"/>
        <w:jc w:val="both"/>
      </w:pPr>
      <w:r>
        <w:rPr>
          <w:rFonts w:ascii="仿宋_GB2312" w:hAnsi="仿宋_GB2312" w:eastAsia="仿宋_GB2312"/>
          <w:b w:val="0"/>
          <w:color w:val="606060"/>
          <w:sz w:val="28"/>
        </w:rPr>
        <w:t>来源：工信部官网（2026-09-30）</w:t>
      </w:r>
    </w:p>
    <w:p>
      <w:pPr>
        <w:spacing w:lineRule="exact" w:line="560" w:before="120" w:after="0"/>
        <w:jc w:val="both"/>
      </w:pPr>
      <w:r>
        <w:rPr>
          <w:rFonts w:ascii="黑体" w:hAnsi="黑体" w:eastAsia="黑体"/>
          <w:b w:val="0"/>
          <w:sz w:val="32"/>
        </w:rPr>
        <w:t>五、司法与立法动态</w:t>
      </w:r>
    </w:p>
    <w:p>
      <w:pPr>
        <w:spacing w:lineRule="exact" w:line="560" w:before="0" w:after="0"/>
        <w:jc w:val="both"/>
      </w:pPr>
      <w:r>
        <w:rPr>
          <w:rFonts w:ascii="楷体_GB2312" w:hAnsi="楷体_GB2312" w:eastAsia="楷体_GB2312"/>
          <w:b w:val="0"/>
          <w:sz w:val="32"/>
        </w:rPr>
        <w:t>（一）最高法《数据权益保护司法解释（征求意见稿）》公开征求意见</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10月2日发布征求意见稿，首次在司法层面回应数据资源持有权、加工使用权、产品经营权界定。</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征求意见稿直接关系平台数据产品的确权路径与诉讼策略。征求意见期是提交行业意见的窗口；按既往惯例正式稿与征求意见稿核心条款重合度较高，宜按“准义务”预研，正式发布后升级为逐条解读。</w:t>
      </w:r>
    </w:p>
    <w:p>
      <w:pPr>
        <w:spacing w:lineRule="exact" w:line="560" w:before="0" w:after="0"/>
        <w:ind w:firstLine="640"/>
        <w:jc w:val="both"/>
      </w:pPr>
      <w:r>
        <w:rPr>
          <w:rFonts w:ascii="仿宋_GB2312" w:hAnsi="仿宋_GB2312" w:eastAsia="仿宋_GB2312"/>
          <w:b w:val="0"/>
          <w:color w:val="2F5F40"/>
          <w:sz w:val="32"/>
        </w:rPr>
        <w:t>原文依据：……经营者对依法获取的数据资源享有……（征求意见稿第3条）</w:t>
      </w:r>
    </w:p>
    <w:p>
      <w:pPr>
        <w:spacing w:lineRule="exact" w:line="560" w:before="0" w:after="0"/>
        <w:ind w:firstLine="560"/>
        <w:jc w:val="both"/>
      </w:pPr>
      <w:r>
        <w:rPr>
          <w:rFonts w:ascii="仿宋_GB2312" w:hAnsi="仿宋_GB2312" w:eastAsia="仿宋_GB2312"/>
          <w:b w:val="0"/>
          <w:color w:val="606060"/>
          <w:sz w:val="28"/>
        </w:rPr>
        <w:t>来源：最高人民法院官网（2026-10-02）</w:t>
      </w:r>
    </w:p>
    <w:p>
      <w:pPr>
        <w:spacing w:lineRule="exact" w:line="560" w:before="0" w:after="0"/>
        <w:jc w:val="both"/>
      </w:pPr>
      <w:r>
        <w:rPr>
          <w:rFonts w:ascii="楷体_GB2312" w:hAnsi="楷体_GB2312" w:eastAsia="楷体_GB2312"/>
          <w:b w:val="0"/>
          <w:sz w:val="32"/>
        </w:rPr>
        <w:t>（二）上海、北京推进数据条例修订</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10月1日，两地条例修订草案均写入公共数据授权运营与数据资产登记制度。</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地方立法与国家数据局指引形成央地联动。注册地与经营地的登记互认规则待正式稿明确，涉多地经营的平台数据资产登记建议暂缓落地，待互认规则明确后一次申报，避免重复登记成本。</w:t>
      </w:r>
    </w:p>
    <w:p>
      <w:pPr>
        <w:spacing w:lineRule="exact" w:line="560" w:before="0" w:after="0"/>
        <w:ind w:firstLine="640"/>
        <w:jc w:val="both"/>
      </w:pPr>
      <w:r>
        <w:rPr>
          <w:rFonts w:ascii="仿宋_GB2312" w:hAnsi="仿宋_GB2312" w:eastAsia="仿宋_GB2312"/>
          <w:b w:val="0"/>
          <w:color w:val="2F5F40"/>
          <w:sz w:val="32"/>
        </w:rPr>
        <w:t>原文依据：……建立数据资产登记管理制度，规范登记行为……（沪条例草案第25条）</w:t>
      </w:r>
    </w:p>
    <w:p>
      <w:pPr>
        <w:spacing w:lineRule="exact" w:line="560" w:before="0" w:after="0"/>
        <w:ind w:firstLine="560"/>
        <w:jc w:val="both"/>
      </w:pPr>
      <w:r>
        <w:rPr>
          <w:rFonts w:ascii="仿宋_GB2312" w:hAnsi="仿宋_GB2312" w:eastAsia="仿宋_GB2312"/>
          <w:b w:val="0"/>
          <w:color w:val="606060"/>
          <w:sz w:val="28"/>
        </w:rPr>
        <w:t>来源：沪京经信、数据部门官网（2026-10-01）</w:t>
      </w:r>
    </w:p>
    <w:p>
      <w:pPr>
        <w:spacing w:lineRule="exact" w:line="560" w:before="120" w:after="0"/>
        <w:jc w:val="both"/>
      </w:pPr>
      <w:r>
        <w:rPr>
          <w:rFonts w:ascii="黑体" w:hAnsi="黑体" w:eastAsia="黑体"/>
          <w:b w:val="0"/>
          <w:sz w:val="32"/>
        </w:rPr>
        <w:t>六、域外动态</w:t>
      </w:r>
    </w:p>
    <w:p>
      <w:pPr>
        <w:spacing w:lineRule="exact" w:line="560" w:before="0" w:after="0"/>
        <w:jc w:val="both"/>
      </w:pPr>
      <w:r>
        <w:rPr>
          <w:rFonts w:ascii="楷体_GB2312" w:hAnsi="楷体_GB2312" w:eastAsia="楷体_GB2312"/>
          <w:b w:val="0"/>
          <w:sz w:val="32"/>
        </w:rPr>
        <w:t>（一）欧盟Digital Omnibus推迟AI法案高风险义务</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9月27日，欧盟通过数字简化一揽子修订，AI法案高风险义务推迟至2027年12月、2028年8月分批施行。</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本次为实施时间表调整而非义务减免，高风险分类判定标准未变。涉欧业务的合规准备节奏建议保持，时间表相应重排；无涉欧业务的作为趋势参考——欧盟简化修法与我国备案细化形成监管节奏对照。</w:t>
      </w:r>
    </w:p>
    <w:p>
      <w:pPr>
        <w:spacing w:lineRule="exact" w:line="560" w:before="0" w:after="0"/>
        <w:ind w:firstLine="640"/>
        <w:jc w:val="both"/>
      </w:pPr>
      <w:r>
        <w:rPr>
          <w:rFonts w:ascii="仿宋_GB2312" w:hAnsi="仿宋_GB2312" w:eastAsia="仿宋_GB2312"/>
          <w:b w:val="0"/>
          <w:color w:val="2F5F40"/>
          <w:sz w:val="32"/>
        </w:rPr>
        <w:t>原文依据：Regulation (EU) 2026/… amending Regulation (EU) 2024/1689, Art. 113</w:t>
      </w:r>
    </w:p>
    <w:p>
      <w:pPr>
        <w:spacing w:lineRule="exact" w:line="560" w:before="0" w:after="0"/>
        <w:ind w:firstLine="560"/>
        <w:jc w:val="both"/>
      </w:pPr>
      <w:r>
        <w:rPr>
          <w:rFonts w:ascii="仿宋_GB2312" w:hAnsi="仿宋_GB2312" w:eastAsia="仿宋_GB2312"/>
          <w:b w:val="0"/>
          <w:color w:val="606060"/>
          <w:sz w:val="28"/>
        </w:rPr>
        <w:t>来源：EUR-Lex官方公报（2026-09-27）</w:t>
      </w:r>
    </w:p>
    <w:p>
      <w:pPr>
        <w:spacing w:lineRule="exact" w:line="560" w:before="0" w:after="0"/>
        <w:jc w:val="both"/>
      </w:pPr>
      <w:r>
        <w:rPr>
          <w:rFonts w:ascii="楷体_GB2312" w:hAnsi="楷体_GB2312" w:eastAsia="楷体_GB2312"/>
          <w:b w:val="0"/>
          <w:sz w:val="32"/>
        </w:rPr>
        <w:t>（二）美国联邦贸易委员会发布算法歧视执法声明</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9月26日，FTC明确将歧视性自动化决策纳入《联邦贸易委员会法》第5节规制。</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声明覆盖定价、信贷、招聘类算法，明确“自动化歧视属于不公平或欺骗行为”的执法立场。出海业务或面向美国用户的功能应把算法输出公平性评估纳入合规清单，相关评估材料与我国算法备案材料可复用。</w:t>
      </w:r>
    </w:p>
    <w:p>
      <w:pPr>
        <w:spacing w:lineRule="exact" w:line="560" w:before="0" w:after="0"/>
        <w:ind w:firstLine="640"/>
        <w:jc w:val="both"/>
      </w:pPr>
      <w:r>
        <w:rPr>
          <w:rFonts w:ascii="仿宋_GB2312" w:hAnsi="仿宋_GB2312" w:eastAsia="仿宋_GB2312"/>
          <w:b w:val="0"/>
          <w:color w:val="2F5F40"/>
          <w:sz w:val="32"/>
        </w:rPr>
        <w:t>原文依据：FTC Policy Statement on Automated Decision Systems, §5, 2026-09-25</w:t>
      </w:r>
    </w:p>
    <w:p>
      <w:pPr>
        <w:spacing w:lineRule="exact" w:line="560" w:before="0" w:after="0"/>
        <w:ind w:firstLine="560"/>
        <w:jc w:val="both"/>
      </w:pPr>
      <w:r>
        <w:rPr>
          <w:rFonts w:ascii="仿宋_GB2312" w:hAnsi="仿宋_GB2312" w:eastAsia="仿宋_GB2312"/>
          <w:b w:val="0"/>
          <w:color w:val="606060"/>
          <w:sz w:val="28"/>
        </w:rPr>
        <w:t>来源：FTC官网（2026-09-26）</w:t>
      </w:r>
    </w:p>
    <w:p>
      <w:pPr>
        <w:spacing w:lineRule="exact" w:line="560" w:before="120" w:after="0"/>
        <w:jc w:val="both"/>
      </w:pPr>
      <w:r>
        <w:rPr>
          <w:rFonts w:ascii="黑体" w:hAnsi="黑体" w:eastAsia="黑体"/>
          <w:b w:val="0"/>
          <w:sz w:val="32"/>
        </w:rPr>
        <w:t>七、下一步工作建议</w:t>
      </w:r>
    </w:p>
    <w:p>
      <w:pPr>
        <w:spacing w:lineRule="exact" w:line="560" w:before="0" w:after="0"/>
        <w:ind w:firstLine="640"/>
        <w:jc w:val="both"/>
      </w:pPr>
      <w:r>
        <w:rPr>
          <w:rFonts w:ascii="仿宋_GB2312" w:hAnsi="仿宋_GB2312" w:eastAsia="仿宋_GB2312"/>
          <w:b w:val="0"/>
          <w:sz w:val="32"/>
        </w:rPr>
        <w:t>1.生成式AI功能上线前完成备案差距自查（实测记录新材料），重排涉及公众服务的产品发布计划。</w:t>
      </w:r>
    </w:p>
    <w:p>
      <w:pPr>
        <w:spacing w:lineRule="exact" w:line="560" w:before="0" w:after="0"/>
        <w:ind w:firstLine="640"/>
        <w:jc w:val="both"/>
      </w:pPr>
      <w:r>
        <w:rPr>
          <w:rFonts w:ascii="仿宋_GB2312" w:hAnsi="仿宋_GB2312" w:eastAsia="仿宋_GB2312"/>
          <w:b w:val="0"/>
          <w:sz w:val="32"/>
        </w:rPr>
        <w:t>2.11月1日前完成个人信息出境业务盘点，在认证、标准合同、安全评估三条路径中选定申报方案。</w:t>
      </w:r>
    </w:p>
    <w:p>
      <w:pPr>
        <w:spacing w:lineRule="exact" w:line="560" w:before="0" w:after="0"/>
        <w:ind w:firstLine="640"/>
        <w:jc w:val="both"/>
      </w:pPr>
      <w:r>
        <w:rPr>
          <w:rFonts w:ascii="仿宋_GB2312" w:hAnsi="仿宋_GB2312" w:eastAsia="仿宋_GB2312"/>
          <w:b w:val="0"/>
          <w:sz w:val="32"/>
        </w:rPr>
        <w:t>3.第四季度启动首次个人信息保护合规审计自审，同步完成数据资产盘点与重要数据目录比对。</w:t>
      </w:r>
    </w:p>
    <w:p>
      <w:pPr>
        <w:spacing w:lineRule="exact" w:line="560" w:before="0" w:after="0"/>
        <w:ind w:firstLine="640"/>
        <w:jc w:val="both"/>
      </w:pPr>
      <w:r>
        <w:rPr>
          <w:rFonts w:ascii="仿宋_GB2312" w:hAnsi="仿宋_GB2312" w:eastAsia="仿宋_GB2312"/>
          <w:b w:val="0"/>
          <w:sz w:val="32"/>
        </w:rPr>
        <w:t>4.对照算法公示执法案例，检查推荐、排序功能页面的算法原理公示与备案信息一致性。</w:t>
      </w:r>
    </w:p>
    <w:p>
      <w:pPr>
        <w:spacing w:lineRule="exact" w:line="560" w:before="0" w:after="0"/>
        <w:ind w:firstLine="640"/>
        <w:jc w:val="both"/>
      </w:pPr>
      <w:r>
        <w:rPr>
          <w:rFonts w:ascii="仿宋_GB2312" w:hAnsi="仿宋_GB2312" w:eastAsia="仿宋_GB2312"/>
          <w:b w:val="0"/>
          <w:sz w:val="32"/>
        </w:rPr>
        <w:t>5.结合数据权益司法解释征求意见期，组织一次行业意见内部评审，形成书面反馈。</w:t>
      </w:r>
    </w:p>
    <w:p>
      <w:pPr>
        <w:spacing w:lineRule="exact" w:line="560" w:before="120" w:after="0"/>
        <w:jc w:val="both"/>
      </w:pPr>
      <w:r>
        <w:rPr>
          <w:rFonts w:ascii="黑体" w:hAnsi="黑体" w:eastAsia="黑体"/>
          <w:b w:val="0"/>
          <w:sz w:val="32"/>
        </w:rPr>
        <w:t>八、附录：本期信息索引</w:t>
      </w:r>
    </w:p>
    <w:p>
      <w:pPr>
        <w:spacing w:lineRule="exact" w:line="560" w:before="0" w:after="0"/>
        <w:jc w:val="both"/>
      </w:pPr>
      <w:r>
        <w:rPr>
          <w:rFonts w:ascii="楷体_GB2312" w:hAnsi="楷体_GB2312" w:eastAsia="楷体_GB2312"/>
          <w:b w:val="0"/>
          <w:sz w:val="28"/>
        </w:rPr>
        <w:t>（相关度 55 分以下及技术动态仅列索引，不展开解读）</w:t>
      </w:r>
    </w:p>
    <w:tbl>
      <w:tblPr>
        <w:tblStyle w:val="TableGrid"/>
        <w:tblW w:type="auto" w:w="0"/>
        <w:tblLook w:firstColumn="1" w:firstRow="1" w:lastColumn="0" w:lastRow="0" w:noHBand="0" w:noVBand="1" w:val="04A0"/>
      </w:tblPr>
      <w:tblGrid>
        <w:gridCol w:w="2211"/>
        <w:gridCol w:w="2211"/>
        <w:gridCol w:w="2211"/>
        <w:gridCol w:w="2211"/>
      </w:tblGrid>
      <w:tr>
        <w:tc>
          <w:tcPr>
            <w:tcW w:type="dxa" w:w="2211"/>
          </w:tcPr>
          <w:p>
            <w:r/>
            <w:r>
              <w:rPr>
                <w:rFonts w:ascii="黑体" w:hAnsi="黑体" w:eastAsia="黑体"/>
                <w:b w:val="0"/>
                <w:sz w:val="24"/>
              </w:rPr>
              <w:t>序号</w:t>
            </w:r>
          </w:p>
        </w:tc>
        <w:tc>
          <w:tcPr>
            <w:tcW w:type="dxa" w:w="2211"/>
          </w:tcPr>
          <w:p>
            <w:r/>
            <w:r>
              <w:rPr>
                <w:rFonts w:ascii="黑体" w:hAnsi="黑体" w:eastAsia="黑体"/>
                <w:b w:val="0"/>
                <w:sz w:val="24"/>
              </w:rPr>
              <w:t>标题</w:t>
            </w:r>
          </w:p>
        </w:tc>
        <w:tc>
          <w:tcPr>
            <w:tcW w:type="dxa" w:w="2211"/>
          </w:tcPr>
          <w:p>
            <w:r/>
            <w:r>
              <w:rPr>
                <w:rFonts w:ascii="黑体" w:hAnsi="黑体" w:eastAsia="黑体"/>
                <w:b w:val="0"/>
                <w:sz w:val="24"/>
              </w:rPr>
              <w:t>日期</w:t>
            </w:r>
          </w:p>
        </w:tc>
        <w:tc>
          <w:tcPr>
            <w:tcW w:type="dxa" w:w="2211"/>
          </w:tcPr>
          <w:p>
            <w:r/>
            <w:r>
              <w:rPr>
                <w:rFonts w:ascii="黑体" w:hAnsi="黑体" w:eastAsia="黑体"/>
                <w:b w:val="0"/>
                <w:sz w:val="24"/>
              </w:rPr>
              <w:t>来源</w:t>
            </w:r>
          </w:p>
        </w:tc>
      </w:tr>
      <w:tr>
        <w:tc>
          <w:tcPr>
            <w:tcW w:type="dxa" w:w="2211"/>
          </w:tcPr>
          <w:p>
            <w:r/>
            <w:r>
              <w:rPr>
                <w:rFonts w:ascii="仿宋_GB2312" w:hAnsi="仿宋_GB2312" w:eastAsia="仿宋_GB2312"/>
                <w:b w:val="0"/>
                <w:sz w:val="24"/>
              </w:rPr>
              <w:t>1</w:t>
            </w:r>
          </w:p>
        </w:tc>
        <w:tc>
          <w:tcPr>
            <w:tcW w:type="dxa" w:w="2211"/>
          </w:tcPr>
          <w:p>
            <w:r/>
            <w:r>
              <w:rPr>
                <w:rFonts w:ascii="仿宋_GB2312" w:hAnsi="仿宋_GB2312" w:eastAsia="仿宋_GB2312"/>
                <w:b w:val="0"/>
                <w:sz w:val="24"/>
              </w:rPr>
              <w:t>网信办《生成式人工智能服务备案实施细化要求》</w:t>
            </w:r>
          </w:p>
        </w:tc>
        <w:tc>
          <w:tcPr>
            <w:tcW w:type="dxa" w:w="2211"/>
          </w:tcPr>
          <w:p>
            <w:r/>
            <w:r>
              <w:rPr>
                <w:rFonts w:ascii="仿宋_GB2312" w:hAnsi="仿宋_GB2312" w:eastAsia="仿宋_GB2312"/>
                <w:b w:val="0"/>
                <w:sz w:val="24"/>
              </w:rPr>
              <w:t>10-04</w:t>
            </w:r>
          </w:p>
        </w:tc>
        <w:tc>
          <w:tcPr>
            <w:tcW w:type="dxa" w:w="2211"/>
          </w:tcPr>
          <w:p>
            <w:r/>
            <w:r>
              <w:rPr>
                <w:rFonts w:ascii="仿宋_GB2312" w:hAnsi="仿宋_GB2312" w:eastAsia="仿宋_GB2312"/>
                <w:b w:val="0"/>
                <w:sz w:val="24"/>
              </w:rPr>
              <w:t>网信办</w:t>
            </w:r>
          </w:p>
        </w:tc>
      </w:tr>
      <w:tr>
        <w:tc>
          <w:tcPr>
            <w:tcW w:type="dxa" w:w="2211"/>
          </w:tcPr>
          <w:p>
            <w:r/>
            <w:r>
              <w:rPr>
                <w:rFonts w:ascii="仿宋_GB2312" w:hAnsi="仿宋_GB2312" w:eastAsia="仿宋_GB2312"/>
                <w:b w:val="0"/>
                <w:sz w:val="24"/>
              </w:rPr>
              <w:t>2</w:t>
            </w:r>
          </w:p>
        </w:tc>
        <w:tc>
          <w:tcPr>
            <w:tcW w:type="dxa" w:w="2211"/>
          </w:tcPr>
          <w:p>
            <w:r/>
            <w:r>
              <w:rPr>
                <w:rFonts w:ascii="仿宋_GB2312" w:hAnsi="仿宋_GB2312" w:eastAsia="仿宋_GB2312"/>
                <w:b w:val="0"/>
                <w:sz w:val="24"/>
              </w:rPr>
              <w:t>国家数据局《公共数据授权运营实施指引》及示范文本</w:t>
            </w:r>
          </w:p>
        </w:tc>
        <w:tc>
          <w:tcPr>
            <w:tcW w:type="dxa" w:w="2211"/>
          </w:tcPr>
          <w:p>
            <w:r/>
            <w:r>
              <w:rPr>
                <w:rFonts w:ascii="仿宋_GB2312" w:hAnsi="仿宋_GB2312" w:eastAsia="仿宋_GB2312"/>
                <w:b w:val="0"/>
                <w:sz w:val="24"/>
              </w:rPr>
              <w:t>10-04</w:t>
            </w:r>
          </w:p>
        </w:tc>
        <w:tc>
          <w:tcPr>
            <w:tcW w:type="dxa" w:w="2211"/>
          </w:tcPr>
          <w:p>
            <w:r/>
            <w:r>
              <w:rPr>
                <w:rFonts w:ascii="仿宋_GB2312" w:hAnsi="仿宋_GB2312" w:eastAsia="仿宋_GB2312"/>
                <w:b w:val="0"/>
                <w:sz w:val="24"/>
              </w:rPr>
              <w:t>国家数据局</w:t>
            </w:r>
          </w:p>
        </w:tc>
      </w:tr>
      <w:tr>
        <w:tc>
          <w:tcPr>
            <w:tcW w:type="dxa" w:w="2211"/>
          </w:tcPr>
          <w:p>
            <w:r/>
            <w:r>
              <w:rPr>
                <w:rFonts w:ascii="仿宋_GB2312" w:hAnsi="仿宋_GB2312" w:eastAsia="仿宋_GB2312"/>
                <w:b w:val="0"/>
                <w:sz w:val="24"/>
              </w:rPr>
              <w:t>3</w:t>
            </w:r>
          </w:p>
        </w:tc>
        <w:tc>
          <w:tcPr>
            <w:tcW w:type="dxa" w:w="2211"/>
          </w:tcPr>
          <w:p>
            <w:r/>
            <w:r>
              <w:rPr>
                <w:rFonts w:ascii="仿宋_GB2312" w:hAnsi="仿宋_GB2312" w:eastAsia="仿宋_GB2312"/>
                <w:b w:val="0"/>
                <w:sz w:val="24"/>
              </w:rPr>
              <w:t>《人工智能生成合成内容标识办法》施行首日动态</w:t>
            </w:r>
          </w:p>
        </w:tc>
        <w:tc>
          <w:tcPr>
            <w:tcW w:type="dxa" w:w="2211"/>
          </w:tcPr>
          <w:p>
            <w:r/>
            <w:r>
              <w:rPr>
                <w:rFonts w:ascii="仿宋_GB2312" w:hAnsi="仿宋_GB2312" w:eastAsia="仿宋_GB2312"/>
                <w:b w:val="0"/>
                <w:sz w:val="24"/>
              </w:rPr>
              <w:t>10-04</w:t>
            </w:r>
          </w:p>
        </w:tc>
        <w:tc>
          <w:tcPr>
            <w:tcW w:type="dxa" w:w="2211"/>
          </w:tcPr>
          <w:p>
            <w:r/>
            <w:r>
              <w:rPr>
                <w:rFonts w:ascii="仿宋_GB2312" w:hAnsi="仿宋_GB2312" w:eastAsia="仿宋_GB2312"/>
                <w:b w:val="0"/>
                <w:sz w:val="24"/>
              </w:rPr>
              <w:t>网信办/澎湃</w:t>
            </w:r>
          </w:p>
        </w:tc>
      </w:tr>
      <w:tr>
        <w:tc>
          <w:tcPr>
            <w:tcW w:type="dxa" w:w="2211"/>
          </w:tcPr>
          <w:p>
            <w:r/>
            <w:r>
              <w:rPr>
                <w:rFonts w:ascii="仿宋_GB2312" w:hAnsi="仿宋_GB2312" w:eastAsia="仿宋_GB2312"/>
                <w:b w:val="0"/>
                <w:sz w:val="24"/>
              </w:rPr>
              <w:t>4</w:t>
            </w:r>
          </w:p>
        </w:tc>
        <w:tc>
          <w:tcPr>
            <w:tcW w:type="dxa" w:w="2211"/>
          </w:tcPr>
          <w:p>
            <w:r/>
            <w:r>
              <w:rPr>
                <w:rFonts w:ascii="仿宋_GB2312" w:hAnsi="仿宋_GB2312" w:eastAsia="仿宋_GB2312"/>
                <w:b w:val="0"/>
                <w:sz w:val="24"/>
              </w:rPr>
              <w:t>网信办《个人信息出境认证办法》</w:t>
            </w:r>
          </w:p>
        </w:tc>
        <w:tc>
          <w:tcPr>
            <w:tcW w:type="dxa" w:w="2211"/>
          </w:tcPr>
          <w:p>
            <w:r/>
            <w:r>
              <w:rPr>
                <w:rFonts w:ascii="仿宋_GB2312" w:hAnsi="仿宋_GB2312" w:eastAsia="仿宋_GB2312"/>
                <w:b w:val="0"/>
                <w:sz w:val="24"/>
              </w:rPr>
              <w:t>10-03</w:t>
            </w:r>
          </w:p>
        </w:tc>
        <w:tc>
          <w:tcPr>
            <w:tcW w:type="dxa" w:w="2211"/>
          </w:tcPr>
          <w:p>
            <w:r/>
            <w:r>
              <w:rPr>
                <w:rFonts w:ascii="仿宋_GB2312" w:hAnsi="仿宋_GB2312" w:eastAsia="仿宋_GB2312"/>
                <w:b w:val="0"/>
                <w:sz w:val="24"/>
              </w:rPr>
              <w:t>网信办</w:t>
            </w:r>
          </w:p>
        </w:tc>
      </w:tr>
      <w:tr>
        <w:tc>
          <w:tcPr>
            <w:tcW w:type="dxa" w:w="2211"/>
          </w:tcPr>
          <w:p>
            <w:r/>
            <w:r>
              <w:rPr>
                <w:rFonts w:ascii="仿宋_GB2312" w:hAnsi="仿宋_GB2312" w:eastAsia="仿宋_GB2312"/>
                <w:b w:val="0"/>
                <w:sz w:val="24"/>
              </w:rPr>
              <w:t>5</w:t>
            </w:r>
          </w:p>
        </w:tc>
        <w:tc>
          <w:tcPr>
            <w:tcW w:type="dxa" w:w="2211"/>
          </w:tcPr>
          <w:p>
            <w:r/>
            <w:r>
              <w:rPr>
                <w:rFonts w:ascii="仿宋_GB2312" w:hAnsi="仿宋_GB2312" w:eastAsia="仿宋_GB2312"/>
                <w:b w:val="0"/>
                <w:sz w:val="24"/>
              </w:rPr>
              <w:t>市场监管总局“二选一”行政处罚</w:t>
            </w:r>
          </w:p>
        </w:tc>
        <w:tc>
          <w:tcPr>
            <w:tcW w:type="dxa" w:w="2211"/>
          </w:tcPr>
          <w:p>
            <w:r/>
            <w:r>
              <w:rPr>
                <w:rFonts w:ascii="仿宋_GB2312" w:hAnsi="仿宋_GB2312" w:eastAsia="仿宋_GB2312"/>
                <w:b w:val="0"/>
                <w:sz w:val="24"/>
              </w:rPr>
              <w:t>10-03</w:t>
            </w:r>
          </w:p>
        </w:tc>
        <w:tc>
          <w:tcPr>
            <w:tcW w:type="dxa" w:w="2211"/>
          </w:tcPr>
          <w:p>
            <w:r/>
            <w:r>
              <w:rPr>
                <w:rFonts w:ascii="仿宋_GB2312" w:hAnsi="仿宋_GB2312" w:eastAsia="仿宋_GB2312"/>
                <w:b w:val="0"/>
                <w:sz w:val="24"/>
              </w:rPr>
              <w:t>市场监管总局</w:t>
            </w:r>
          </w:p>
        </w:tc>
      </w:tr>
      <w:tr>
        <w:tc>
          <w:tcPr>
            <w:tcW w:type="dxa" w:w="2211"/>
          </w:tcPr>
          <w:p>
            <w:r/>
            <w:r>
              <w:rPr>
                <w:rFonts w:ascii="仿宋_GB2312" w:hAnsi="仿宋_GB2312" w:eastAsia="仿宋_GB2312"/>
                <w:b w:val="0"/>
                <w:sz w:val="24"/>
              </w:rPr>
              <w:t>6</w:t>
            </w:r>
          </w:p>
        </w:tc>
        <w:tc>
          <w:tcPr>
            <w:tcW w:type="dxa" w:w="2211"/>
          </w:tcPr>
          <w:p>
            <w:r/>
            <w:r>
              <w:rPr>
                <w:rFonts w:ascii="仿宋_GB2312" w:hAnsi="仿宋_GB2312" w:eastAsia="仿宋_GB2312"/>
                <w:b w:val="0"/>
                <w:sz w:val="24"/>
              </w:rPr>
              <w:t>最高法数据权益保护司法解释（征求意见稿）</w:t>
            </w:r>
          </w:p>
        </w:tc>
        <w:tc>
          <w:tcPr>
            <w:tcW w:type="dxa" w:w="2211"/>
          </w:tcPr>
          <w:p>
            <w:r/>
            <w:r>
              <w:rPr>
                <w:rFonts w:ascii="仿宋_GB2312" w:hAnsi="仿宋_GB2312" w:eastAsia="仿宋_GB2312"/>
                <w:b w:val="0"/>
                <w:sz w:val="24"/>
              </w:rPr>
              <w:t>10-02</w:t>
            </w:r>
          </w:p>
        </w:tc>
        <w:tc>
          <w:tcPr>
            <w:tcW w:type="dxa" w:w="2211"/>
          </w:tcPr>
          <w:p>
            <w:r/>
            <w:r>
              <w:rPr>
                <w:rFonts w:ascii="仿宋_GB2312" w:hAnsi="仿宋_GB2312" w:eastAsia="仿宋_GB2312"/>
                <w:b w:val="0"/>
                <w:sz w:val="24"/>
              </w:rPr>
              <w:t>最高人民法院</w:t>
            </w:r>
          </w:p>
        </w:tc>
      </w:tr>
      <w:tr>
        <w:tc>
          <w:tcPr>
            <w:tcW w:type="dxa" w:w="2211"/>
          </w:tcPr>
          <w:p>
            <w:r/>
            <w:r>
              <w:rPr>
                <w:rFonts w:ascii="仿宋_GB2312" w:hAnsi="仿宋_GB2312" w:eastAsia="仿宋_GB2312"/>
                <w:b w:val="0"/>
                <w:sz w:val="24"/>
              </w:rPr>
              <w:t>7</w:t>
            </w:r>
          </w:p>
        </w:tc>
        <w:tc>
          <w:tcPr>
            <w:tcW w:type="dxa" w:w="2211"/>
          </w:tcPr>
          <w:p>
            <w:r/>
            <w:r>
              <w:rPr>
                <w:rFonts w:ascii="仿宋_GB2312" w:hAnsi="仿宋_GB2312" w:eastAsia="仿宋_GB2312"/>
                <w:b w:val="0"/>
                <w:sz w:val="24"/>
              </w:rPr>
              <w:t>《网络数据安全管理条例》重要数据自评细则</w:t>
            </w:r>
          </w:p>
        </w:tc>
        <w:tc>
          <w:tcPr>
            <w:tcW w:type="dxa" w:w="2211"/>
          </w:tcPr>
          <w:p>
            <w:r/>
            <w:r>
              <w:rPr>
                <w:rFonts w:ascii="仿宋_GB2312" w:hAnsi="仿宋_GB2312" w:eastAsia="仿宋_GB2312"/>
                <w:b w:val="0"/>
                <w:sz w:val="24"/>
              </w:rPr>
              <w:t>10-02</w:t>
            </w:r>
          </w:p>
        </w:tc>
        <w:tc>
          <w:tcPr>
            <w:tcW w:type="dxa" w:w="2211"/>
          </w:tcPr>
          <w:p>
            <w:r/>
            <w:r>
              <w:rPr>
                <w:rFonts w:ascii="仿宋_GB2312" w:hAnsi="仿宋_GB2312" w:eastAsia="仿宋_GB2312"/>
                <w:b w:val="0"/>
                <w:sz w:val="24"/>
              </w:rPr>
              <w:t>网信办</w:t>
            </w:r>
          </w:p>
        </w:tc>
      </w:tr>
      <w:tr>
        <w:tc>
          <w:tcPr>
            <w:tcW w:type="dxa" w:w="2211"/>
          </w:tcPr>
          <w:p>
            <w:r/>
            <w:r>
              <w:rPr>
                <w:rFonts w:ascii="仿宋_GB2312" w:hAnsi="仿宋_GB2312" w:eastAsia="仿宋_GB2312"/>
                <w:b w:val="0"/>
                <w:sz w:val="24"/>
              </w:rPr>
              <w:t>8</w:t>
            </w:r>
          </w:p>
        </w:tc>
        <w:tc>
          <w:tcPr>
            <w:tcW w:type="dxa" w:w="2211"/>
          </w:tcPr>
          <w:p>
            <w:r/>
            <w:r>
              <w:rPr>
                <w:rFonts w:ascii="仿宋_GB2312" w:hAnsi="仿宋_GB2312" w:eastAsia="仿宋_GB2312"/>
                <w:b w:val="0"/>
                <w:sz w:val="24"/>
              </w:rPr>
              <w:t>工信部大模型应用安全管理要求</w:t>
            </w:r>
          </w:p>
        </w:tc>
        <w:tc>
          <w:tcPr>
            <w:tcW w:type="dxa" w:w="2211"/>
          </w:tcPr>
          <w:p>
            <w:r/>
            <w:r>
              <w:rPr>
                <w:rFonts w:ascii="仿宋_GB2312" w:hAnsi="仿宋_GB2312" w:eastAsia="仿宋_GB2312"/>
                <w:b w:val="0"/>
                <w:sz w:val="24"/>
              </w:rPr>
              <w:t>10-01</w:t>
            </w:r>
          </w:p>
        </w:tc>
        <w:tc>
          <w:tcPr>
            <w:tcW w:type="dxa" w:w="2211"/>
          </w:tcPr>
          <w:p>
            <w:r/>
            <w:r>
              <w:rPr>
                <w:rFonts w:ascii="仿宋_GB2312" w:hAnsi="仿宋_GB2312" w:eastAsia="仿宋_GB2312"/>
                <w:b w:val="0"/>
                <w:sz w:val="24"/>
              </w:rPr>
              <w:t>工信部</w:t>
            </w:r>
          </w:p>
        </w:tc>
      </w:tr>
      <w:tr>
        <w:tc>
          <w:tcPr>
            <w:tcW w:type="dxa" w:w="2211"/>
          </w:tcPr>
          <w:p>
            <w:r/>
            <w:r>
              <w:rPr>
                <w:rFonts w:ascii="仿宋_GB2312" w:hAnsi="仿宋_GB2312" w:eastAsia="仿宋_GB2312"/>
                <w:b w:val="0"/>
                <w:sz w:val="24"/>
              </w:rPr>
              <w:t>9</w:t>
            </w:r>
          </w:p>
        </w:tc>
        <w:tc>
          <w:tcPr>
            <w:tcW w:type="dxa" w:w="2211"/>
          </w:tcPr>
          <w:p>
            <w:r/>
            <w:r>
              <w:rPr>
                <w:rFonts w:ascii="仿宋_GB2312" w:hAnsi="仿宋_GB2312" w:eastAsia="仿宋_GB2312"/>
                <w:b w:val="0"/>
                <w:sz w:val="24"/>
              </w:rPr>
              <w:t>沪京数据条例修订草案</w:t>
            </w:r>
          </w:p>
        </w:tc>
        <w:tc>
          <w:tcPr>
            <w:tcW w:type="dxa" w:w="2211"/>
          </w:tcPr>
          <w:p>
            <w:r/>
            <w:r>
              <w:rPr>
                <w:rFonts w:ascii="仿宋_GB2312" w:hAnsi="仿宋_GB2312" w:eastAsia="仿宋_GB2312"/>
                <w:b w:val="0"/>
                <w:sz w:val="24"/>
              </w:rPr>
              <w:t>10-01</w:t>
            </w:r>
          </w:p>
        </w:tc>
        <w:tc>
          <w:tcPr>
            <w:tcW w:type="dxa" w:w="2211"/>
          </w:tcPr>
          <w:p>
            <w:r/>
            <w:r>
              <w:rPr>
                <w:rFonts w:ascii="仿宋_GB2312" w:hAnsi="仿宋_GB2312" w:eastAsia="仿宋_GB2312"/>
                <w:b w:val="0"/>
                <w:sz w:val="24"/>
              </w:rPr>
              <w:t>地方官网</w:t>
            </w:r>
          </w:p>
        </w:tc>
      </w:tr>
      <w:tr>
        <w:tc>
          <w:tcPr>
            <w:tcW w:type="dxa" w:w="2211"/>
          </w:tcPr>
          <w:p>
            <w:r/>
            <w:r>
              <w:rPr>
                <w:rFonts w:ascii="仿宋_GB2312" w:hAnsi="仿宋_GB2312" w:eastAsia="仿宋_GB2312"/>
                <w:b w:val="0"/>
                <w:sz w:val="24"/>
              </w:rPr>
              <w:t>10</w:t>
            </w:r>
          </w:p>
        </w:tc>
        <w:tc>
          <w:tcPr>
            <w:tcW w:type="dxa" w:w="2211"/>
          </w:tcPr>
          <w:p>
            <w:r/>
            <w:r>
              <w:rPr>
                <w:rFonts w:ascii="仿宋_GB2312" w:hAnsi="仿宋_GB2312" w:eastAsia="仿宋_GB2312"/>
                <w:b w:val="0"/>
                <w:sz w:val="24"/>
              </w:rPr>
              <w:t>《个人信息保护合规审计管理办法》施行</w:t>
            </w:r>
          </w:p>
        </w:tc>
        <w:tc>
          <w:tcPr>
            <w:tcW w:type="dxa" w:w="2211"/>
          </w:tcPr>
          <w:p>
            <w:r/>
            <w:r>
              <w:rPr>
                <w:rFonts w:ascii="仿宋_GB2312" w:hAnsi="仿宋_GB2312" w:eastAsia="仿宋_GB2312"/>
                <w:b w:val="0"/>
                <w:sz w:val="24"/>
              </w:rPr>
              <w:t>09-30</w:t>
            </w:r>
          </w:p>
        </w:tc>
        <w:tc>
          <w:tcPr>
            <w:tcW w:type="dxa" w:w="2211"/>
          </w:tcPr>
          <w:p>
            <w:r/>
            <w:r>
              <w:rPr>
                <w:rFonts w:ascii="仿宋_GB2312" w:hAnsi="仿宋_GB2312" w:eastAsia="仿宋_GB2312"/>
                <w:b w:val="0"/>
                <w:sz w:val="24"/>
              </w:rPr>
              <w:t>网信办</w:t>
            </w:r>
          </w:p>
        </w:tc>
      </w:tr>
      <w:tr>
        <w:tc>
          <w:tcPr>
            <w:tcW w:type="dxa" w:w="2211"/>
          </w:tcPr>
          <w:p>
            <w:r/>
            <w:r>
              <w:rPr>
                <w:rFonts w:ascii="仿宋_GB2312" w:hAnsi="仿宋_GB2312" w:eastAsia="仿宋_GB2312"/>
                <w:b w:val="0"/>
                <w:sz w:val="24"/>
              </w:rPr>
              <w:t>11</w:t>
            </w:r>
          </w:p>
        </w:tc>
        <w:tc>
          <w:tcPr>
            <w:tcW w:type="dxa" w:w="2211"/>
          </w:tcPr>
          <w:p>
            <w:r/>
            <w:r>
              <w:rPr>
                <w:rFonts w:ascii="仿宋_GB2312" w:hAnsi="仿宋_GB2312" w:eastAsia="仿宋_GB2312"/>
                <w:b w:val="0"/>
                <w:sz w:val="24"/>
              </w:rPr>
              <w:t>工信部APP/SDK合规通报（第N批）</w:t>
            </w:r>
          </w:p>
        </w:tc>
        <w:tc>
          <w:tcPr>
            <w:tcW w:type="dxa" w:w="2211"/>
          </w:tcPr>
          <w:p>
            <w:r/>
            <w:r>
              <w:rPr>
                <w:rFonts w:ascii="仿宋_GB2312" w:hAnsi="仿宋_GB2312" w:eastAsia="仿宋_GB2312"/>
                <w:b w:val="0"/>
                <w:sz w:val="24"/>
              </w:rPr>
              <w:t>09-30</w:t>
            </w:r>
          </w:p>
        </w:tc>
        <w:tc>
          <w:tcPr>
            <w:tcW w:type="dxa" w:w="2211"/>
          </w:tcPr>
          <w:p>
            <w:r/>
            <w:r>
              <w:rPr>
                <w:rFonts w:ascii="仿宋_GB2312" w:hAnsi="仿宋_GB2312" w:eastAsia="仿宋_GB2312"/>
                <w:b w:val="0"/>
                <w:sz w:val="24"/>
              </w:rPr>
              <w:t>工信部</w:t>
            </w:r>
          </w:p>
        </w:tc>
      </w:tr>
      <w:tr>
        <w:tc>
          <w:tcPr>
            <w:tcW w:type="dxa" w:w="2211"/>
          </w:tcPr>
          <w:p>
            <w:r/>
            <w:r>
              <w:rPr>
                <w:rFonts w:ascii="仿宋_GB2312" w:hAnsi="仿宋_GB2312" w:eastAsia="仿宋_GB2312"/>
                <w:b w:val="0"/>
                <w:sz w:val="24"/>
              </w:rPr>
              <w:t>12</w:t>
            </w:r>
          </w:p>
        </w:tc>
        <w:tc>
          <w:tcPr>
            <w:tcW w:type="dxa" w:w="2211"/>
          </w:tcPr>
          <w:p>
            <w:r/>
            <w:r>
              <w:rPr>
                <w:rFonts w:ascii="仿宋_GB2312" w:hAnsi="仿宋_GB2312" w:eastAsia="仿宋_GB2312"/>
                <w:b w:val="0"/>
                <w:sz w:val="24"/>
              </w:rPr>
              <w:t>财政部数据资源会计处理应用指南</w:t>
            </w:r>
          </w:p>
        </w:tc>
        <w:tc>
          <w:tcPr>
            <w:tcW w:type="dxa" w:w="2211"/>
          </w:tcPr>
          <w:p>
            <w:r/>
            <w:r>
              <w:rPr>
                <w:rFonts w:ascii="仿宋_GB2312" w:hAnsi="仿宋_GB2312" w:eastAsia="仿宋_GB2312"/>
                <w:b w:val="0"/>
                <w:sz w:val="24"/>
              </w:rPr>
              <w:t>09-29</w:t>
            </w:r>
          </w:p>
        </w:tc>
        <w:tc>
          <w:tcPr>
            <w:tcW w:type="dxa" w:w="2211"/>
          </w:tcPr>
          <w:p>
            <w:r/>
            <w:r>
              <w:rPr>
                <w:rFonts w:ascii="仿宋_GB2312" w:hAnsi="仿宋_GB2312" w:eastAsia="仿宋_GB2312"/>
                <w:b w:val="0"/>
                <w:sz w:val="24"/>
              </w:rPr>
              <w:t>财政部</w:t>
            </w:r>
          </w:p>
        </w:tc>
      </w:tr>
      <w:tr>
        <w:tc>
          <w:tcPr>
            <w:tcW w:type="dxa" w:w="2211"/>
          </w:tcPr>
          <w:p>
            <w:r/>
            <w:r>
              <w:rPr>
                <w:rFonts w:ascii="仿宋_GB2312" w:hAnsi="仿宋_GB2312" w:eastAsia="仿宋_GB2312"/>
                <w:b w:val="0"/>
                <w:sz w:val="24"/>
              </w:rPr>
              <w:t>13</w:t>
            </w:r>
          </w:p>
        </w:tc>
        <w:tc>
          <w:tcPr>
            <w:tcW w:type="dxa" w:w="2211"/>
          </w:tcPr>
          <w:p>
            <w:r/>
            <w:r>
              <w:rPr>
                <w:rFonts w:ascii="仿宋_GB2312" w:hAnsi="仿宋_GB2312" w:eastAsia="仿宋_GB2312"/>
                <w:b w:val="0"/>
                <w:sz w:val="24"/>
              </w:rPr>
              <w:t>网信办算法推荐执法案例通报</w:t>
            </w:r>
          </w:p>
        </w:tc>
        <w:tc>
          <w:tcPr>
            <w:tcW w:type="dxa" w:w="2211"/>
          </w:tcPr>
          <w:p>
            <w:r/>
            <w:r>
              <w:rPr>
                <w:rFonts w:ascii="仿宋_GB2312" w:hAnsi="仿宋_GB2312" w:eastAsia="仿宋_GB2312"/>
                <w:b w:val="0"/>
                <w:sz w:val="24"/>
              </w:rPr>
              <w:t>09-28</w:t>
            </w:r>
          </w:p>
        </w:tc>
        <w:tc>
          <w:tcPr>
            <w:tcW w:type="dxa" w:w="2211"/>
          </w:tcPr>
          <w:p>
            <w:r/>
            <w:r>
              <w:rPr>
                <w:rFonts w:ascii="仿宋_GB2312" w:hAnsi="仿宋_GB2312" w:eastAsia="仿宋_GB2312"/>
                <w:b w:val="0"/>
                <w:sz w:val="24"/>
              </w:rPr>
              <w:t>网信办</w:t>
            </w:r>
          </w:p>
        </w:tc>
      </w:tr>
      <w:tr>
        <w:tc>
          <w:tcPr>
            <w:tcW w:type="dxa" w:w="2211"/>
          </w:tcPr>
          <w:p>
            <w:r/>
            <w:r>
              <w:rPr>
                <w:rFonts w:ascii="仿宋_GB2312" w:hAnsi="仿宋_GB2312" w:eastAsia="仿宋_GB2312"/>
                <w:b w:val="0"/>
                <w:sz w:val="24"/>
              </w:rPr>
              <w:t>14</w:t>
            </w:r>
          </w:p>
        </w:tc>
        <w:tc>
          <w:tcPr>
            <w:tcW w:type="dxa" w:w="2211"/>
          </w:tcPr>
          <w:p>
            <w:r/>
            <w:r>
              <w:rPr>
                <w:rFonts w:ascii="仿宋_GB2312" w:hAnsi="仿宋_GB2312" w:eastAsia="仿宋_GB2312"/>
                <w:b w:val="0"/>
                <w:sz w:val="24"/>
              </w:rPr>
              <w:t>欧盟Digital Omnibus（AI法案义务推迟）</w:t>
            </w:r>
          </w:p>
        </w:tc>
        <w:tc>
          <w:tcPr>
            <w:tcW w:type="dxa" w:w="2211"/>
          </w:tcPr>
          <w:p>
            <w:r/>
            <w:r>
              <w:rPr>
                <w:rFonts w:ascii="仿宋_GB2312" w:hAnsi="仿宋_GB2312" w:eastAsia="仿宋_GB2312"/>
                <w:b w:val="0"/>
                <w:sz w:val="24"/>
              </w:rPr>
              <w:t>09-27</w:t>
            </w:r>
          </w:p>
        </w:tc>
        <w:tc>
          <w:tcPr>
            <w:tcW w:type="dxa" w:w="2211"/>
          </w:tcPr>
          <w:p>
            <w:r/>
            <w:r>
              <w:rPr>
                <w:rFonts w:ascii="仿宋_GB2312" w:hAnsi="仿宋_GB2312" w:eastAsia="仿宋_GB2312"/>
                <w:b w:val="0"/>
                <w:sz w:val="24"/>
              </w:rPr>
              <w:t>EUR-Lex</w:t>
            </w:r>
          </w:p>
        </w:tc>
      </w:tr>
      <w:tr>
        <w:tc>
          <w:tcPr>
            <w:tcW w:type="dxa" w:w="2211"/>
          </w:tcPr>
          <w:p>
            <w:r/>
            <w:r>
              <w:rPr>
                <w:rFonts w:ascii="仿宋_GB2312" w:hAnsi="仿宋_GB2312" w:eastAsia="仿宋_GB2312"/>
                <w:b w:val="0"/>
                <w:sz w:val="24"/>
              </w:rPr>
              <w:t>15</w:t>
            </w:r>
          </w:p>
        </w:tc>
        <w:tc>
          <w:tcPr>
            <w:tcW w:type="dxa" w:w="2211"/>
          </w:tcPr>
          <w:p>
            <w:r/>
            <w:r>
              <w:rPr>
                <w:rFonts w:ascii="仿宋_GB2312" w:hAnsi="仿宋_GB2312" w:eastAsia="仿宋_GB2312"/>
                <w:b w:val="0"/>
                <w:sz w:val="24"/>
              </w:rPr>
              <w:t>FTC算法歧视执法声明</w:t>
            </w:r>
          </w:p>
        </w:tc>
        <w:tc>
          <w:tcPr>
            <w:tcW w:type="dxa" w:w="2211"/>
          </w:tcPr>
          <w:p>
            <w:r/>
            <w:r>
              <w:rPr>
                <w:rFonts w:ascii="仿宋_GB2312" w:hAnsi="仿宋_GB2312" w:eastAsia="仿宋_GB2312"/>
                <w:b w:val="0"/>
                <w:sz w:val="24"/>
              </w:rPr>
              <w:t>09-26</w:t>
            </w:r>
          </w:p>
        </w:tc>
        <w:tc>
          <w:tcPr>
            <w:tcW w:type="dxa" w:w="2211"/>
          </w:tcPr>
          <w:p>
            <w:r/>
            <w:r>
              <w:rPr>
                <w:rFonts w:ascii="仿宋_GB2312" w:hAnsi="仿宋_GB2312" w:eastAsia="仿宋_GB2312"/>
                <w:b w:val="0"/>
                <w:sz w:val="24"/>
              </w:rPr>
              <w:t>FTC</w:t>
            </w:r>
          </w:p>
        </w:tc>
      </w:tr>
      <w:tr>
        <w:tc>
          <w:tcPr>
            <w:tcW w:type="dxa" w:w="2211"/>
          </w:tcPr>
          <w:p>
            <w:r/>
            <w:r>
              <w:rPr>
                <w:rFonts w:ascii="仿宋_GB2312" w:hAnsi="仿宋_GB2312" w:eastAsia="仿宋_GB2312"/>
                <w:b w:val="0"/>
                <w:sz w:val="24"/>
              </w:rPr>
              <w:t>16</w:t>
            </w:r>
          </w:p>
        </w:tc>
        <w:tc>
          <w:tcPr>
            <w:tcW w:type="dxa" w:w="2211"/>
          </w:tcPr>
          <w:p>
            <w:r/>
            <w:r>
              <w:rPr>
                <w:rFonts w:ascii="仿宋_GB2312" w:hAnsi="仿宋_GB2312" w:eastAsia="仿宋_GB2312"/>
                <w:b w:val="0"/>
                <w:sz w:val="24"/>
              </w:rPr>
              <w:t>DeepSeek开源新一代多模态模型（技术动态，不解读）</w:t>
            </w:r>
          </w:p>
        </w:tc>
        <w:tc>
          <w:tcPr>
            <w:tcW w:type="dxa" w:w="2211"/>
          </w:tcPr>
          <w:p>
            <w:r/>
            <w:r>
              <w:rPr>
                <w:rFonts w:ascii="仿宋_GB2312" w:hAnsi="仿宋_GB2312" w:eastAsia="仿宋_GB2312"/>
                <w:b w:val="0"/>
                <w:sz w:val="24"/>
              </w:rPr>
              <w:t>10-04</w:t>
            </w:r>
          </w:p>
        </w:tc>
        <w:tc>
          <w:tcPr>
            <w:tcW w:type="dxa" w:w="2211"/>
          </w:tcPr>
          <w:p>
            <w:r/>
            <w:r>
              <w:rPr>
                <w:rFonts w:ascii="仿宋_GB2312" w:hAnsi="仿宋_GB2312" w:eastAsia="仿宋_GB2312"/>
                <w:b w:val="0"/>
                <w:sz w:val="24"/>
              </w:rPr>
              <w:t>GitHub/机器之心</w:t>
            </w:r>
          </w:p>
        </w:tc>
      </w:tr>
      <w:tr>
        <w:tc>
          <w:tcPr>
            <w:tcW w:type="dxa" w:w="2211"/>
          </w:tcPr>
          <w:p>
            <w:r/>
            <w:r>
              <w:rPr>
                <w:rFonts w:ascii="仿宋_GB2312" w:hAnsi="仿宋_GB2312" w:eastAsia="仿宋_GB2312"/>
                <w:b w:val="0"/>
                <w:sz w:val="24"/>
              </w:rPr>
              <w:t>17</w:t>
            </w:r>
          </w:p>
        </w:tc>
        <w:tc>
          <w:tcPr>
            <w:tcW w:type="dxa" w:w="2211"/>
          </w:tcPr>
          <w:p>
            <w:r/>
            <w:r>
              <w:rPr>
                <w:rFonts w:ascii="仿宋_GB2312" w:hAnsi="仿宋_GB2312" w:eastAsia="仿宋_GB2312"/>
                <w:b w:val="0"/>
                <w:sz w:val="24"/>
              </w:rPr>
              <w:t>开源AI Agent编排框架趋势（技术动态，不解读）</w:t>
            </w:r>
          </w:p>
        </w:tc>
        <w:tc>
          <w:tcPr>
            <w:tcW w:type="dxa" w:w="2211"/>
          </w:tcPr>
          <w:p>
            <w:r/>
            <w:r>
              <w:rPr>
                <w:rFonts w:ascii="仿宋_GB2312" w:hAnsi="仿宋_GB2312" w:eastAsia="仿宋_GB2312"/>
                <w:b w:val="0"/>
                <w:sz w:val="24"/>
              </w:rPr>
              <w:t>10-03</w:t>
            </w:r>
          </w:p>
        </w:tc>
        <w:tc>
          <w:tcPr>
            <w:tcW w:type="dxa" w:w="2211"/>
          </w:tcPr>
          <w:p>
            <w:r/>
            <w:r>
              <w:rPr>
                <w:rFonts w:ascii="仿宋_GB2312" w:hAnsi="仿宋_GB2312" w:eastAsia="仿宋_GB2312"/>
                <w:b w:val="0"/>
                <w:sz w:val="24"/>
              </w:rPr>
              <w:t>aihot.news</w:t>
            </w:r>
          </w:p>
        </w:tc>
      </w:tr>
    </w:tbl>
    <w:p>
      <w:pPr>
        <w:spacing w:lineRule="exact" w:line="560" w:before="0" w:after="0"/>
        <w:jc w:val="both"/>
      </w:pPr>
      <w:r>
        <w:rPr>
          <w:rFonts w:ascii="仿宋_GB2312" w:hAnsi="仿宋_GB2312" w:eastAsia="仿宋_GB2312"/>
          <w:b w:val="0"/>
          <w:sz w:val="32"/>
        </w:rPr>
      </w:r>
    </w:p>
    <w:p>
      <w:pPr>
        <w:spacing w:lineRule="exact" w:line="560" w:before="0" w:after="0"/>
        <w:jc w:val="both"/>
      </w:pPr>
      <w:r>
        <w:rPr>
          <w:rFonts w:ascii="楷体_GB2312" w:hAnsi="楷体_GB2312" w:eastAsia="楷体_GB2312"/>
          <w:b w:val="0"/>
          <w:color w:val="808080"/>
          <w:sz w:val="28"/>
        </w:rPr>
        <w:t>说明：本报告由合规洞察工具自动生成，解读内容附原文引文供复核；本版本为演示样例。</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_GB2312" w:hAnsi="仿宋_GB2312" w:eastAsia="仿宋_GB2312"/>
        <w:b w:val="0"/>
        <w:sz w:val="28"/>
      </w:rPr>
      <w:t xml:space="preserve">— </w:t>
    </w:r>
    <w:fldSimple w:instr="PAGE">
      <w:r>
        <w:t/>
      </w:r>
    </w:fldSimple>
    <w:r>
      <w:rPr>
        <w:rFonts w:ascii="仿宋_GB2312" w:hAnsi="仿宋_GB2312" w:eastAsia="仿宋_GB2312"/>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