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监测窗口：2026年10月3日至2026年10月17日　　本期信息截至2026年10月17日</w:t>
      </w:r>
    </w:p>
    <w:p>
      <w:pPr>
        <w:spacing w:lineRule="exact" w:line="560" w:before="0" w:after="0"/>
        <w:jc w:val="center"/>
      </w:pPr>
      <w:r>
        <w:rPr>
          <w:rFonts w:ascii="楷体_GB2312" w:hAnsi="楷体_GB2312" w:eastAsia="楷体_GB2312"/>
          <w:b w:val="0"/>
          <w:color w:val="606060"/>
          <w:sz w:val="28"/>
        </w:rPr>
        <w:t>报告模式：演示/工作稿（含待核验条目）　　生成时间：2026-10-17 01:35</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32 条尚未完成原文核验，全部条目已逐条标注「待核验·演示内容」，未经核验不得对外作为当期监管动态引用；切换正式模式后这 32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本报告从2026年10月3日至2026年10月17日（回溯 15 天）窗口内的 32 条情报中，按相关度评分（阈值 55 分）自动选取最相关的 8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24 条：其中未核验/演示条目 0 条、低于相关度阈值 10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1 条、按上下文推断 4 条、来源未知（旧条目默认） 3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32 条，入选 8 条，平均相关度 61.2 分；其中已核验 0 条、未核验/演示 32 条。按类型分布：征求意见4条、新法规2条、行业动态1条、执法处罚1条。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三、人工智能与算法监管动态（3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71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（三）网信办《生成式人工智能服务备案实施细化要求》发布：模型备案新增安全评估实测记录［相关度 61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互联网信息办公室发布《生成式人工智能服务备案实施细化要求》。主要内容：（1）明确备案范围为面向境内公众提供生成式人工智能服务的组织，实行属地省级网信部门初审、国家网信办终审的两级流程；（2）规定备案材料清单，包括安全自评估报告（须按GB/T 45654—2025编制）、模型基本情况表、训练数据来源与合法性说明、标识义务落实情况说明、安全事件应急处置预案等；（3）明确重大变更情形须重新履行评估备案程序；（4）自2026年11月1日起施行，存量服务给予六个月过渡期。</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明确化而非新设义务：该文件系对《生成式人工智能服务管理暂行办法》（国家互联网信息办公室等七部门令第15号，自2023年8月15日起施行，以下简称《暂行办法》）第十七条“安全评估+备案”双重义务的程序性细化，本身未新增实体义务，但将备案材料标准化（第四项要求提交“安全评估报告及关键问答实测记录”），实质抬高了举证门槛。就义务主体而言，《暂行办法》第二条以“向境内公众提供生成文本、图片、音频、视频等内容的服务”界定服务提供者；公司面向集团外部客户提供的智能问答、智能报告生成功能属于义务主体范围，嵌入信息化项目交付的AI能力是否构成“面向公众提供服务”存在解释空间。配套义务链条已经闭合：算法备案（《互联网信息服务算法推荐管理规定》第二十四条）、内容标识（《人工智能生成合成内容标识办法》，自2025年9月1日起施行）、安全评估技术依据（GB/T 45654—2025，自2025年11月1日起实施）。</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两条业务线：平台对外提供的AI生成功能（触发条件：面向境内公众提供服务）与嵌入客户项目交付的AI能力（触发条件待解释）。对照现状：（1）公司尚未开展生成式人工智能服务备案；（2）现有安全评估材料未按GB/T 45654—2025体例编制，与备案清单存在差距；（3）投标场景已出现“供应商AI功能须已完成备案或承诺中标后限期完成”的资格条件，备案进度直接影响投标应答。违规后果：未履行备案义务的，依据《暂行办法》第二十一条，由主管部门依照《中华人民共和国网络安全法》（2025年修正，自2026年1月1日起施行）等追究法律责任。据公开信息，头部服务商均已闭环备案，备案已成为行业事实门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及在研AI功能面向公众提供情况的排查建档（法务合规部牵头）；（2）对落入范围的产品，10月31日前完成安全自评估报告编制立项并启动属地网信部门沟通（科技研发部配合）；（3）10月24日前出具嵌入交付型AI功能是否构成“面向公众提供服务”的分析意见，同步修订投标合规承诺模板（法务合规部）；（4）本事项列为橙色风险（O-01），纳入合规义务台账（YW-01），按月更新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“……提供者应当提交安全评估报告及关键问答实测记录……（细化要求备案材料清单第四项）”</w:t>
      </w:r>
    </w:p>
    <w:p>
      <w:pPr>
        <w:spacing w:lineRule="exact" w:line="560" w:before="0" w:after="0"/>
        <w:ind w:firstLine="560"/>
        <w:jc w:val="both"/>
      </w:pPr>
      <w:r>
        <w:rPr>
          <w:rFonts w:ascii="仿宋_GB2312" w:hAnsi="仿宋_GB2312" w:eastAsia="仿宋_GB2312"/>
          <w:b w:val="0"/>
          <w:color w:val="606060"/>
          <w:sz w:val="28"/>
        </w:rPr>
        <w:t>来源：国家网信办（中国网信网，2026-10-04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四、数据要素与个人信息保护监管动态（1 条）</w:t>
      </w:r>
    </w:p>
    <w:p>
      <w:pPr>
        <w:spacing w:lineRule="exact" w:line="560" w:before="0" w:after="0"/>
        <w:jc w:val="both"/>
      </w:pPr>
      <w:r>
        <w:rPr>
          <w:rFonts w:ascii="楷体_GB2312" w:hAnsi="楷体_GB2312" w:eastAsia="楷体_GB2312"/>
          <w:b w:val="0"/>
          <w:sz w:val="32"/>
        </w:rPr>
        <w:t>（一）网信办《个人信息出境认证办法》：认证成为出境三条路径之一，11 月 1 日施行［相关度 61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国家互联网信息办公室发布《个人信息出境认证办法》，自2026年11月1日起施行。主要内容包括：专业机构认证成为个人信息出境三条路径之一；认证机构名录与申请程序一并公布；存量业务自施行之日起60日内完成申报。</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体系补全：《中华人民共和国个人信息保护法》（2021年8月20日主席令第九十一号公布，自2021年11月1日起施行，以下简称《个人信息保护法》）第三十八条确立“安全评估、认证、标准合同”三路径框架，本办法将认证路径落地为可操作程序（第四条：处理者可通过国家网信部门认定的专业机构认证出境）。未按期申报的，依据《个人信息保护法》第六十六条处理，情节严重的最高可处五千万元或上一年度营业额百分之五罚款。</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涉境外节点的数据回流业务（触发条件：向境外提供个人信息且未走安全评估路径），涉及3条产品线。经初步排查，公司存量跨境传输均未完成三条路径中任何一种的合规手续，属红色风险。认证路径与标准合同路径的成本、周期对比及选型建议见可视化版报告第六区。</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跨境业务逐项盘点（数据管理部）；（2）10月31日前完成三路径选型论证并出具书面意见（法务合规部牵头）；（3）选型后立即启动申报，确保12月31日窗口关闭前完成（责任部门按选型结果确定）；（4）列为红色风险（R-01），纳入义务台账（YW-05），每周向公司领导报告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“第四条：个人信息处理者可以向国家网信部门认定的专业机构申请个人信息保护认证，作为向境外提供个人信息的合规路径。……存量业务应当自本办法施行之日起六十日内完成申报。”</w:t>
      </w:r>
    </w:p>
    <w:p>
      <w:pPr>
        <w:spacing w:lineRule="exact" w:line="560" w:before="0" w:after="0"/>
        <w:ind w:firstLine="560"/>
        <w:jc w:val="both"/>
      </w:pPr>
      <w:r>
        <w:rPr>
          <w:rFonts w:ascii="仿宋_GB2312" w:hAnsi="仿宋_GB2312" w:eastAsia="仿宋_GB2312"/>
          <w:b w:val="0"/>
          <w:color w:val="606060"/>
          <w:sz w:val="28"/>
        </w:rPr>
        <w:t>来源：国家网信办（中国网信网，2026-10-03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五、网络与数据安全监管动态（2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60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（二）标准征求意见［相关度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首页/标准征求意见</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标准征求意见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目为全国网络安全标准化技术委员会（TC260）官网「标准征求意见」列表页的公开页面信息，页面仅呈现栏目名称与机构版权、地址、联系方式等通用信息，未列出任何具体标准名称、条款内容或征求意见起止时间。</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因页面未披露任何具体征求意见标准，无法判断对『信息化·网安』业务线的触发条件；若后续该栏目发布涉及网络安全等级保护、数据安全或安全技术要求的征求意见稿，相关平台产品（如数字建造平台、投建营一体化平台）的安全设计与合规改造需求可能被触发，具体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建议持续跟踪 TC260「标准征求意见」栏目后续发布的具体标准项目，待具体征求意见稿公布后，再就适用范围、实施日期与对本公司平台产品的影响作进一步评估；本条暂无具体可执行动作。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“标准征求意见”（页面栏目名称（首页/标准征求意见））</w:t>
      </w:r>
    </w:p>
    <w:p>
      <w:pPr>
        <w:spacing w:lineRule="exact" w:line="560" w:before="0" w:after="0"/>
        <w:ind w:firstLine="640"/>
        <w:jc w:val="both"/>
      </w:pPr>
      <w:r>
        <w:rPr>
          <w:rFonts w:ascii="仿宋_GB2312" w:hAnsi="仿宋_GB2312" w:eastAsia="仿宋_GB2312"/>
          <w:b w:val="0"/>
          <w:color w:val="2F5F40"/>
          <w:sz w:val="32"/>
        </w:rPr>
        <w:t>“全国网络安全标准化技术委员会秘书处 版权所有 ©2009-2026”（页面页脚版权信息）</w:t>
      </w:r>
    </w:p>
    <w:p>
      <w:pPr>
        <w:spacing w:lineRule="exact" w:line="560" w:before="0" w:after="0"/>
        <w:ind w:firstLine="640"/>
        <w:jc w:val="both"/>
      </w:pPr>
      <w:r>
        <w:rPr>
          <w:rFonts w:ascii="仿宋_GB2312" w:hAnsi="仿宋_GB2312" w:eastAsia="仿宋_GB2312"/>
          <w:b w:val="0"/>
          <w:color w:val="2F5F40"/>
          <w:sz w:val="32"/>
        </w:rPr>
        <w:t>“地址：中国 北京 安定门东大街一号 中国电子技术标准化研究院”（页面页脚联系信息）</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发布），https://www.tc260.org.cn/tc260/bzzqyj/yjzj_list.shtml（原文直链）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59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七、数字建造与行业应用监管动态（1 条）</w:t>
      </w:r>
    </w:p>
    <w:p>
      <w:pPr>
        <w:spacing w:lineRule="exact" w:line="560" w:before="0" w:after="0"/>
        <w:jc w:val="both"/>
      </w:pPr>
      <w:r>
        <w:rPr>
          <w:rFonts w:ascii="楷体_GB2312" w:hAnsi="楷体_GB2312" w:eastAsia="楷体_GB2312"/>
          <w:b w:val="0"/>
          <w:sz w:val="32"/>
        </w:rPr>
        <w:t>（一）《人工智能生成合成内容标识办法》施行首日：多家平台上线强制标注功能［相关度 56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人工智能生成合成内容标识办法》（国家网信办等四部门2025年3月7日公布，自2025年9月1日起施行）运行满一年，本期监管通报显示多家平台完成强制标注功能改造，显式标识与含元数据的隐式标识同步落地，配套强制性国家标准GB 45438—2025同步实施。</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持续履行阶段：办法第九条课以网络信息内容传播平台“核验生成合成内容是否含有规定的标识”的义务，属持续性作为义务；未履行核验义务提供传播服务的，依据《中华人民共和国网络安全法》第六十五条处理。GB 45438—2025作为强制性国家标准，使标识义务具备可检测的技术基准。</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平台内容发布链路（触发条件：平台提供用户生成内容与AI生成内容复合服务）。公司发布链路尚未嵌入标识检测能力，用户协议与社区规则亦未同步标识条款。行业层面，本期通报显示主要平台均已完成改造，标识核验已成为平台标配能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11月15日前完成发布链路标识检测改造立项（科技研发部牵头）；（2）同步修订用户协议、社区规则中的AI生成内容条款（法务合规部）；（3）纳入义务台账（YW-02），状态“未启动”，列为橙色风险（O-02）。</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“……网络信息内容传播平台应当核验生成合成内容是否含有本办法规定的标识……（办法第九条）”</w:t>
      </w:r>
    </w:p>
    <w:p>
      <w:pPr>
        <w:spacing w:lineRule="exact" w:line="560" w:before="0" w:after="0"/>
        <w:ind w:firstLine="560"/>
        <w:jc w:val="both"/>
      </w:pPr>
      <w:r>
        <w:rPr>
          <w:rFonts w:ascii="仿宋_GB2312" w:hAnsi="仿宋_GB2312" w:eastAsia="仿宋_GB2312"/>
          <w:b w:val="0"/>
          <w:color w:val="606060"/>
          <w:sz w:val="28"/>
        </w:rPr>
        <w:t>来源：国家网信办等四部门（2025-09-01 施行，2026-10-04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八、下一步工作建议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3.跟踪落实「网信办《生成式人工智能服务备案实施细化要求》发布：模」：（1）10月17日前完成存量及在研AI功能面向公众提供情况的排查建档（法务合规部牵头）；（2）对落入范围的产品，10月31日前完成安全自评估报告编制立项并启动属地网信部门沟通（…</w:t>
      </w:r>
    </w:p>
    <w:p>
      <w:pPr>
        <w:spacing w:lineRule="exact" w:line="560" w:before="0" w:after="0"/>
        <w:ind w:firstLine="640"/>
        <w:jc w:val="both"/>
      </w:pPr>
      <w:r>
        <w:rPr>
          <w:rFonts w:ascii="仿宋_GB2312" w:hAnsi="仿宋_GB2312" w:eastAsia="仿宋_GB2312"/>
          <w:b w:val="0"/>
          <w:sz w:val="32"/>
        </w:rPr>
        <w:t>4.跟踪落实「网信办《个人信息出境认证办法》：认证成为出境三条路径」：（1）10月17日前完成存量跨境业务逐项盘点（数据管理部）；（2）10月31日前完成三路径选型论证并出具书面意见（法务合规部牵头）；（3）选型后立即启动申报，确保12月31日窗…</w:t>
      </w:r>
    </w:p>
    <w:p>
      <w:pPr>
        <w:spacing w:lineRule="exact" w:line="560" w:before="0" w:after="0"/>
        <w:ind w:firstLine="640"/>
        <w:jc w:val="both"/>
      </w:pPr>
      <w:r>
        <w:rPr>
          <w:rFonts w:ascii="仿宋_GB2312" w:hAnsi="仿宋_GB2312" w:eastAsia="仿宋_GB2312"/>
          <w:b w:val="0"/>
          <w:sz w:val="32"/>
        </w:rPr>
        <w:t>5.跟踪落实「2026-10-13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640"/>
        <w:jc w:val="both"/>
      </w:pPr>
      <w:r>
        <w:rPr>
          <w:rFonts w:ascii="仿宋_GB2312" w:hAnsi="仿宋_GB2312" w:eastAsia="仿宋_GB2312"/>
          <w:b w:val="0"/>
          <w:sz w:val="32"/>
        </w:rPr>
        <w:t>6.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640"/>
        <w:jc w:val="both"/>
      </w:pPr>
      <w:r>
        <w:rPr>
          <w:rFonts w:ascii="仿宋_GB2312" w:hAnsi="仿宋_GB2312" w:eastAsia="仿宋_GB2312"/>
          <w:b w:val="0"/>
          <w:sz w:val="32"/>
        </w:rPr>
        <w:t>7.跟踪落实「标准征求意见」：建议持续跟踪 TC260「标准征求意见」栏目后续发布的具体标准项目，待具体征求意见稿公布后，再就适用范围、实施日期与对本公司平台产品的影响作进一步评估；本条暂无具体可执行动作。</w:t>
      </w:r>
    </w:p>
    <w:p>
      <w:pPr>
        <w:spacing w:lineRule="exact" w:line="560" w:before="0" w:after="0"/>
        <w:ind w:firstLine="640"/>
        <w:jc w:val="both"/>
      </w:pPr>
      <w:r>
        <w:rPr>
          <w:rFonts w:ascii="仿宋_GB2312" w:hAnsi="仿宋_GB2312" w:eastAsia="仿宋_GB2312"/>
          <w:b w:val="0"/>
          <w:sz w:val="32"/>
        </w:rPr>
        <w:t>8.跟踪落实「《人工智能生成合成内容标识办法》施行首日：多家平台上」：（1）11月15日前完成发布链路标识检测改造立项（科技研发部牵头）；（2）同步修订用户协议、社区规则中的AI生成内容条款（法务合规部）；（3）纳入义务台账（YW-02），状态“…</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九、附录：本期信息索引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71</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网信办《生成式人工智能服务备案实施细化要求》发布：模型备案新增安全评估实测记录</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61</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网信办《个人信息出境认证办法》：认证成为出境三条路径之一，11 月 1 日施行</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61</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《人工智能生成合成内容标识办法》施行首日：多家平台上线强制标注功能</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国家网信办等四部门</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专家解读 | 开展数据产权登记，助力数据要素价值释放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专家解读 | 体系化推进行业高质量数据集建设行动 强化数据赋能人工智能创新发展</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专家解读 | 筑基智能时代，释放数据价值</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专家解读 | 夯实数据基础，激活智能跃迁——《关于推进行业高质量数据集建设行动的实施方案》解读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专家解读 | 高质量数据构筑人工智能跃升新引擎 “数据飞轮”塑造高质量发展新动能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专家解读 | 以数据产权登记为抓手 探索商业银行数据资产化新路径</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专家解读 | 以统一数据产权登记体系 推动全国一体化数据市场建设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专家解读 | 激活数据产权制度效能 共建全国一体化数据市场</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专家解读 | 筑牢数智底座 激活要素动能《关于推进行业高质量数据集建设行动的实施方案》解读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18</w:t>
            </w:r>
          </w:p>
        </w:tc>
        <w:tc>
          <w:tcPr>
            <w:tcW w:type="dxa" w:w="1106"/>
          </w:tcPr>
          <w:p>
            <w:r/>
            <w:r>
              <w:rPr>
                <w:rFonts w:ascii="仿宋_GB2312" w:hAnsi="仿宋_GB2312" w:eastAsia="仿宋_GB2312"/>
                <w:b w:val="0"/>
                <w:sz w:val="24"/>
              </w:rPr>
              <w:t>专家解读 | 推动行业高质量数据集建设，实现与"人工智能+"同频共振——《关于推进行业高质量数据集建设行动的实施方案》解读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19</w:t>
            </w:r>
          </w:p>
        </w:tc>
        <w:tc>
          <w:tcPr>
            <w:tcW w:type="dxa" w:w="1106"/>
          </w:tcPr>
          <w:p>
            <w:r/>
            <w:r>
              <w:rPr>
                <w:rFonts w:ascii="仿宋_GB2312" w:hAnsi="仿宋_GB2312" w:eastAsia="仿宋_GB2312"/>
                <w:b w:val="0"/>
                <w:sz w:val="24"/>
              </w:rPr>
              <w:t>专家解读 | 释放知识动能 护航数智发展—《关于推进行业高质量数据集建设行动的实施方案》解读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20</w:t>
            </w:r>
          </w:p>
        </w:tc>
        <w:tc>
          <w:tcPr>
            <w:tcW w:type="dxa" w:w="1106"/>
          </w:tcPr>
          <w:p>
            <w:r/>
            <w:r>
              <w:rPr>
                <w:rFonts w:ascii="仿宋_GB2312" w:hAnsi="仿宋_GB2312" w:eastAsia="仿宋_GB2312"/>
                <w:b w:val="0"/>
                <w:sz w:val="24"/>
              </w:rPr>
              <w:t>专家解读 | 深耕高质量数据集建设 激活人工智能发展新动能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21</w:t>
            </w:r>
          </w:p>
        </w:tc>
        <w:tc>
          <w:tcPr>
            <w:tcW w:type="dxa" w:w="1106"/>
          </w:tcPr>
          <w:p>
            <w:r/>
            <w:r>
              <w:rPr>
                <w:rFonts w:ascii="仿宋_GB2312" w:hAnsi="仿宋_GB2312" w:eastAsia="仿宋_GB2312"/>
                <w:b w:val="0"/>
                <w:sz w:val="24"/>
              </w:rPr>
              <w:t>专家解读 | 培育数据流通服务机构 繁荣数据市场生态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22</w:t>
            </w:r>
          </w:p>
        </w:tc>
        <w:tc>
          <w:tcPr>
            <w:tcW w:type="dxa" w:w="1106"/>
          </w:tcPr>
          <w:p>
            <w:r/>
            <w:r>
              <w:rPr>
                <w:rFonts w:ascii="仿宋_GB2312" w:hAnsi="仿宋_GB2312" w:eastAsia="仿宋_GB2312"/>
                <w:b w:val="0"/>
                <w:sz w:val="24"/>
              </w:rPr>
              <w:t>专家解读 | 培育数据流通服务机构 推进数据要素市场化价值化</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专家解读 | 以登记指引夯实数据产权制度根基 以能源企业实践赋能数据价值释放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24</w:t>
            </w:r>
          </w:p>
        </w:tc>
        <w:tc>
          <w:tcPr>
            <w:tcW w:type="dxa" w:w="1106"/>
          </w:tcPr>
          <w:p>
            <w:r/>
            <w:r>
              <w:rPr>
                <w:rFonts w:ascii="仿宋_GB2312" w:hAnsi="仿宋_GB2312" w:eastAsia="仿宋_GB2312"/>
                <w:b w:val="0"/>
                <w:sz w:val="24"/>
              </w:rPr>
              <w:t>专家解读 | 建立数据产权登记制度 夯实数据基础制度基石</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25</w:t>
            </w:r>
          </w:p>
        </w:tc>
        <w:tc>
          <w:tcPr>
            <w:tcW w:type="dxa" w:w="1106"/>
          </w:tcPr>
          <w:p>
            <w:r/>
            <w:r>
              <w:rPr>
                <w:rFonts w:ascii="仿宋_GB2312" w:hAnsi="仿宋_GB2312" w:eastAsia="仿宋_GB2312"/>
                <w:b w:val="0"/>
                <w:sz w:val="24"/>
              </w:rPr>
              <w:t>专家解读 | 以规范透明、独立公正的数据产权登记服务 赋能数据要素合规高效流通</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26</w:t>
            </w:r>
          </w:p>
        </w:tc>
        <w:tc>
          <w:tcPr>
            <w:tcW w:type="dxa" w:w="1106"/>
          </w:tcPr>
          <w:p>
            <w:r/>
            <w:r>
              <w:rPr>
                <w:rFonts w:ascii="仿宋_GB2312" w:hAnsi="仿宋_GB2312" w:eastAsia="仿宋_GB2312"/>
                <w:b w:val="0"/>
                <w:sz w:val="24"/>
              </w:rPr>
              <w:t>专家解读 | 坚持质量优先、合理审慎 提升数据产权登记公信力</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27</w:t>
            </w:r>
          </w:p>
        </w:tc>
        <w:tc>
          <w:tcPr>
            <w:tcW w:type="dxa" w:w="1106"/>
          </w:tcPr>
          <w:p>
            <w:r/>
            <w:r>
              <w:rPr>
                <w:rFonts w:ascii="仿宋_GB2312" w:hAnsi="仿宋_GB2312" w:eastAsia="仿宋_GB2312"/>
                <w:b w:val="0"/>
                <w:sz w:val="24"/>
              </w:rPr>
              <w:t>一图读懂 | 关于培育数据流通服务机构 加快推进数据要素市场化价值化的意见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28</w:t>
            </w:r>
          </w:p>
        </w:tc>
        <w:tc>
          <w:tcPr>
            <w:tcW w:type="dxa" w:w="1106"/>
          </w:tcPr>
          <w:p>
            <w:r/>
            <w:r>
              <w:rPr>
                <w:rFonts w:ascii="仿宋_GB2312" w:hAnsi="仿宋_GB2312" w:eastAsia="仿宋_GB2312"/>
                <w:b w:val="0"/>
                <w:sz w:val="24"/>
              </w:rPr>
              <w:t>市场监管总局对某互联网平台“二选一”行为作出行政处罚</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市场监管总局</w:t>
            </w:r>
          </w:p>
        </w:tc>
        <w:tc>
          <w:tcPr>
            <w:tcW w:type="dxa" w:w="1106"/>
          </w:tcPr>
          <w:p>
            <w:r/>
            <w:r>
              <w:rPr>
                <w:rFonts w:ascii="仿宋_GB2312" w:hAnsi="仿宋_GB2312" w:eastAsia="仿宋_GB2312"/>
                <w:b w:val="0"/>
                <w:sz w:val="24"/>
              </w:rPr>
              <w:t>46</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29</w:t>
            </w:r>
          </w:p>
        </w:tc>
        <w:tc>
          <w:tcPr>
            <w:tcW w:type="dxa" w:w="1106"/>
          </w:tcPr>
          <w:p>
            <w:r/>
            <w:r>
              <w:rPr>
                <w:rFonts w:ascii="仿宋_GB2312" w:hAnsi="仿宋_GB2312" w:eastAsia="仿宋_GB2312"/>
                <w:b w:val="0"/>
                <w:sz w:val="24"/>
              </w:rPr>
              <w:t>国家数据局《公共数据授权运营实施指引》：发布授权运营协议示范文本</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30</w:t>
            </w:r>
          </w:p>
        </w:tc>
        <w:tc>
          <w:tcPr>
            <w:tcW w:type="dxa" w:w="1106"/>
          </w:tcPr>
          <w:p>
            <w:r/>
            <w:r>
              <w:rPr>
                <w:rFonts w:ascii="仿宋_GB2312" w:hAnsi="仿宋_GB2312" w:eastAsia="仿宋_GB2312"/>
                <w:b w:val="0"/>
                <w:sz w:val="24"/>
              </w:rPr>
              <w:t>一图读懂 | 关于推进行业高质量数据集建设行动的实施方案</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31</w:t>
            </w:r>
          </w:p>
        </w:tc>
        <w:tc>
          <w:tcPr>
            <w:tcW w:type="dxa" w:w="1106"/>
          </w:tcPr>
          <w:p>
            <w:r/>
            <w:r>
              <w:rPr>
                <w:rFonts w:ascii="仿宋_GB2312" w:hAnsi="仿宋_GB2312" w:eastAsia="仿宋_GB2312"/>
                <w:b w:val="0"/>
                <w:sz w:val="24"/>
              </w:rPr>
              <w:t>DeepSeek 开源新一代多模态模型：代码与文档理解基准刷新</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GitHub / 机器之心</w:t>
            </w:r>
          </w:p>
        </w:tc>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32</w:t>
            </w:r>
          </w:p>
        </w:tc>
        <w:tc>
          <w:tcPr>
            <w:tcW w:type="dxa" w:w="1106"/>
          </w:tcPr>
          <w:p>
            <w:r/>
            <w:r>
              <w:rPr>
                <w:rFonts w:ascii="仿宋_GB2312" w:hAnsi="仿宋_GB2312" w:eastAsia="仿宋_GB2312"/>
                <w:b w:val="0"/>
                <w:sz w:val="24"/>
              </w:rPr>
              <w:t>开源 AI Agent 编排框架登 GitHub 趋势榜（aihot.news 热点榜）</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aihot.news / GitHub Trending</w:t>
            </w:r>
          </w:p>
        </w:tc>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